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Cs/>
          <w:color w:val="000000" w:themeColor="text1"/>
          <w:spacing w:val="80"/>
          <w:sz w:val="44"/>
          <w:szCs w:val="44"/>
          <w:lang w:val="zh-CN"/>
          <w14:textFill>
            <w14:solidFill>
              <w14:schemeClr w14:val="tx1"/>
            </w14:solidFill>
          </w14:textFill>
        </w:rPr>
      </w:pPr>
      <w:r>
        <w:rPr>
          <w:rFonts w:hint="eastAsia" w:ascii="宋体" w:hAnsi="宋体"/>
          <w:bCs/>
          <w:color w:val="000000" w:themeColor="text1"/>
          <w:spacing w:val="80"/>
          <w:sz w:val="44"/>
          <w:szCs w:val="44"/>
          <w14:textFill>
            <w14:solidFill>
              <w14:schemeClr w14:val="tx1"/>
            </w14:solidFill>
          </w14:textFill>
        </w:rPr>
        <w:t>赣州银行南康灾备</w:t>
      </w:r>
      <w:r>
        <w:rPr>
          <w:rFonts w:hint="eastAsia" w:ascii="宋体" w:hAnsi="宋体"/>
          <w:bCs/>
          <w:color w:val="000000" w:themeColor="text1"/>
          <w:spacing w:val="80"/>
          <w:sz w:val="44"/>
          <w:szCs w:val="44"/>
          <w:lang w:val="zh-CN"/>
          <w14:textFill>
            <w14:solidFill>
              <w14:schemeClr w14:val="tx1"/>
            </w14:solidFill>
          </w14:textFill>
        </w:rPr>
        <w:t>数据中心</w:t>
      </w:r>
    </w:p>
    <w:p>
      <w:pPr>
        <w:jc w:val="center"/>
        <w:rPr>
          <w:rFonts w:ascii="宋体" w:hAnsi="宋体"/>
          <w:bCs/>
          <w:color w:val="000000" w:themeColor="text1"/>
          <w:spacing w:val="80"/>
          <w:sz w:val="52"/>
          <w:szCs w:val="52"/>
          <w14:textFill>
            <w14:solidFill>
              <w14:schemeClr w14:val="tx1"/>
            </w14:solidFill>
          </w14:textFill>
        </w:rPr>
      </w:pPr>
      <w:r>
        <w:rPr>
          <w:rFonts w:hint="eastAsia" w:ascii="宋体" w:hAnsi="宋体"/>
          <w:bCs/>
          <w:color w:val="000000" w:themeColor="text1"/>
          <w:spacing w:val="80"/>
          <w:sz w:val="44"/>
          <w:szCs w:val="44"/>
          <w:lang w:val="zh-CN"/>
          <w14:textFill>
            <w14:solidFill>
              <w14:schemeClr w14:val="tx1"/>
            </w14:solidFill>
          </w14:textFill>
        </w:rPr>
        <w:t>设计及施工一体化总承包工程</w:t>
      </w:r>
      <w:r>
        <w:rPr>
          <w:rFonts w:hint="eastAsia" w:ascii="宋体" w:hAnsi="宋体"/>
          <w:bCs/>
          <w:color w:val="000000" w:themeColor="text1"/>
          <w:spacing w:val="80"/>
          <w:sz w:val="44"/>
          <w:szCs w:val="44"/>
          <w14:textFill>
            <w14:solidFill>
              <w14:schemeClr w14:val="tx1"/>
            </w14:solidFill>
          </w14:textFill>
        </w:rPr>
        <w:t>招标项目公开招标文件</w:t>
      </w:r>
    </w:p>
    <w:p>
      <w:pPr>
        <w:jc w:val="center"/>
        <w:rPr>
          <w:rFonts w:ascii="宋体" w:hAnsi="宋体"/>
          <w:bCs/>
          <w:color w:val="000000" w:themeColor="text1"/>
          <w:sz w:val="84"/>
          <w:szCs w:val="84"/>
          <w14:textFill>
            <w14:solidFill>
              <w14:schemeClr w14:val="tx1"/>
            </w14:solidFill>
          </w14:textFill>
        </w:rPr>
      </w:pPr>
    </w:p>
    <w:p>
      <w:pPr>
        <w:overflowPunct w:val="0"/>
        <w:spacing w:line="360" w:lineRule="auto"/>
        <w:ind w:firstLine="2940" w:firstLineChars="1400"/>
        <w:rPr>
          <w:rFonts w:ascii="黑体" w:eastAsia="黑体"/>
          <w:bCs/>
          <w:color w:val="000000" w:themeColor="text1"/>
          <w14:textFill>
            <w14:solidFill>
              <w14:schemeClr w14:val="tx1"/>
            </w14:solidFill>
          </w14:textFill>
        </w:rPr>
      </w:pPr>
      <w:r>
        <w:rPr>
          <w:rFonts w:hint="eastAsia"/>
          <w:bCs/>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1442085</wp:posOffset>
            </wp:positionH>
            <wp:positionV relativeFrom="paragraph">
              <wp:posOffset>248285</wp:posOffset>
            </wp:positionV>
            <wp:extent cx="2295525" cy="1762125"/>
            <wp:effectExtent l="0" t="0" r="9525" b="9525"/>
            <wp:wrapNone/>
            <wp:docPr id="2" name="Picture 10" descr="QQ图片2014082215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QQ图片20140822154036"/>
                    <pic:cNvPicPr>
                      <a:picLocks noChangeAspect="1"/>
                    </pic:cNvPicPr>
                  </pic:nvPicPr>
                  <pic:blipFill>
                    <a:blip r:embed="rId23"/>
                    <a:stretch>
                      <a:fillRect/>
                    </a:stretch>
                  </pic:blipFill>
                  <pic:spPr>
                    <a:xfrm>
                      <a:off x="0" y="0"/>
                      <a:ext cx="2295525" cy="1762125"/>
                    </a:xfrm>
                    <a:prstGeom prst="rect">
                      <a:avLst/>
                    </a:prstGeom>
                    <a:noFill/>
                    <a:ln w="9525">
                      <a:noFill/>
                    </a:ln>
                  </pic:spPr>
                </pic:pic>
              </a:graphicData>
            </a:graphic>
          </wp:anchor>
        </w:drawing>
      </w:r>
    </w:p>
    <w:p>
      <w:pPr>
        <w:overflowPunct w:val="0"/>
        <w:spacing w:line="360" w:lineRule="auto"/>
        <w:ind w:firstLine="2940" w:firstLineChars="1400"/>
        <w:rPr>
          <w:rFonts w:ascii="黑体" w:eastAsia="黑体"/>
          <w:bCs/>
          <w:color w:val="000000" w:themeColor="text1"/>
          <w14:textFill>
            <w14:solidFill>
              <w14:schemeClr w14:val="tx1"/>
            </w14:solidFill>
          </w14:textFill>
        </w:rPr>
      </w:pPr>
    </w:p>
    <w:p>
      <w:pPr>
        <w:overflowPunct w:val="0"/>
        <w:spacing w:line="360" w:lineRule="auto"/>
        <w:ind w:firstLine="2940" w:firstLineChars="1400"/>
        <w:rPr>
          <w:rFonts w:ascii="黑体" w:eastAsia="黑体"/>
          <w:bCs/>
          <w:color w:val="000000" w:themeColor="text1"/>
          <w14:textFill>
            <w14:solidFill>
              <w14:schemeClr w14:val="tx1"/>
            </w14:solidFill>
          </w14:textFill>
        </w:rPr>
      </w:pPr>
    </w:p>
    <w:p>
      <w:pPr>
        <w:overflowPunct w:val="0"/>
        <w:spacing w:line="360" w:lineRule="auto"/>
        <w:ind w:firstLine="2940" w:firstLineChars="1400"/>
        <w:rPr>
          <w:rFonts w:ascii="黑体" w:eastAsia="黑体"/>
          <w:bCs/>
          <w:color w:val="000000" w:themeColor="text1"/>
          <w14:textFill>
            <w14:solidFill>
              <w14:schemeClr w14:val="tx1"/>
            </w14:solidFill>
          </w14:textFill>
        </w:rPr>
      </w:pPr>
    </w:p>
    <w:p>
      <w:pPr>
        <w:overflowPunct w:val="0"/>
        <w:spacing w:line="360" w:lineRule="auto"/>
        <w:ind w:firstLine="2940" w:firstLineChars="1400"/>
        <w:rPr>
          <w:rFonts w:ascii="黑体" w:eastAsia="黑体"/>
          <w:bCs/>
          <w:color w:val="000000" w:themeColor="text1"/>
          <w14:textFill>
            <w14:solidFill>
              <w14:schemeClr w14:val="tx1"/>
            </w14:solidFill>
          </w14:textFill>
        </w:rPr>
      </w:pPr>
    </w:p>
    <w:p>
      <w:pPr>
        <w:overflowPunct w:val="0"/>
        <w:spacing w:line="360" w:lineRule="auto"/>
        <w:ind w:firstLine="2940" w:firstLineChars="1400"/>
        <w:rPr>
          <w:rFonts w:ascii="黑体" w:eastAsia="黑体"/>
          <w:bCs/>
          <w:color w:val="000000" w:themeColor="text1"/>
          <w14:textFill>
            <w14:solidFill>
              <w14:schemeClr w14:val="tx1"/>
            </w14:solidFill>
          </w14:textFill>
        </w:rPr>
      </w:pPr>
    </w:p>
    <w:p>
      <w:pPr>
        <w:overflowPunct w:val="0"/>
        <w:spacing w:line="360" w:lineRule="auto"/>
        <w:ind w:firstLine="2100" w:firstLineChars="700"/>
        <w:rPr>
          <w:rFonts w:ascii="黑体" w:eastAsia="黑体"/>
          <w:bCs/>
          <w:color w:val="000000" w:themeColor="text1"/>
          <w:sz w:val="30"/>
          <w:szCs w:val="30"/>
          <w14:textFill>
            <w14:solidFill>
              <w14:schemeClr w14:val="tx1"/>
            </w14:solidFill>
          </w14:textFill>
        </w:rPr>
      </w:pPr>
    </w:p>
    <w:p>
      <w:pPr>
        <w:overflowPunct w:val="0"/>
        <w:spacing w:line="360" w:lineRule="auto"/>
        <w:ind w:firstLine="2100" w:firstLineChars="700"/>
        <w:rPr>
          <w:rFonts w:ascii="黑体" w:hAnsi="宋体" w:eastAsia="黑体"/>
          <w:bCs/>
          <w:color w:val="000000" w:themeColor="text1"/>
          <w:sz w:val="30"/>
          <w:szCs w:val="30"/>
          <w14:textFill>
            <w14:solidFill>
              <w14:schemeClr w14:val="tx1"/>
            </w14:solidFill>
          </w14:textFill>
        </w:rPr>
      </w:pPr>
      <w:r>
        <w:rPr>
          <w:rFonts w:hint="eastAsia" w:ascii="黑体" w:eastAsia="黑体"/>
          <w:bCs/>
          <w:color w:val="000000" w:themeColor="text1"/>
          <w:sz w:val="30"/>
          <w:szCs w:val="30"/>
          <w14:textFill>
            <w14:solidFill>
              <w14:schemeClr w14:val="tx1"/>
            </w14:solidFill>
          </w14:textFill>
        </w:rPr>
        <w:t>项目编号：</w:t>
      </w:r>
      <w:r>
        <w:rPr>
          <w:rFonts w:hint="eastAsia" w:ascii="黑体" w:hAnsi="宋体" w:eastAsia="黑体"/>
          <w:bCs/>
          <w:color w:val="000000" w:themeColor="text1"/>
          <w:sz w:val="30"/>
          <w:szCs w:val="30"/>
          <w14:textFill>
            <w14:solidFill>
              <w14:schemeClr w14:val="tx1"/>
            </w14:solidFill>
          </w14:textFill>
        </w:rPr>
        <w:t>JXJH2020-GZ-G007</w:t>
      </w:r>
    </w:p>
    <w:p>
      <w:pPr>
        <w:overflowPunct w:val="0"/>
        <w:spacing w:line="360" w:lineRule="auto"/>
        <w:ind w:firstLine="2100" w:firstLineChars="700"/>
        <w:rPr>
          <w:rFonts w:ascii="黑体" w:hAnsi="宋体" w:eastAsia="黑体" w:cs="宋体"/>
          <w:bCs/>
          <w:color w:val="000000" w:themeColor="text1"/>
          <w:kern w:val="0"/>
          <w:sz w:val="30"/>
          <w:szCs w:val="30"/>
          <w14:textFill>
            <w14:solidFill>
              <w14:schemeClr w14:val="tx1"/>
            </w14:solidFill>
          </w14:textFill>
        </w:rPr>
      </w:pPr>
      <w:r>
        <w:rPr>
          <w:rFonts w:hint="eastAsia" w:ascii="黑体" w:eastAsia="黑体"/>
          <w:bCs/>
          <w:color w:val="000000" w:themeColor="text1"/>
          <w:sz w:val="30"/>
          <w:szCs w:val="30"/>
          <w14:textFill>
            <w14:solidFill>
              <w14:schemeClr w14:val="tx1"/>
            </w14:solidFill>
          </w14:textFill>
        </w:rPr>
        <w:t>采购单位：</w:t>
      </w:r>
      <w:r>
        <w:rPr>
          <w:rFonts w:hint="eastAsia" w:ascii="黑体" w:hAnsi="宋体" w:eastAsia="黑体" w:cs="宋体"/>
          <w:bCs/>
          <w:color w:val="000000" w:themeColor="text1"/>
          <w:kern w:val="0"/>
          <w:sz w:val="30"/>
          <w:szCs w:val="30"/>
          <w14:textFill>
            <w14:solidFill>
              <w14:schemeClr w14:val="tx1"/>
            </w14:solidFill>
          </w14:textFill>
        </w:rPr>
        <w:t>赣州银行股份有限公司</w:t>
      </w:r>
    </w:p>
    <w:p>
      <w:pPr>
        <w:overflowPunct w:val="0"/>
        <w:spacing w:line="360" w:lineRule="auto"/>
        <w:ind w:firstLine="2100" w:firstLineChars="700"/>
        <w:jc w:val="center"/>
        <w:rPr>
          <w:rFonts w:ascii="黑体" w:eastAsia="黑体"/>
          <w:bCs/>
          <w:color w:val="000000" w:themeColor="text1"/>
          <w:sz w:val="30"/>
          <w:szCs w:val="30"/>
          <w14:textFill>
            <w14:solidFill>
              <w14:schemeClr w14:val="tx1"/>
            </w14:solidFill>
          </w14:textFill>
        </w:rPr>
      </w:pPr>
      <w:r>
        <w:rPr>
          <w:rFonts w:hint="eastAsia" w:ascii="黑体" w:eastAsia="黑体"/>
          <w:bCs/>
          <w:color w:val="000000" w:themeColor="text1"/>
          <w:sz w:val="30"/>
          <w:szCs w:val="30"/>
          <w14:textFill>
            <w14:solidFill>
              <w14:schemeClr w14:val="tx1"/>
            </w14:solidFill>
          </w14:textFill>
        </w:rPr>
        <w:t>采购内容：赣州银行南康灾备</w:t>
      </w:r>
      <w:r>
        <w:rPr>
          <w:rFonts w:hint="eastAsia" w:ascii="黑体" w:eastAsia="黑体"/>
          <w:bCs/>
          <w:color w:val="000000" w:themeColor="text1"/>
          <w:sz w:val="30"/>
          <w:szCs w:val="30"/>
          <w:lang w:val="zh-CN"/>
          <w14:textFill>
            <w14:solidFill>
              <w14:schemeClr w14:val="tx1"/>
            </w14:solidFill>
          </w14:textFill>
        </w:rPr>
        <w:t>数据中心设计及施工一体化总承包工程</w:t>
      </w:r>
      <w:r>
        <w:rPr>
          <w:rFonts w:hint="eastAsia" w:ascii="黑体" w:eastAsia="黑体"/>
          <w:bCs/>
          <w:color w:val="000000" w:themeColor="text1"/>
          <w:sz w:val="30"/>
          <w:szCs w:val="30"/>
          <w14:textFill>
            <w14:solidFill>
              <w14:schemeClr w14:val="tx1"/>
            </w14:solidFill>
          </w14:textFill>
        </w:rPr>
        <w:t>招标项目</w:t>
      </w:r>
    </w:p>
    <w:p>
      <w:pPr>
        <w:overflowPunct w:val="0"/>
        <w:spacing w:line="360" w:lineRule="auto"/>
        <w:ind w:firstLine="2250" w:firstLineChars="750"/>
        <w:jc w:val="center"/>
        <w:rPr>
          <w:rFonts w:ascii="黑体" w:eastAsia="黑体"/>
          <w:bCs/>
          <w:color w:val="000000" w:themeColor="text1"/>
          <w:sz w:val="30"/>
          <w:szCs w:val="30"/>
          <w14:textFill>
            <w14:solidFill>
              <w14:schemeClr w14:val="tx1"/>
            </w14:solidFill>
          </w14:textFill>
        </w:rPr>
      </w:pPr>
    </w:p>
    <w:p>
      <w:pPr>
        <w:pStyle w:val="2"/>
      </w:pPr>
    </w:p>
    <w:p>
      <w:pPr>
        <w:overflowPunct w:val="0"/>
        <w:spacing w:line="360" w:lineRule="auto"/>
        <w:jc w:val="center"/>
        <w:rPr>
          <w:rFonts w:ascii="黑体" w:eastAsia="黑体"/>
          <w:bCs/>
          <w:color w:val="000000" w:themeColor="text1"/>
          <w:sz w:val="30"/>
          <w:szCs w:val="30"/>
          <w14:textFill>
            <w14:solidFill>
              <w14:schemeClr w14:val="tx1"/>
            </w14:solidFill>
          </w14:textFill>
        </w:rPr>
      </w:pPr>
      <w:r>
        <w:rPr>
          <w:rFonts w:hint="eastAsia" w:ascii="黑体" w:eastAsia="黑体"/>
          <w:bCs/>
          <w:color w:val="000000" w:themeColor="text1"/>
          <w:sz w:val="30"/>
          <w:szCs w:val="30"/>
          <w14:textFill>
            <w14:solidFill>
              <w14:schemeClr w14:val="tx1"/>
            </w14:solidFill>
          </w14:textFill>
        </w:rPr>
        <w:t>江西久和招标服务有限公司</w:t>
      </w:r>
    </w:p>
    <w:p>
      <w:pPr>
        <w:overflowPunct w:val="0"/>
        <w:spacing w:line="360" w:lineRule="auto"/>
        <w:jc w:val="center"/>
        <w:rPr>
          <w:rFonts w:ascii="隶书" w:eastAsia="隶书"/>
          <w:bCs/>
          <w:color w:val="000000" w:themeColor="text1"/>
          <w:sz w:val="44"/>
          <w14:textFill>
            <w14:solidFill>
              <w14:schemeClr w14:val="tx1"/>
            </w14:solidFill>
          </w14:textFill>
        </w:rPr>
      </w:pPr>
      <w:r>
        <w:rPr>
          <w:rFonts w:hint="eastAsia" w:ascii="黑体" w:eastAsia="黑体"/>
          <w:bCs/>
          <w:color w:val="000000" w:themeColor="text1"/>
          <w:sz w:val="30"/>
          <w:szCs w:val="30"/>
          <w14:textFill>
            <w14:solidFill>
              <w14:schemeClr w14:val="tx1"/>
            </w14:solidFill>
          </w14:textFill>
        </w:rPr>
        <w:t>二零二零年八月</w:t>
      </w:r>
    </w:p>
    <w:p>
      <w:pPr>
        <w:pStyle w:val="14"/>
        <w:pageBreakBefore/>
        <w:spacing w:line="520" w:lineRule="exact"/>
        <w:jc w:val="center"/>
        <w:rPr>
          <w:rFonts w:hAnsi="宋体"/>
          <w:bCs/>
          <w:color w:val="000000" w:themeColor="text1"/>
          <w:sz w:val="44"/>
          <w14:textFill>
            <w14:solidFill>
              <w14:schemeClr w14:val="tx1"/>
            </w14:solidFill>
          </w14:textFill>
        </w:rPr>
      </w:pPr>
      <w:r>
        <w:rPr>
          <w:rFonts w:hint="eastAsia" w:hAnsi="宋体"/>
          <w:bCs/>
          <w:color w:val="000000" w:themeColor="text1"/>
          <w:sz w:val="44"/>
          <w14:textFill>
            <w14:solidFill>
              <w14:schemeClr w14:val="tx1"/>
            </w14:solidFill>
          </w14:textFill>
        </w:rPr>
        <w:t>目  录</w:t>
      </w:r>
    </w:p>
    <w:p>
      <w:pPr>
        <w:pStyle w:val="14"/>
        <w:spacing w:line="360" w:lineRule="exact"/>
        <w:jc w:val="center"/>
        <w:rPr>
          <w:rFonts w:ascii="隶书" w:eastAsia="隶书"/>
          <w:bCs/>
          <w:color w:val="000000" w:themeColor="text1"/>
          <w:sz w:val="44"/>
          <w14:textFill>
            <w14:solidFill>
              <w14:schemeClr w14:val="tx1"/>
            </w14:solidFill>
          </w14:textFill>
        </w:rPr>
      </w:pPr>
    </w:p>
    <w:p>
      <w:pPr>
        <w:pStyle w:val="14"/>
        <w:spacing w:line="360" w:lineRule="exact"/>
        <w:jc w:val="center"/>
        <w:rPr>
          <w:rFonts w:ascii="隶书" w:eastAsia="隶书"/>
          <w:bCs/>
          <w:color w:val="000000" w:themeColor="text1"/>
          <w:sz w:val="44"/>
          <w14:textFill>
            <w14:solidFill>
              <w14:schemeClr w14:val="tx1"/>
            </w14:solidFill>
          </w14:textFill>
        </w:rPr>
      </w:pPr>
    </w:p>
    <w:p>
      <w:pPr>
        <w:pStyle w:val="14"/>
        <w:spacing w:line="360" w:lineRule="exact"/>
        <w:jc w:val="center"/>
        <w:rPr>
          <w:rFonts w:ascii="隶书" w:eastAsia="隶书"/>
          <w:bCs/>
          <w:color w:val="000000" w:themeColor="text1"/>
          <w:sz w:val="44"/>
          <w14:textFill>
            <w14:solidFill>
              <w14:schemeClr w14:val="tx1"/>
            </w14:solidFill>
          </w14:textFill>
        </w:rPr>
      </w:pPr>
    </w:p>
    <w:p>
      <w:pPr>
        <w:pStyle w:val="14"/>
        <w:numPr>
          <w:ilvl w:val="0"/>
          <w:numId w:val="1"/>
        </w:numPr>
        <w:spacing w:line="360" w:lineRule="exact"/>
        <w:jc w:val="left"/>
        <w:rPr>
          <w:rFonts w:ascii="Times New Roman" w:hAnsi="Times New Roman" w:eastAsia="仿宋_GB2312"/>
          <w:bCs/>
          <w:color w:val="000000" w:themeColor="text1"/>
          <w:sz w:val="32"/>
          <w14:textFill>
            <w14:solidFill>
              <w14:schemeClr w14:val="tx1"/>
            </w14:solidFill>
          </w14:textFill>
        </w:rPr>
      </w:pPr>
      <w:r>
        <w:rPr>
          <w:rFonts w:hint="eastAsia" w:ascii="Times New Roman" w:hAnsi="Times New Roman" w:eastAsia="仿宋_GB2312"/>
          <w:bCs/>
          <w:color w:val="000000" w:themeColor="text1"/>
          <w:sz w:val="32"/>
          <w14:textFill>
            <w14:solidFill>
              <w14:schemeClr w14:val="tx1"/>
            </w14:solidFill>
          </w14:textFill>
        </w:rPr>
        <w:t>招标公告</w:t>
      </w:r>
    </w:p>
    <w:p>
      <w:pPr>
        <w:pStyle w:val="14"/>
        <w:spacing w:line="360" w:lineRule="exact"/>
        <w:ind w:left="360"/>
        <w:jc w:val="left"/>
        <w:rPr>
          <w:rFonts w:ascii="Times New Roman" w:hAnsi="Times New Roman" w:eastAsia="仿宋_GB2312"/>
          <w:bCs/>
          <w:color w:val="000000" w:themeColor="text1"/>
          <w:sz w:val="32"/>
          <w14:textFill>
            <w14:solidFill>
              <w14:schemeClr w14:val="tx1"/>
            </w14:solidFill>
          </w14:textFill>
        </w:rPr>
      </w:pPr>
    </w:p>
    <w:p>
      <w:pPr>
        <w:pStyle w:val="14"/>
        <w:spacing w:line="360" w:lineRule="exact"/>
        <w:ind w:left="360"/>
        <w:jc w:val="left"/>
        <w:rPr>
          <w:rFonts w:ascii="Times New Roman" w:hAnsi="Times New Roman" w:eastAsia="仿宋_GB2312"/>
          <w:bCs/>
          <w:color w:val="000000" w:themeColor="text1"/>
          <w:sz w:val="32"/>
          <w14:textFill>
            <w14:solidFill>
              <w14:schemeClr w14:val="tx1"/>
            </w14:solidFill>
          </w14:textFill>
        </w:rPr>
      </w:pPr>
    </w:p>
    <w:p>
      <w:pPr>
        <w:pStyle w:val="14"/>
        <w:spacing w:line="360" w:lineRule="exact"/>
        <w:ind w:firstLine="569" w:firstLineChars="178"/>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第二章投标人须知</w:t>
      </w:r>
    </w:p>
    <w:p>
      <w:pPr>
        <w:pStyle w:val="14"/>
        <w:spacing w:line="360" w:lineRule="exact"/>
        <w:jc w:val="left"/>
        <w:rPr>
          <w:rFonts w:ascii="Times New Roman" w:hAnsi="Times New Roman" w:eastAsia="仿宋_GB2312"/>
          <w:bCs/>
          <w:color w:val="000000" w:themeColor="text1"/>
          <w:sz w:val="32"/>
          <w14:textFill>
            <w14:solidFill>
              <w14:schemeClr w14:val="tx1"/>
            </w14:solidFill>
          </w14:textFill>
        </w:rPr>
      </w:pPr>
    </w:p>
    <w:p>
      <w:pPr>
        <w:pStyle w:val="14"/>
        <w:spacing w:line="360" w:lineRule="exact"/>
        <w:jc w:val="left"/>
        <w:rPr>
          <w:rFonts w:ascii="Times New Roman" w:hAnsi="Times New Roman" w:eastAsia="仿宋_GB2312"/>
          <w:bCs/>
          <w:color w:val="000000" w:themeColor="text1"/>
          <w:sz w:val="32"/>
          <w14:textFill>
            <w14:solidFill>
              <w14:schemeClr w14:val="tx1"/>
            </w14:solidFill>
          </w14:textFill>
        </w:rPr>
      </w:pPr>
    </w:p>
    <w:p>
      <w:pPr>
        <w:pStyle w:val="14"/>
        <w:spacing w:line="360" w:lineRule="exact"/>
        <w:ind w:firstLine="569" w:firstLineChars="178"/>
        <w:jc w:val="left"/>
        <w:rPr>
          <w:rFonts w:ascii="仿宋_GB2312" w:hAnsi="Times New Roman" w:eastAsia="仿宋_GB2312"/>
          <w:bCs/>
          <w:color w:val="000000" w:themeColor="text1"/>
          <w:sz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第三章 采购需求及技术参数要求</w:t>
      </w:r>
    </w:p>
    <w:p>
      <w:pPr>
        <w:pStyle w:val="14"/>
        <w:spacing w:line="360" w:lineRule="exact"/>
        <w:jc w:val="left"/>
        <w:rPr>
          <w:rFonts w:ascii="Times New Roman" w:hAnsi="Times New Roman" w:eastAsia="仿宋_GB2312"/>
          <w:bCs/>
          <w:color w:val="000000" w:themeColor="text1"/>
          <w:sz w:val="32"/>
          <w14:textFill>
            <w14:solidFill>
              <w14:schemeClr w14:val="tx1"/>
            </w14:solidFill>
          </w14:textFill>
        </w:rPr>
      </w:pPr>
    </w:p>
    <w:p>
      <w:pPr>
        <w:pStyle w:val="14"/>
        <w:spacing w:line="360" w:lineRule="exact"/>
        <w:ind w:firstLine="409" w:firstLineChars="128"/>
        <w:jc w:val="left"/>
        <w:rPr>
          <w:rFonts w:ascii="Times New Roman" w:hAnsi="Times New Roman" w:eastAsia="仿宋_GB2312"/>
          <w:bCs/>
          <w:color w:val="000000" w:themeColor="text1"/>
          <w:sz w:val="32"/>
          <w14:textFill>
            <w14:solidFill>
              <w14:schemeClr w14:val="tx1"/>
            </w14:solidFill>
          </w14:textFill>
        </w:rPr>
      </w:pPr>
    </w:p>
    <w:p>
      <w:pPr>
        <w:pStyle w:val="14"/>
        <w:spacing w:line="360" w:lineRule="exact"/>
        <w:ind w:firstLine="601" w:firstLineChars="188"/>
        <w:jc w:val="left"/>
        <w:rPr>
          <w:rFonts w:ascii="Times New Roman" w:hAnsi="Times New Roman" w:eastAsia="仿宋_GB2312"/>
          <w:bCs/>
          <w:color w:val="000000" w:themeColor="text1"/>
          <w:sz w:val="32"/>
          <w14:textFill>
            <w14:solidFill>
              <w14:schemeClr w14:val="tx1"/>
            </w14:solidFill>
          </w14:textFill>
        </w:rPr>
      </w:pPr>
      <w:r>
        <w:rPr>
          <w:rFonts w:hint="eastAsia" w:ascii="Times New Roman" w:hAnsi="Times New Roman" w:eastAsia="仿宋_GB2312"/>
          <w:bCs/>
          <w:color w:val="000000" w:themeColor="text1"/>
          <w:sz w:val="32"/>
          <w14:textFill>
            <w14:solidFill>
              <w14:schemeClr w14:val="tx1"/>
            </w14:solidFill>
          </w14:textFill>
        </w:rPr>
        <w:t>第四章合同主要条款</w:t>
      </w:r>
    </w:p>
    <w:p>
      <w:pPr>
        <w:pStyle w:val="14"/>
        <w:spacing w:line="360" w:lineRule="exact"/>
        <w:ind w:firstLine="601" w:firstLineChars="188"/>
        <w:jc w:val="left"/>
        <w:rPr>
          <w:rFonts w:ascii="Times New Roman" w:hAnsi="Times New Roman" w:eastAsia="仿宋_GB2312"/>
          <w:bCs/>
          <w:color w:val="000000" w:themeColor="text1"/>
          <w:sz w:val="32"/>
          <w14:textFill>
            <w14:solidFill>
              <w14:schemeClr w14:val="tx1"/>
            </w14:solidFill>
          </w14:textFill>
        </w:rPr>
      </w:pPr>
    </w:p>
    <w:p>
      <w:pPr>
        <w:pStyle w:val="14"/>
        <w:spacing w:line="360" w:lineRule="exact"/>
        <w:jc w:val="left"/>
        <w:rPr>
          <w:rFonts w:ascii="Times New Roman" w:hAnsi="Times New Roman" w:eastAsia="仿宋_GB2312"/>
          <w:bCs/>
          <w:color w:val="000000" w:themeColor="text1"/>
          <w:sz w:val="32"/>
          <w14:textFill>
            <w14:solidFill>
              <w14:schemeClr w14:val="tx1"/>
            </w14:solidFill>
          </w14:textFill>
        </w:rPr>
      </w:pPr>
    </w:p>
    <w:p>
      <w:pPr>
        <w:pStyle w:val="14"/>
        <w:spacing w:line="360" w:lineRule="exact"/>
        <w:ind w:left="359" w:leftChars="171" w:firstLine="240" w:firstLineChars="75"/>
        <w:jc w:val="left"/>
        <w:rPr>
          <w:rFonts w:ascii="Times New Roman" w:hAnsi="Times New Roman" w:eastAsia="仿宋_GB2312"/>
          <w:bCs/>
          <w:color w:val="000000" w:themeColor="text1"/>
          <w:sz w:val="32"/>
          <w14:textFill>
            <w14:solidFill>
              <w14:schemeClr w14:val="tx1"/>
            </w14:solidFill>
          </w14:textFill>
        </w:rPr>
      </w:pPr>
      <w:r>
        <w:rPr>
          <w:rFonts w:hint="eastAsia" w:ascii="Times New Roman" w:hAnsi="Times New Roman" w:eastAsia="仿宋_GB2312"/>
          <w:bCs/>
          <w:color w:val="000000" w:themeColor="text1"/>
          <w:sz w:val="32"/>
          <w14:textFill>
            <w14:solidFill>
              <w14:schemeClr w14:val="tx1"/>
            </w14:solidFill>
          </w14:textFill>
        </w:rPr>
        <w:t>第五章投标文件格式</w:t>
      </w:r>
    </w:p>
    <w:p>
      <w:pPr>
        <w:pStyle w:val="14"/>
        <w:spacing w:line="360" w:lineRule="exact"/>
        <w:ind w:left="360"/>
        <w:rPr>
          <w:rFonts w:ascii="Times New Roman" w:hAnsi="Times New Roman" w:eastAsia="仿宋_GB2312"/>
          <w:bCs/>
          <w:color w:val="000000" w:themeColor="text1"/>
          <w:sz w:val="32"/>
          <w14:textFill>
            <w14:solidFill>
              <w14:schemeClr w14:val="tx1"/>
            </w14:solidFill>
          </w14:textFill>
        </w:rPr>
      </w:pPr>
    </w:p>
    <w:p>
      <w:pPr>
        <w:pStyle w:val="14"/>
        <w:spacing w:line="360" w:lineRule="exact"/>
        <w:ind w:left="360"/>
        <w:rPr>
          <w:rFonts w:ascii="Times New Roman" w:hAnsi="Times New Roman" w:eastAsia="仿宋_GB2312"/>
          <w:bCs/>
          <w:color w:val="000000" w:themeColor="text1"/>
          <w:sz w:val="32"/>
          <w14:textFill>
            <w14:solidFill>
              <w14:schemeClr w14:val="tx1"/>
            </w14:solidFill>
          </w14:textFill>
        </w:rPr>
      </w:pPr>
    </w:p>
    <w:p>
      <w:pPr>
        <w:pStyle w:val="14"/>
        <w:spacing w:line="360" w:lineRule="exact"/>
        <w:ind w:left="360"/>
        <w:rPr>
          <w:rFonts w:ascii="Times New Roman" w:hAnsi="Times New Roman" w:eastAsia="仿宋_GB2312"/>
          <w:bCs/>
          <w:color w:val="000000" w:themeColor="text1"/>
          <w:sz w:val="32"/>
          <w14:textFill>
            <w14:solidFill>
              <w14:schemeClr w14:val="tx1"/>
            </w14:solidFill>
          </w14:textFill>
        </w:rPr>
      </w:pPr>
    </w:p>
    <w:p>
      <w:pPr>
        <w:pStyle w:val="14"/>
        <w:spacing w:line="360" w:lineRule="exact"/>
        <w:ind w:left="360"/>
        <w:rPr>
          <w:rFonts w:ascii="隶书" w:eastAsia="隶书"/>
          <w:bCs/>
          <w:color w:val="000000" w:themeColor="text1"/>
          <w:sz w:val="32"/>
          <w14:textFill>
            <w14:solidFill>
              <w14:schemeClr w14:val="tx1"/>
            </w14:solidFill>
          </w14:textFill>
        </w:rPr>
      </w:pPr>
    </w:p>
    <w:p>
      <w:pPr>
        <w:pStyle w:val="14"/>
        <w:spacing w:line="360" w:lineRule="exact"/>
        <w:ind w:left="360"/>
        <w:rPr>
          <w:rFonts w:ascii="隶书" w:eastAsia="隶书"/>
          <w:bCs/>
          <w:color w:val="000000" w:themeColor="text1"/>
          <w:sz w:val="32"/>
          <w14:textFill>
            <w14:solidFill>
              <w14:schemeClr w14:val="tx1"/>
            </w14:solidFill>
          </w14:textFill>
        </w:rPr>
      </w:pPr>
    </w:p>
    <w:p>
      <w:pPr>
        <w:pStyle w:val="14"/>
        <w:spacing w:line="360" w:lineRule="exact"/>
        <w:rPr>
          <w:rFonts w:ascii="Times New Roman" w:hAnsi="Times New Roman" w:eastAsia="仿宋_GB2312"/>
          <w:bCs/>
          <w:color w:val="000000" w:themeColor="text1"/>
          <w:sz w:val="32"/>
          <w14:textFill>
            <w14:solidFill>
              <w14:schemeClr w14:val="tx1"/>
            </w14:solidFill>
          </w14:textFill>
        </w:rPr>
      </w:pPr>
    </w:p>
    <w:p>
      <w:pPr>
        <w:jc w:val="center"/>
        <w:rPr>
          <w:rFonts w:ascii="宋体" w:hAnsi="宋体"/>
          <w:bCs/>
          <w:color w:val="000000" w:themeColor="text1"/>
          <w:sz w:val="44"/>
          <w:szCs w:val="44"/>
          <w14:textFill>
            <w14:solidFill>
              <w14:schemeClr w14:val="tx1"/>
            </w14:solidFill>
          </w14:textFill>
        </w:rPr>
      </w:pPr>
    </w:p>
    <w:p>
      <w:pPr>
        <w:pStyle w:val="14"/>
        <w:spacing w:line="360" w:lineRule="exact"/>
        <w:rPr>
          <w:rFonts w:hAnsi="宋体"/>
          <w:bCs/>
          <w:color w:val="000000" w:themeColor="text1"/>
          <w:sz w:val="24"/>
          <w14:textFill>
            <w14:solidFill>
              <w14:schemeClr w14:val="tx1"/>
            </w14:solidFill>
          </w14:textFill>
        </w:rPr>
      </w:pPr>
    </w:p>
    <w:p>
      <w:pPr>
        <w:pStyle w:val="14"/>
        <w:spacing w:line="360" w:lineRule="exact"/>
        <w:rPr>
          <w:rFonts w:hAnsi="宋体"/>
          <w:bCs/>
          <w:color w:val="000000" w:themeColor="text1"/>
          <w:sz w:val="24"/>
          <w14:textFill>
            <w14:solidFill>
              <w14:schemeClr w14:val="tx1"/>
            </w14:solidFill>
          </w14:textFill>
        </w:rPr>
      </w:pPr>
    </w:p>
    <w:p>
      <w:pPr>
        <w:pStyle w:val="14"/>
        <w:spacing w:line="360" w:lineRule="exact"/>
        <w:rPr>
          <w:rFonts w:hAnsi="宋体"/>
          <w:bCs/>
          <w:color w:val="000000" w:themeColor="text1"/>
          <w:sz w:val="24"/>
          <w14:textFill>
            <w14:solidFill>
              <w14:schemeClr w14:val="tx1"/>
            </w14:solidFill>
          </w14:textFill>
        </w:rPr>
      </w:pPr>
    </w:p>
    <w:p>
      <w:pPr>
        <w:pStyle w:val="14"/>
        <w:spacing w:line="360" w:lineRule="exact"/>
        <w:rPr>
          <w:rFonts w:hAnsi="宋体"/>
          <w:bCs/>
          <w:color w:val="000000" w:themeColor="text1"/>
          <w:sz w:val="24"/>
          <w14:textFill>
            <w14:solidFill>
              <w14:schemeClr w14:val="tx1"/>
            </w14:solidFill>
          </w14:textFill>
        </w:rPr>
      </w:pPr>
    </w:p>
    <w:p>
      <w:pPr>
        <w:pStyle w:val="14"/>
        <w:spacing w:line="360" w:lineRule="exact"/>
        <w:rPr>
          <w:rFonts w:hAnsi="宋体"/>
          <w:bCs/>
          <w:color w:val="000000" w:themeColor="text1"/>
          <w:sz w:val="24"/>
          <w14:textFill>
            <w14:solidFill>
              <w14:schemeClr w14:val="tx1"/>
            </w14:solidFill>
          </w14:textFill>
        </w:rPr>
      </w:pPr>
    </w:p>
    <w:p>
      <w:pPr>
        <w:pStyle w:val="14"/>
        <w:spacing w:line="360" w:lineRule="exact"/>
        <w:rPr>
          <w:rFonts w:hAnsi="宋体"/>
          <w:bCs/>
          <w:color w:val="000000" w:themeColor="text1"/>
          <w:sz w:val="24"/>
          <w14:textFill>
            <w14:solidFill>
              <w14:schemeClr w14:val="tx1"/>
            </w14:solidFill>
          </w14:textFill>
        </w:rPr>
      </w:pPr>
    </w:p>
    <w:p>
      <w:pPr>
        <w:pStyle w:val="14"/>
        <w:spacing w:line="360" w:lineRule="exact"/>
        <w:rPr>
          <w:rFonts w:hAnsi="宋体"/>
          <w:bCs/>
          <w:color w:val="000000" w:themeColor="text1"/>
          <w:sz w:val="24"/>
          <w14:textFill>
            <w14:solidFill>
              <w14:schemeClr w14:val="tx1"/>
            </w14:solidFill>
          </w14:textFill>
        </w:rPr>
      </w:pPr>
    </w:p>
    <w:p>
      <w:pPr>
        <w:pStyle w:val="14"/>
        <w:spacing w:line="360" w:lineRule="exact"/>
        <w:rPr>
          <w:rFonts w:hAnsi="宋体"/>
          <w:bCs/>
          <w:color w:val="000000" w:themeColor="text1"/>
          <w:sz w:val="24"/>
          <w14:textFill>
            <w14:solidFill>
              <w14:schemeClr w14:val="tx1"/>
            </w14:solidFill>
          </w14:textFill>
        </w:rPr>
      </w:pPr>
    </w:p>
    <w:p>
      <w:pPr>
        <w:pStyle w:val="14"/>
        <w:spacing w:line="360" w:lineRule="exact"/>
        <w:rPr>
          <w:rFonts w:hAnsi="宋体"/>
          <w:bCs/>
          <w:color w:val="000000" w:themeColor="text1"/>
          <w:sz w:val="24"/>
          <w14:textFill>
            <w14:solidFill>
              <w14:schemeClr w14:val="tx1"/>
            </w14:solidFill>
          </w14:textFill>
        </w:rPr>
      </w:pPr>
    </w:p>
    <w:p>
      <w:pPr>
        <w:pStyle w:val="14"/>
        <w:spacing w:line="360" w:lineRule="exact"/>
        <w:rPr>
          <w:rFonts w:hAnsi="宋体"/>
          <w:bCs/>
          <w:color w:val="000000" w:themeColor="text1"/>
          <w:sz w:val="24"/>
          <w14:textFill>
            <w14:solidFill>
              <w14:schemeClr w14:val="tx1"/>
            </w14:solidFill>
          </w14:textFill>
        </w:rPr>
      </w:pPr>
    </w:p>
    <w:p>
      <w:pPr>
        <w:pStyle w:val="14"/>
        <w:spacing w:line="360" w:lineRule="exact"/>
        <w:rPr>
          <w:rFonts w:hAnsi="宋体"/>
          <w:bCs/>
          <w:color w:val="000000" w:themeColor="text1"/>
          <w:sz w:val="24"/>
          <w14:textFill>
            <w14:solidFill>
              <w14:schemeClr w14:val="tx1"/>
            </w14:solidFill>
          </w14:textFill>
        </w:rPr>
      </w:pPr>
    </w:p>
    <w:p>
      <w:pPr>
        <w:pStyle w:val="14"/>
        <w:spacing w:line="360" w:lineRule="exact"/>
        <w:rPr>
          <w:rFonts w:hAnsi="宋体"/>
          <w:bCs/>
          <w:color w:val="000000" w:themeColor="text1"/>
          <w:sz w:val="24"/>
          <w14:textFill>
            <w14:solidFill>
              <w14:schemeClr w14:val="tx1"/>
            </w14:solidFill>
          </w14:textFill>
        </w:rPr>
      </w:pPr>
    </w:p>
    <w:p>
      <w:pPr>
        <w:pStyle w:val="14"/>
        <w:spacing w:line="360" w:lineRule="exact"/>
        <w:rPr>
          <w:rFonts w:hAnsi="宋体"/>
          <w:bCs/>
          <w:color w:val="000000" w:themeColor="text1"/>
          <w:sz w:val="24"/>
          <w14:textFill>
            <w14:solidFill>
              <w14:schemeClr w14:val="tx1"/>
            </w14:solidFill>
          </w14:textFill>
        </w:rPr>
      </w:pPr>
    </w:p>
    <w:p>
      <w:pPr>
        <w:pStyle w:val="14"/>
        <w:spacing w:line="500" w:lineRule="exact"/>
        <w:ind w:firstLine="2880" w:firstLineChars="800"/>
        <w:rPr>
          <w:rFonts w:ascii="黑体" w:hAnsi="宋体" w:eastAsia="黑体"/>
          <w:bCs/>
          <w:color w:val="000000" w:themeColor="text1"/>
          <w:sz w:val="36"/>
          <w:szCs w:val="36"/>
          <w14:textFill>
            <w14:solidFill>
              <w14:schemeClr w14:val="tx1"/>
            </w14:solidFill>
          </w14:textFill>
        </w:rPr>
      </w:pPr>
      <w:r>
        <w:rPr>
          <w:rFonts w:hint="eastAsia" w:ascii="黑体" w:hAnsi="宋体" w:eastAsia="黑体"/>
          <w:bCs/>
          <w:color w:val="000000" w:themeColor="text1"/>
          <w:sz w:val="36"/>
          <w:szCs w:val="36"/>
          <w14:textFill>
            <w14:solidFill>
              <w14:schemeClr w14:val="tx1"/>
            </w14:solidFill>
          </w14:textFill>
        </w:rPr>
        <w:t>第一章  招标公告</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6" w:type="dxa"/>
          </w:tcPr>
          <w:p>
            <w:pPr>
              <w:spacing w:line="400" w:lineRule="exact"/>
              <w:rPr>
                <w:rFonts w:ascii="宋体" w:hAnsi="宋体" w:cs="宋体"/>
                <w:sz w:val="24"/>
                <w:szCs w:val="24"/>
              </w:rPr>
            </w:pPr>
            <w:r>
              <w:rPr>
                <w:rFonts w:hint="eastAsia" w:ascii="宋体" w:hAnsi="宋体" w:cs="宋体"/>
                <w:sz w:val="24"/>
                <w:szCs w:val="24"/>
              </w:rPr>
              <w:t>项目概况：</w:t>
            </w:r>
          </w:p>
          <w:p>
            <w:pPr>
              <w:spacing w:line="400" w:lineRule="exact"/>
              <w:ind w:firstLine="480" w:firstLineChars="200"/>
              <w:rPr>
                <w:rFonts w:ascii="宋体" w:hAnsi="宋体" w:cs="宋体"/>
                <w:sz w:val="24"/>
                <w:szCs w:val="24"/>
              </w:rPr>
            </w:pPr>
            <w:r>
              <w:rPr>
                <w:rFonts w:hint="eastAsia" w:ascii="宋体" w:hAnsi="宋体" w:cs="宋体"/>
                <w:kern w:val="0"/>
                <w:sz w:val="24"/>
                <w:szCs w:val="24"/>
              </w:rPr>
              <w:t>赣州银行南康灾备</w:t>
            </w:r>
            <w:r>
              <w:rPr>
                <w:rFonts w:hint="eastAsia" w:ascii="宋体" w:hAnsi="宋体" w:cs="宋体"/>
                <w:kern w:val="0"/>
                <w:sz w:val="24"/>
                <w:szCs w:val="24"/>
                <w:lang w:val="zh-CN"/>
              </w:rPr>
              <w:t>数据中心设计及施工一体化总承包工程</w:t>
            </w:r>
            <w:r>
              <w:rPr>
                <w:rFonts w:hint="eastAsia" w:ascii="宋体" w:hAnsi="宋体" w:cs="宋体"/>
                <w:kern w:val="0"/>
                <w:sz w:val="24"/>
                <w:szCs w:val="24"/>
              </w:rPr>
              <w:t>招标项目的潜在投标人应在</w:t>
            </w:r>
            <w:r>
              <w:rPr>
                <w:rFonts w:hint="eastAsia" w:ascii="宋体" w:hAnsi="宋体" w:cs="宋体"/>
                <w:kern w:val="0"/>
                <w:sz w:val="24"/>
                <w:szCs w:val="24"/>
                <w:u w:val="single"/>
              </w:rPr>
              <w:t>赣州银行官网（网址：http://www.bankgz.com/）</w:t>
            </w:r>
            <w:r>
              <w:rPr>
                <w:rFonts w:hint="eastAsia" w:ascii="宋体" w:hAnsi="宋体" w:cs="宋体"/>
                <w:kern w:val="0"/>
                <w:sz w:val="24"/>
                <w:szCs w:val="24"/>
              </w:rPr>
              <w:t>获取招标文件，并于</w:t>
            </w:r>
            <w:r>
              <w:rPr>
                <w:rFonts w:hint="eastAsia" w:ascii="宋体" w:hAnsi="宋体" w:cs="宋体"/>
                <w:color w:val="FF0000"/>
                <w:kern w:val="0"/>
                <w:sz w:val="24"/>
                <w:szCs w:val="24"/>
                <w:u w:val="single"/>
              </w:rPr>
              <w:t xml:space="preserve">2020年9月 </w:t>
            </w:r>
            <w:r>
              <w:rPr>
                <w:rFonts w:hint="eastAsia" w:ascii="宋体" w:hAnsi="宋体" w:cs="宋体"/>
                <w:color w:val="FF0000"/>
                <w:kern w:val="0"/>
                <w:sz w:val="24"/>
                <w:szCs w:val="24"/>
                <w:u w:val="single"/>
                <w:lang w:val="en-US" w:eastAsia="zh-CN"/>
              </w:rPr>
              <w:t>3</w:t>
            </w:r>
            <w:r>
              <w:rPr>
                <w:rFonts w:hint="eastAsia" w:ascii="宋体" w:hAnsi="宋体" w:cs="宋体"/>
                <w:color w:val="FF0000"/>
                <w:kern w:val="0"/>
                <w:sz w:val="24"/>
                <w:szCs w:val="24"/>
                <w:u w:val="single"/>
              </w:rPr>
              <w:t>日上午9点00分</w:t>
            </w:r>
            <w:r>
              <w:rPr>
                <w:rFonts w:hint="eastAsia" w:ascii="宋体" w:hAnsi="宋体" w:cs="宋体"/>
                <w:kern w:val="0"/>
                <w:sz w:val="24"/>
                <w:szCs w:val="24"/>
              </w:rPr>
              <w:t>（北京时间）前递交投标文件。</w:t>
            </w:r>
          </w:p>
        </w:tc>
      </w:tr>
    </w:tbl>
    <w:p>
      <w:pPr>
        <w:spacing w:before="38" w:beforeLines="10" w:after="38" w:afterLines="10" w:line="400" w:lineRule="exact"/>
        <w:rPr>
          <w:rFonts w:ascii="宋体" w:hAnsi="宋体"/>
          <w:b/>
          <w:bCs/>
          <w:sz w:val="24"/>
          <w:szCs w:val="24"/>
        </w:rPr>
      </w:pPr>
      <w:bookmarkStart w:id="0" w:name="_Toc35393629"/>
      <w:bookmarkStart w:id="1" w:name="_Toc28359012"/>
      <w:bookmarkStart w:id="2" w:name="_Toc35393798"/>
      <w:bookmarkStart w:id="3" w:name="_Toc28359089"/>
      <w:r>
        <w:rPr>
          <w:rFonts w:hint="eastAsia" w:ascii="宋体" w:hAnsi="宋体"/>
          <w:b/>
          <w:bCs/>
          <w:sz w:val="24"/>
          <w:szCs w:val="24"/>
        </w:rPr>
        <w:t>一、项目基本情况</w:t>
      </w:r>
      <w:bookmarkEnd w:id="0"/>
      <w:bookmarkEnd w:id="1"/>
      <w:bookmarkEnd w:id="2"/>
      <w:bookmarkEnd w:id="3"/>
      <w:r>
        <w:rPr>
          <w:rFonts w:hint="eastAsia" w:ascii="宋体" w:hAnsi="宋体"/>
          <w:b/>
          <w:bCs/>
          <w:sz w:val="24"/>
          <w:szCs w:val="24"/>
        </w:rPr>
        <w:t>：</w:t>
      </w:r>
    </w:p>
    <w:p>
      <w:pPr>
        <w:spacing w:before="38" w:beforeLines="10" w:after="38" w:afterLines="10" w:line="400" w:lineRule="exact"/>
        <w:ind w:firstLine="482" w:firstLineChars="200"/>
        <w:rPr>
          <w:rFonts w:ascii="宋体" w:hAnsi="宋体" w:cs="宋体"/>
          <w:sz w:val="24"/>
          <w:szCs w:val="24"/>
        </w:rPr>
      </w:pPr>
      <w:r>
        <w:rPr>
          <w:rFonts w:hint="eastAsia" w:ascii="宋体" w:hAnsi="宋体"/>
          <w:b/>
          <w:bCs/>
          <w:sz w:val="24"/>
          <w:szCs w:val="24"/>
        </w:rPr>
        <w:t>项目编号：</w:t>
      </w:r>
      <w:r>
        <w:rPr>
          <w:rFonts w:hint="eastAsia" w:ascii="宋体" w:hAnsi="宋体" w:cs="宋体"/>
          <w:sz w:val="24"/>
          <w:szCs w:val="24"/>
        </w:rPr>
        <w:t>JXJH2020-GZ-G007</w:t>
      </w:r>
    </w:p>
    <w:p>
      <w:pPr>
        <w:spacing w:before="38" w:beforeLines="10" w:after="38" w:afterLines="10" w:line="400" w:lineRule="exact"/>
        <w:ind w:firstLine="482" w:firstLineChars="200"/>
        <w:rPr>
          <w:rFonts w:ascii="宋体" w:hAnsi="宋体" w:cs="宋体"/>
          <w:sz w:val="24"/>
          <w:szCs w:val="24"/>
        </w:rPr>
      </w:pPr>
      <w:r>
        <w:rPr>
          <w:rFonts w:hint="eastAsia" w:ascii="宋体" w:hAnsi="宋体"/>
          <w:b/>
          <w:bCs/>
          <w:sz w:val="24"/>
          <w:szCs w:val="24"/>
        </w:rPr>
        <w:t>项目名称：</w:t>
      </w:r>
      <w:r>
        <w:rPr>
          <w:rFonts w:hint="eastAsia" w:ascii="宋体" w:hAnsi="宋体" w:cs="宋体"/>
          <w:sz w:val="24"/>
          <w:szCs w:val="24"/>
        </w:rPr>
        <w:t>赣州银行南康灾备</w:t>
      </w:r>
      <w:r>
        <w:rPr>
          <w:rFonts w:hint="eastAsia" w:ascii="宋体" w:hAnsi="宋体" w:cs="宋体"/>
          <w:sz w:val="24"/>
          <w:szCs w:val="24"/>
          <w:lang w:val="zh-CN"/>
        </w:rPr>
        <w:t>数据中心设计及施工一体化总承包工程</w:t>
      </w:r>
      <w:r>
        <w:rPr>
          <w:rFonts w:hint="eastAsia" w:ascii="宋体" w:hAnsi="宋体" w:cs="宋体"/>
          <w:sz w:val="24"/>
          <w:szCs w:val="24"/>
        </w:rPr>
        <w:t>招标项目</w:t>
      </w:r>
    </w:p>
    <w:p>
      <w:pPr>
        <w:spacing w:before="38" w:beforeLines="10" w:after="38" w:afterLines="10" w:line="400" w:lineRule="exact"/>
        <w:ind w:firstLine="482" w:firstLineChars="200"/>
        <w:rPr>
          <w:rFonts w:ascii="宋体" w:hAnsi="宋体"/>
          <w:b/>
          <w:bCs/>
          <w:sz w:val="24"/>
          <w:szCs w:val="24"/>
        </w:rPr>
      </w:pPr>
      <w:r>
        <w:rPr>
          <w:rFonts w:hint="eastAsia" w:ascii="宋体" w:hAnsi="宋体"/>
          <w:b/>
          <w:bCs/>
          <w:sz w:val="24"/>
          <w:szCs w:val="24"/>
        </w:rPr>
        <w:t>预算金额：</w:t>
      </w:r>
      <w:r>
        <w:rPr>
          <w:rFonts w:hint="eastAsia" w:ascii="宋体" w:hAnsi="宋体"/>
          <w:sz w:val="24"/>
          <w:szCs w:val="24"/>
        </w:rPr>
        <w:t>1250</w:t>
      </w:r>
      <w:r>
        <w:rPr>
          <w:rFonts w:hint="eastAsia" w:ascii="宋体" w:hAnsi="宋体" w:cs="宋体"/>
          <w:sz w:val="24"/>
          <w:szCs w:val="24"/>
        </w:rPr>
        <w:t>万元</w:t>
      </w:r>
    </w:p>
    <w:p>
      <w:pPr>
        <w:spacing w:before="38" w:beforeLines="10" w:after="38" w:afterLines="10" w:line="400" w:lineRule="exact"/>
        <w:ind w:firstLine="482" w:firstLineChars="200"/>
        <w:rPr>
          <w:rFonts w:ascii="宋体" w:hAnsi="宋体"/>
          <w:b/>
          <w:bCs/>
          <w:sz w:val="24"/>
          <w:szCs w:val="24"/>
        </w:rPr>
      </w:pPr>
      <w:r>
        <w:rPr>
          <w:rFonts w:hint="eastAsia" w:ascii="宋体" w:hAnsi="宋体"/>
          <w:b/>
          <w:bCs/>
          <w:sz w:val="24"/>
          <w:szCs w:val="24"/>
        </w:rPr>
        <w:t>采购需求：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850"/>
        <w:gridCol w:w="851"/>
        <w:gridCol w:w="113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spacing w:line="400" w:lineRule="exact"/>
              <w:jc w:val="center"/>
              <w:rPr>
                <w:rFonts w:ascii="宋体" w:hAnsi="宋体" w:cs="宋体"/>
                <w:sz w:val="24"/>
                <w:szCs w:val="24"/>
              </w:rPr>
            </w:pPr>
            <w:r>
              <w:rPr>
                <w:rFonts w:hint="eastAsia" w:ascii="宋体" w:hAnsi="宋体" w:cs="宋体"/>
                <w:sz w:val="24"/>
                <w:szCs w:val="24"/>
              </w:rPr>
              <w:t>名称</w:t>
            </w:r>
          </w:p>
        </w:tc>
        <w:tc>
          <w:tcPr>
            <w:tcW w:w="850" w:type="dxa"/>
            <w:vAlign w:val="center"/>
          </w:tcPr>
          <w:p>
            <w:pPr>
              <w:spacing w:line="400" w:lineRule="exact"/>
              <w:jc w:val="center"/>
              <w:rPr>
                <w:rFonts w:ascii="宋体" w:hAnsi="宋体" w:cs="宋体"/>
                <w:sz w:val="24"/>
                <w:szCs w:val="24"/>
              </w:rPr>
            </w:pPr>
            <w:r>
              <w:rPr>
                <w:rFonts w:hint="eastAsia" w:ascii="宋体" w:hAnsi="宋体" w:cs="宋体"/>
                <w:sz w:val="24"/>
                <w:szCs w:val="24"/>
              </w:rPr>
              <w:t>数量</w:t>
            </w:r>
          </w:p>
        </w:tc>
        <w:tc>
          <w:tcPr>
            <w:tcW w:w="851" w:type="dxa"/>
            <w:vAlign w:val="center"/>
          </w:tcPr>
          <w:p>
            <w:pPr>
              <w:spacing w:line="400" w:lineRule="exact"/>
              <w:jc w:val="center"/>
              <w:rPr>
                <w:rFonts w:ascii="宋体" w:hAnsi="宋体" w:cs="宋体"/>
                <w:sz w:val="24"/>
                <w:szCs w:val="24"/>
              </w:rPr>
            </w:pPr>
            <w:r>
              <w:rPr>
                <w:rFonts w:hint="eastAsia" w:ascii="宋体" w:hAnsi="宋体" w:cs="宋体"/>
                <w:sz w:val="24"/>
                <w:szCs w:val="24"/>
              </w:rPr>
              <w:t>单位</w:t>
            </w:r>
          </w:p>
        </w:tc>
        <w:tc>
          <w:tcPr>
            <w:tcW w:w="1134" w:type="dxa"/>
            <w:vAlign w:val="center"/>
          </w:tcPr>
          <w:p>
            <w:pPr>
              <w:spacing w:line="400" w:lineRule="exact"/>
              <w:jc w:val="center"/>
              <w:rPr>
                <w:rFonts w:ascii="宋体" w:hAnsi="宋体" w:cs="宋体"/>
                <w:sz w:val="24"/>
                <w:szCs w:val="24"/>
              </w:rPr>
            </w:pPr>
            <w:r>
              <w:rPr>
                <w:rFonts w:hint="eastAsia" w:ascii="宋体" w:hAnsi="宋体" w:cs="宋体"/>
                <w:sz w:val="24"/>
                <w:szCs w:val="24"/>
              </w:rPr>
              <w:t>预算金额</w:t>
            </w:r>
          </w:p>
          <w:p>
            <w:pPr>
              <w:spacing w:line="400" w:lineRule="exact"/>
              <w:jc w:val="center"/>
              <w:rPr>
                <w:rFonts w:ascii="宋体" w:hAnsi="宋体" w:cs="宋体"/>
                <w:sz w:val="24"/>
                <w:szCs w:val="24"/>
              </w:rPr>
            </w:pPr>
            <w:r>
              <w:rPr>
                <w:rFonts w:hint="eastAsia" w:ascii="宋体" w:hAnsi="宋体" w:cs="宋体"/>
                <w:sz w:val="24"/>
                <w:szCs w:val="24"/>
              </w:rPr>
              <w:t>（万元）</w:t>
            </w:r>
          </w:p>
        </w:tc>
        <w:tc>
          <w:tcPr>
            <w:tcW w:w="2318" w:type="dxa"/>
            <w:vAlign w:val="center"/>
          </w:tcPr>
          <w:p>
            <w:pPr>
              <w:spacing w:line="400" w:lineRule="exact"/>
              <w:jc w:val="center"/>
              <w:rPr>
                <w:rFonts w:ascii="宋体" w:hAnsi="宋体" w:cs="宋体"/>
                <w:sz w:val="24"/>
                <w:szCs w:val="24"/>
              </w:rPr>
            </w:pPr>
            <w:r>
              <w:rPr>
                <w:rFonts w:hint="eastAsia" w:ascii="宋体" w:hAnsi="宋体" w:cs="宋体"/>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spacing w:line="400" w:lineRule="exact"/>
              <w:jc w:val="center"/>
              <w:rPr>
                <w:rFonts w:ascii="宋体" w:hAnsi="宋体" w:cs="宋体"/>
                <w:sz w:val="24"/>
                <w:szCs w:val="24"/>
              </w:rPr>
            </w:pPr>
            <w:r>
              <w:rPr>
                <w:rFonts w:hint="eastAsia" w:ascii="宋体" w:hAnsi="宋体" w:cs="宋体"/>
                <w:sz w:val="24"/>
                <w:szCs w:val="24"/>
              </w:rPr>
              <w:t>赣州银行南康灾备</w:t>
            </w:r>
            <w:r>
              <w:rPr>
                <w:rFonts w:hint="eastAsia" w:ascii="宋体" w:hAnsi="宋体" w:cs="宋体"/>
                <w:sz w:val="24"/>
                <w:szCs w:val="24"/>
                <w:lang w:val="zh-CN"/>
              </w:rPr>
              <w:t>数据中心设计及施工一体化总承包工程</w:t>
            </w:r>
            <w:r>
              <w:rPr>
                <w:rFonts w:hint="eastAsia" w:ascii="宋体" w:hAnsi="宋体" w:cs="宋体"/>
                <w:sz w:val="24"/>
                <w:szCs w:val="24"/>
              </w:rPr>
              <w:t>招标项目</w:t>
            </w:r>
          </w:p>
        </w:tc>
        <w:tc>
          <w:tcPr>
            <w:tcW w:w="850" w:type="dxa"/>
            <w:vAlign w:val="center"/>
          </w:tcPr>
          <w:p>
            <w:pPr>
              <w:spacing w:line="400" w:lineRule="exact"/>
              <w:jc w:val="center"/>
              <w:rPr>
                <w:rFonts w:ascii="宋体" w:hAnsi="宋体" w:cs="宋体"/>
                <w:sz w:val="24"/>
                <w:szCs w:val="24"/>
              </w:rPr>
            </w:pPr>
            <w:r>
              <w:rPr>
                <w:rFonts w:hint="eastAsia" w:ascii="宋体" w:hAnsi="宋体" w:cs="宋体"/>
                <w:sz w:val="24"/>
                <w:szCs w:val="24"/>
              </w:rPr>
              <w:t>1</w:t>
            </w:r>
          </w:p>
        </w:tc>
        <w:tc>
          <w:tcPr>
            <w:tcW w:w="851" w:type="dxa"/>
            <w:vAlign w:val="center"/>
          </w:tcPr>
          <w:p>
            <w:pPr>
              <w:spacing w:line="400" w:lineRule="exact"/>
              <w:jc w:val="center"/>
              <w:rPr>
                <w:rFonts w:ascii="宋体" w:hAnsi="宋体" w:cs="宋体"/>
                <w:sz w:val="24"/>
                <w:szCs w:val="24"/>
              </w:rPr>
            </w:pPr>
            <w:r>
              <w:rPr>
                <w:rFonts w:hint="eastAsia" w:ascii="宋体" w:hAnsi="宋体"/>
                <w:sz w:val="24"/>
                <w:szCs w:val="24"/>
              </w:rPr>
              <w:t>项</w:t>
            </w:r>
          </w:p>
        </w:tc>
        <w:tc>
          <w:tcPr>
            <w:tcW w:w="1134" w:type="dxa"/>
            <w:vAlign w:val="center"/>
          </w:tcPr>
          <w:p>
            <w:pPr>
              <w:spacing w:line="400" w:lineRule="exact"/>
              <w:jc w:val="center"/>
              <w:rPr>
                <w:rFonts w:ascii="宋体" w:hAnsi="宋体" w:cs="宋体"/>
                <w:sz w:val="24"/>
                <w:szCs w:val="24"/>
              </w:rPr>
            </w:pPr>
            <w:r>
              <w:rPr>
                <w:rFonts w:hint="eastAsia" w:ascii="宋体" w:hAnsi="宋体"/>
                <w:sz w:val="24"/>
                <w:szCs w:val="24"/>
              </w:rPr>
              <w:t>1250</w:t>
            </w:r>
          </w:p>
        </w:tc>
        <w:tc>
          <w:tcPr>
            <w:tcW w:w="2318" w:type="dxa"/>
            <w:vAlign w:val="center"/>
          </w:tcPr>
          <w:p>
            <w:pPr>
              <w:spacing w:line="400" w:lineRule="exact"/>
              <w:jc w:val="center"/>
              <w:rPr>
                <w:rFonts w:ascii="宋体" w:hAnsi="宋体" w:cs="宋体"/>
                <w:sz w:val="24"/>
                <w:szCs w:val="24"/>
              </w:rPr>
            </w:pPr>
            <w:r>
              <w:rPr>
                <w:rFonts w:hint="eastAsia" w:ascii="宋体" w:hAnsi="宋体" w:cs="宋体"/>
                <w:sz w:val="24"/>
                <w:szCs w:val="24"/>
              </w:rPr>
              <w:t>详见招标文件第三章采购</w:t>
            </w:r>
            <w:r>
              <w:rPr>
                <w:rFonts w:hint="eastAsia" w:hAnsi="宋体" w:cs="宋体"/>
                <w:sz w:val="24"/>
                <w:szCs w:val="24"/>
              </w:rPr>
              <w:t>需求及相关要求</w:t>
            </w:r>
          </w:p>
        </w:tc>
      </w:tr>
    </w:tbl>
    <w:p>
      <w:pPr>
        <w:spacing w:before="38" w:beforeLines="10" w:after="38" w:afterLines="10" w:line="400" w:lineRule="exact"/>
        <w:ind w:firstLine="482" w:firstLineChars="200"/>
        <w:rPr>
          <w:rFonts w:ascii="宋体" w:hAnsi="宋体"/>
          <w:b/>
          <w:bCs/>
          <w:sz w:val="24"/>
          <w:szCs w:val="24"/>
        </w:rPr>
      </w:pPr>
      <w:r>
        <w:rPr>
          <w:rFonts w:hint="eastAsia" w:ascii="宋体" w:hAnsi="宋体"/>
          <w:b/>
          <w:bCs/>
          <w:sz w:val="24"/>
          <w:szCs w:val="24"/>
        </w:rPr>
        <w:t>合同履行期限：</w:t>
      </w:r>
      <w:r>
        <w:rPr>
          <w:rFonts w:hint="eastAsia" w:ascii="宋体" w:hAnsi="宋体"/>
          <w:sz w:val="24"/>
          <w:szCs w:val="24"/>
        </w:rPr>
        <w:t>设计、实施120日历天内完成。</w:t>
      </w:r>
    </w:p>
    <w:p>
      <w:pPr>
        <w:spacing w:line="400" w:lineRule="exact"/>
        <w:ind w:firstLine="482" w:firstLineChars="200"/>
        <w:rPr>
          <w:rFonts w:ascii="宋体" w:hAnsi="宋体" w:cs="宋体"/>
          <w:bCs/>
          <w:kern w:val="0"/>
          <w:sz w:val="24"/>
          <w:szCs w:val="24"/>
        </w:rPr>
      </w:pPr>
      <w:r>
        <w:rPr>
          <w:rFonts w:hint="eastAsia" w:ascii="宋体" w:hAnsi="宋体"/>
          <w:b/>
          <w:bCs/>
          <w:sz w:val="24"/>
          <w:szCs w:val="24"/>
        </w:rPr>
        <w:t>本项目不接受联合体投标。</w:t>
      </w:r>
    </w:p>
    <w:p>
      <w:pPr>
        <w:shd w:val="clear" w:color="auto" w:fill="FFFFFF"/>
        <w:snapToGrid w:val="0"/>
        <w:spacing w:line="400" w:lineRule="exact"/>
        <w:rPr>
          <w:rFonts w:ascii="宋体" w:hAnsi="宋体" w:cs="宋体"/>
          <w:b/>
          <w:kern w:val="0"/>
          <w:sz w:val="24"/>
          <w:szCs w:val="24"/>
        </w:rPr>
      </w:pPr>
      <w:bookmarkStart w:id="4" w:name="_Toc35393799"/>
      <w:bookmarkStart w:id="5" w:name="_Toc28359013"/>
      <w:bookmarkStart w:id="6" w:name="_Toc28359090"/>
      <w:bookmarkStart w:id="7" w:name="_Toc35393630"/>
      <w:r>
        <w:rPr>
          <w:rFonts w:hint="eastAsia" w:ascii="宋体" w:hAnsi="宋体" w:cs="宋体"/>
          <w:b/>
          <w:kern w:val="0"/>
          <w:sz w:val="24"/>
          <w:szCs w:val="24"/>
        </w:rPr>
        <w:t>二、申请人的资格要求：</w:t>
      </w:r>
      <w:bookmarkEnd w:id="4"/>
      <w:bookmarkEnd w:id="5"/>
      <w:bookmarkEnd w:id="6"/>
      <w:bookmarkEnd w:id="7"/>
    </w:p>
    <w:p>
      <w:pPr>
        <w:shd w:val="clear" w:color="auto" w:fill="FFFFFF"/>
        <w:snapToGrid w:val="0"/>
        <w:spacing w:line="400" w:lineRule="exact"/>
        <w:ind w:firstLine="480" w:firstLineChars="200"/>
        <w:rPr>
          <w:rFonts w:ascii="宋体" w:hAnsi="宋体" w:cs="宋体"/>
          <w:bCs/>
          <w:kern w:val="0"/>
          <w:sz w:val="24"/>
          <w:szCs w:val="24"/>
        </w:rPr>
      </w:pPr>
      <w:r>
        <w:rPr>
          <w:rFonts w:hint="eastAsia" w:ascii="宋体" w:hAnsi="宋体" w:cs="宋体"/>
          <w:bCs/>
          <w:kern w:val="0"/>
          <w:sz w:val="24"/>
          <w:szCs w:val="24"/>
        </w:rPr>
        <w:t>1.投标人具有独立法人资格，具有履行合同所必须的设备、专业技术、资金、资质等履约能力。</w:t>
      </w:r>
    </w:p>
    <w:p>
      <w:pPr>
        <w:spacing w:line="400" w:lineRule="exact"/>
        <w:ind w:firstLine="480" w:firstLineChars="200"/>
        <w:rPr>
          <w:rFonts w:ascii="宋体" w:hAnsi="宋体" w:cs="宋体"/>
          <w:bCs/>
          <w:kern w:val="0"/>
          <w:sz w:val="24"/>
          <w:szCs w:val="24"/>
        </w:rPr>
      </w:pPr>
      <w:r>
        <w:rPr>
          <w:rFonts w:hint="eastAsia" w:ascii="宋体" w:hAnsi="宋体" w:cs="宋体"/>
          <w:bCs/>
          <w:kern w:val="0"/>
          <w:sz w:val="24"/>
          <w:szCs w:val="24"/>
        </w:rPr>
        <w:t>2.投标人须同时具备以下资质且在有效期内:</w:t>
      </w:r>
    </w:p>
    <w:p>
      <w:pPr>
        <w:spacing w:line="400" w:lineRule="exact"/>
        <w:ind w:firstLine="480" w:firstLineChars="200"/>
        <w:rPr>
          <w:rFonts w:ascii="宋体" w:hAnsi="宋体" w:cs="宋体"/>
          <w:bCs/>
          <w:kern w:val="0"/>
          <w:sz w:val="24"/>
          <w:szCs w:val="24"/>
        </w:rPr>
      </w:pPr>
      <w:r>
        <w:rPr>
          <w:rFonts w:hint="eastAsia" w:ascii="宋体" w:hAnsi="宋体" w:cs="宋体"/>
          <w:bCs/>
          <w:kern w:val="0"/>
          <w:sz w:val="24"/>
          <w:szCs w:val="24"/>
        </w:rPr>
        <w:t>（1）电子与智能化工程专业承包一级资质；</w:t>
      </w:r>
    </w:p>
    <w:p>
      <w:pPr>
        <w:spacing w:line="400" w:lineRule="exact"/>
        <w:ind w:firstLine="480" w:firstLineChars="200"/>
        <w:rPr>
          <w:rFonts w:ascii="宋体" w:hAnsi="宋体" w:cs="宋体"/>
          <w:bCs/>
          <w:kern w:val="0"/>
          <w:sz w:val="24"/>
          <w:szCs w:val="24"/>
        </w:rPr>
      </w:pPr>
      <w:r>
        <w:rPr>
          <w:rFonts w:hint="eastAsia" w:ascii="宋体" w:hAnsi="宋体" w:cs="宋体"/>
          <w:bCs/>
          <w:kern w:val="0"/>
          <w:sz w:val="24"/>
          <w:szCs w:val="24"/>
        </w:rPr>
        <w:t>（2）建筑装饰装修工程专业承包二级及以上资质；</w:t>
      </w:r>
    </w:p>
    <w:p>
      <w:pPr>
        <w:spacing w:line="400" w:lineRule="exact"/>
        <w:ind w:firstLine="480" w:firstLineChars="200"/>
        <w:rPr>
          <w:rFonts w:ascii="宋体" w:hAnsi="宋体" w:cs="宋体"/>
          <w:bCs/>
          <w:kern w:val="0"/>
          <w:sz w:val="24"/>
          <w:szCs w:val="24"/>
        </w:rPr>
      </w:pPr>
      <w:r>
        <w:rPr>
          <w:rFonts w:hint="eastAsia" w:ascii="宋体" w:hAnsi="宋体" w:cs="宋体"/>
          <w:bCs/>
          <w:kern w:val="0"/>
          <w:sz w:val="24"/>
          <w:szCs w:val="24"/>
        </w:rPr>
        <w:t>（3）建筑机电安装工程专业承包二级及以上资质或机电工程施工总承包一级资质；</w:t>
      </w:r>
    </w:p>
    <w:p>
      <w:pPr>
        <w:spacing w:line="400" w:lineRule="exact"/>
        <w:ind w:firstLine="480" w:firstLineChars="200"/>
        <w:rPr>
          <w:rFonts w:ascii="宋体" w:hAnsi="宋体" w:cs="宋体"/>
          <w:bCs/>
          <w:kern w:val="0"/>
          <w:sz w:val="24"/>
          <w:szCs w:val="24"/>
        </w:rPr>
      </w:pPr>
      <w:r>
        <w:rPr>
          <w:rFonts w:hint="eastAsia" w:ascii="宋体" w:hAnsi="宋体" w:cs="宋体"/>
          <w:bCs/>
          <w:kern w:val="0"/>
          <w:sz w:val="24"/>
          <w:szCs w:val="24"/>
        </w:rPr>
        <w:t>（4）建筑智能化系统设计专项甲级资质。</w:t>
      </w:r>
    </w:p>
    <w:p>
      <w:pPr>
        <w:spacing w:line="400" w:lineRule="exact"/>
        <w:ind w:firstLine="480" w:firstLineChars="200"/>
        <w:rPr>
          <w:rFonts w:ascii="宋体" w:hAnsi="宋体" w:cs="宋体"/>
          <w:bCs/>
          <w:kern w:val="0"/>
          <w:sz w:val="24"/>
          <w:szCs w:val="24"/>
        </w:rPr>
      </w:pPr>
      <w:r>
        <w:rPr>
          <w:rFonts w:hint="eastAsia" w:ascii="宋体" w:hAnsi="宋体" w:cs="宋体"/>
          <w:bCs/>
          <w:kern w:val="0"/>
          <w:sz w:val="24"/>
          <w:szCs w:val="24"/>
        </w:rPr>
        <w:t>3.投标人须具有有效的安全生产许可证。</w:t>
      </w:r>
    </w:p>
    <w:p>
      <w:pPr>
        <w:spacing w:line="400" w:lineRule="exact"/>
        <w:ind w:firstLine="480" w:firstLineChars="200"/>
        <w:rPr>
          <w:rFonts w:ascii="宋体" w:hAnsi="宋体" w:cs="宋体"/>
          <w:bCs/>
          <w:kern w:val="0"/>
          <w:sz w:val="24"/>
          <w:szCs w:val="24"/>
        </w:rPr>
      </w:pPr>
      <w:r>
        <w:rPr>
          <w:rFonts w:hint="eastAsia" w:ascii="宋体" w:hAnsi="宋体" w:cs="宋体"/>
          <w:bCs/>
          <w:kern w:val="0"/>
          <w:sz w:val="24"/>
          <w:szCs w:val="24"/>
        </w:rPr>
        <w:t>4.投标人须提供（2016年-2018年）经会计师事务所或审计机构审核的财务会计报表（包括资产负债表、现金流量表和利润表等报表的复印件）。</w:t>
      </w:r>
    </w:p>
    <w:p>
      <w:pPr>
        <w:spacing w:line="400" w:lineRule="exact"/>
        <w:ind w:firstLine="480" w:firstLineChars="200"/>
        <w:rPr>
          <w:rFonts w:ascii="宋体" w:hAnsi="宋体" w:cs="宋体"/>
          <w:bCs/>
          <w:kern w:val="0"/>
          <w:sz w:val="24"/>
          <w:szCs w:val="24"/>
        </w:rPr>
      </w:pPr>
      <w:r>
        <w:rPr>
          <w:rFonts w:hint="eastAsia" w:ascii="宋体" w:hAnsi="宋体" w:cs="宋体"/>
          <w:bCs/>
          <w:kern w:val="0"/>
          <w:sz w:val="24"/>
          <w:szCs w:val="24"/>
        </w:rPr>
        <w:t>5. 投标人设计与施工业绩要求：具备设计与施工总承包能力，自2017年1月1日至今，独立承接并验收完成至少</w:t>
      </w:r>
      <w:r>
        <w:rPr>
          <w:rFonts w:hint="eastAsia" w:ascii="宋体" w:hAnsi="宋体" w:cs="宋体"/>
          <w:bCs/>
          <w:kern w:val="0"/>
          <w:sz w:val="24"/>
          <w:szCs w:val="24"/>
          <w:lang w:val="en-US" w:eastAsia="zh-CN"/>
        </w:rPr>
        <w:t>2</w:t>
      </w:r>
      <w:r>
        <w:rPr>
          <w:rFonts w:hint="eastAsia" w:ascii="宋体" w:hAnsi="宋体" w:cs="宋体"/>
          <w:bCs/>
          <w:kern w:val="0"/>
          <w:sz w:val="24"/>
          <w:szCs w:val="24"/>
        </w:rPr>
        <w:t>个数据中心工程设计与施工业绩（允许2017年以前签订合同但需在此之后验收完成的非分包项目，工程设计也等同于深化方案设计），并提供证明材料【必须能够体现并提供证明：工程名称、工程详细地址、工程建设面积、机柜数量、合同中标金额、建设单位名称、地址及联系人（手机及办公电话）等核心要素；证明材料需提供合同复印件（加盖公章）、中标通知书复印件（加盖公章）、竣工验收报告复印件（加盖公章），无法体现核心要素则须提供项目建设单位（或总包单位）加盖公章的证明函，同时投标人所提供的业绩招标人无论何时都有进行实地考查的权利。】。业绩要求：合同签订金额 1000 万元（含）以上。</w:t>
      </w:r>
    </w:p>
    <w:p>
      <w:pPr>
        <w:spacing w:line="400" w:lineRule="exact"/>
        <w:ind w:firstLine="480" w:firstLineChars="200"/>
        <w:rPr>
          <w:rFonts w:ascii="宋体" w:hAnsi="宋体" w:cs="宋体"/>
          <w:bCs/>
          <w:kern w:val="0"/>
          <w:sz w:val="24"/>
          <w:szCs w:val="24"/>
        </w:rPr>
      </w:pPr>
      <w:r>
        <w:rPr>
          <w:rFonts w:hint="eastAsia" w:ascii="宋体" w:hAnsi="宋体" w:cs="宋体"/>
          <w:bCs/>
          <w:kern w:val="0"/>
          <w:sz w:val="24"/>
          <w:szCs w:val="24"/>
        </w:rPr>
        <w:t>6．投标人人员资格要求：</w:t>
      </w:r>
    </w:p>
    <w:p>
      <w:pPr>
        <w:spacing w:line="400" w:lineRule="exact"/>
        <w:ind w:firstLine="480" w:firstLineChars="200"/>
        <w:rPr>
          <w:rFonts w:cs="宋体" w:asciiTheme="minorEastAsia" w:hAnsiTheme="minorEastAsia"/>
          <w:bCs/>
          <w:kern w:val="0"/>
          <w:sz w:val="24"/>
          <w:szCs w:val="24"/>
        </w:rPr>
      </w:pPr>
      <w:r>
        <w:rPr>
          <w:rFonts w:hint="eastAsia" w:ascii="宋体" w:hAnsi="宋体" w:cs="宋体"/>
          <w:bCs/>
          <w:kern w:val="0"/>
          <w:sz w:val="24"/>
          <w:szCs w:val="24"/>
        </w:rPr>
        <w:t>（1）拟派项目经理资格要求：</w:t>
      </w:r>
      <w:r>
        <w:rPr>
          <w:rFonts w:hint="eastAsia" w:cs="宋体" w:asciiTheme="minorEastAsia" w:hAnsiTheme="minorEastAsia"/>
          <w:bCs/>
          <w:kern w:val="0"/>
          <w:sz w:val="24"/>
          <w:szCs w:val="24"/>
        </w:rPr>
        <w:t>①</w:t>
      </w:r>
      <w:r>
        <w:rPr>
          <w:rFonts w:hint="eastAsia" w:ascii="宋体" w:hAnsi="宋体" w:cs="宋体"/>
          <w:bCs/>
          <w:kern w:val="0"/>
          <w:sz w:val="24"/>
          <w:szCs w:val="24"/>
        </w:rPr>
        <w:t>须持有住建部颁发的一级注册建造师执业资格证书（建筑工程或机电工程专业，在本单位注册）并具有有效安全生产考核合格证；</w:t>
      </w:r>
      <w:r>
        <w:rPr>
          <w:rFonts w:hint="eastAsia" w:cs="宋体" w:asciiTheme="minorEastAsia" w:hAnsiTheme="minorEastAsia"/>
          <w:bCs/>
          <w:kern w:val="0"/>
          <w:sz w:val="24"/>
          <w:szCs w:val="24"/>
        </w:rPr>
        <w:t>②有三年以上类似项目现场管理经验；独立承接并验收完成至少1个数据中心施工总承包业绩；承诺无在建或中标待建工程。③合同签订金额1000万元（含）以上，且建设面积400平米（含）以上（不包含普通办公辅助区）或机柜数量80柜（含）以上【个人业绩规模资料中必须能够体现并提供证明：工程名称、工程详细地址、工程建设面积、机柜数量、合同中标金额、建设单位名称、地址及联系人（手机及办公电话）等核心要素；证明材料需提供合同复印件（加盖公章）、中标通知书复印件（加盖公章）、竣工验收报告复印件（加盖公章），无法体现核心要素则须提供项目建设单位加盖公章的证明函，同时投标人所提供的业绩招标人无论何时都有进行实地考查的权利】。④提供在投标人单位近</w:t>
      </w:r>
      <w:r>
        <w:rPr>
          <w:rFonts w:hint="eastAsia" w:cs="宋体" w:asciiTheme="minorEastAsia" w:hAnsiTheme="minorEastAsia"/>
          <w:bCs/>
          <w:kern w:val="0"/>
          <w:sz w:val="24"/>
          <w:szCs w:val="24"/>
          <w:lang w:val="en-US" w:eastAsia="zh-CN"/>
        </w:rPr>
        <w:t>3个月</w:t>
      </w:r>
      <w:r>
        <w:rPr>
          <w:rFonts w:hint="eastAsia" w:cs="宋体" w:asciiTheme="minorEastAsia" w:hAnsiTheme="minorEastAsia"/>
          <w:bCs/>
          <w:kern w:val="0"/>
          <w:sz w:val="24"/>
          <w:szCs w:val="24"/>
        </w:rPr>
        <w:t>社保证明复印件。</w:t>
      </w:r>
    </w:p>
    <w:p>
      <w:pPr>
        <w:spacing w:line="400" w:lineRule="exact"/>
        <w:ind w:firstLine="480" w:firstLineChars="200"/>
        <w:rPr>
          <w:sz w:val="24"/>
          <w:szCs w:val="24"/>
        </w:rPr>
      </w:pPr>
      <w:r>
        <w:rPr>
          <w:rFonts w:hint="eastAsia" w:ascii="宋体" w:hAnsi="宋体" w:cs="宋体"/>
          <w:bCs/>
          <w:kern w:val="0"/>
          <w:sz w:val="24"/>
          <w:szCs w:val="24"/>
        </w:rPr>
        <w:t>（2） 设计负责人的资格要求：必须是投标人企业在职人员；具备相关技术资格认证；具有类似规模数据中心的设计经验，能提供个人业绩证明材料。</w:t>
      </w:r>
    </w:p>
    <w:p>
      <w:pPr>
        <w:spacing w:line="400" w:lineRule="exact"/>
        <w:ind w:firstLine="480" w:firstLineChars="200"/>
        <w:rPr>
          <w:rFonts w:ascii="宋体" w:hAnsi="宋体" w:cs="宋体"/>
          <w:bCs/>
          <w:kern w:val="0"/>
          <w:sz w:val="24"/>
          <w:szCs w:val="24"/>
        </w:rPr>
      </w:pPr>
      <w:r>
        <w:rPr>
          <w:rFonts w:hint="eastAsia" w:ascii="宋体" w:hAnsi="宋体" w:cs="宋体"/>
          <w:bCs/>
          <w:kern w:val="0"/>
          <w:sz w:val="24"/>
          <w:szCs w:val="24"/>
        </w:rPr>
        <w:t>（3）施工负责人的资格要求：必须是投标人企业在职人员；具备相关技术资格认证；具有类似规模数据中心的实施现场经验，能提供个人业绩证明材料。</w:t>
      </w:r>
    </w:p>
    <w:p>
      <w:pPr>
        <w:spacing w:line="400" w:lineRule="exact"/>
        <w:ind w:firstLine="480" w:firstLineChars="200"/>
        <w:rPr>
          <w:rFonts w:ascii="宋体" w:hAnsi="宋体" w:cs="宋体"/>
          <w:bCs/>
          <w:kern w:val="0"/>
          <w:sz w:val="24"/>
          <w:szCs w:val="24"/>
        </w:rPr>
      </w:pPr>
      <w:r>
        <w:rPr>
          <w:rFonts w:hint="eastAsia" w:ascii="宋体" w:hAnsi="宋体" w:cs="宋体"/>
          <w:bCs/>
          <w:kern w:val="0"/>
          <w:sz w:val="24"/>
          <w:szCs w:val="24"/>
        </w:rPr>
        <w:t>（4）拟派项目管理机构及人员资格要求：必须是投标人企业在职人员；各成员均具备相关技术资格认证；具有类似规模数据中心的管理经验。</w:t>
      </w:r>
    </w:p>
    <w:p>
      <w:pPr>
        <w:spacing w:line="400" w:lineRule="exact"/>
        <w:ind w:firstLine="480" w:firstLineChars="200"/>
        <w:rPr>
          <w:rFonts w:ascii="宋体" w:hAnsi="宋体" w:cs="宋体"/>
          <w:bCs/>
          <w:kern w:val="0"/>
          <w:sz w:val="24"/>
          <w:szCs w:val="24"/>
        </w:rPr>
      </w:pPr>
      <w:r>
        <w:rPr>
          <w:rFonts w:hint="eastAsia" w:ascii="宋体" w:hAnsi="宋体" w:cs="宋体"/>
          <w:bCs/>
          <w:kern w:val="0"/>
          <w:sz w:val="24"/>
          <w:szCs w:val="24"/>
        </w:rPr>
        <w:t>（5）拟派项目管理机构及人员资格要求：必须是投标人企业在职人员；各成员均具备相关技术资格认证；具有类似规模数据中心的管理经验。【主要人员指：造价师、质检员、安全员、施工员、材料员、资料员等，至少提供在投标人单位近</w:t>
      </w:r>
      <w:r>
        <w:rPr>
          <w:rFonts w:hint="eastAsia" w:ascii="宋体" w:hAnsi="宋体" w:cs="宋体"/>
          <w:bCs/>
          <w:kern w:val="0"/>
          <w:sz w:val="24"/>
          <w:szCs w:val="24"/>
          <w:lang w:eastAsia="zh-CN"/>
        </w:rPr>
        <w:t>3个月</w:t>
      </w:r>
      <w:r>
        <w:rPr>
          <w:rFonts w:hint="eastAsia" w:ascii="宋体" w:hAnsi="宋体" w:cs="宋体"/>
          <w:bCs/>
          <w:kern w:val="0"/>
          <w:sz w:val="24"/>
          <w:szCs w:val="24"/>
        </w:rPr>
        <w:t>社保证明复印件，证书如有变更，以发证机关核准后的变更为准；各成员均获得相关专业技术资格认证（需提供相关证书复印件）。】</w:t>
      </w:r>
    </w:p>
    <w:p>
      <w:pPr>
        <w:spacing w:line="400" w:lineRule="exact"/>
        <w:ind w:firstLine="480" w:firstLineChars="200"/>
        <w:rPr>
          <w:rFonts w:ascii="宋体" w:hAnsi="宋体" w:cs="宋体"/>
          <w:bCs/>
          <w:kern w:val="0"/>
          <w:sz w:val="24"/>
          <w:szCs w:val="24"/>
        </w:rPr>
      </w:pPr>
      <w:r>
        <w:rPr>
          <w:rFonts w:hint="eastAsia" w:ascii="宋体" w:hAnsi="宋体" w:cs="宋体"/>
          <w:bCs/>
          <w:kern w:val="0"/>
          <w:sz w:val="24"/>
          <w:szCs w:val="24"/>
        </w:rPr>
        <w:t>7.信誉要求：投标人未处于被责令停业、投标资格被取消或者财产被接管、冻结和破产状态的以及有违法行为的；企业没有因骗取中标或者严重违约以及发生重大工程质量、安全生产事故等问题，被有关部门暂停投标资格并在暂停期内的；近三年所承建的同类项目无重大质量安全事故（重大工程质量问题以建设行政主管部门书面认定为准），投标人不得存在被人民法院列入失信被执行人的情形（以“信用中国”官网www.creditchina.gov.cn查询为准），否则招标人有权取消其参与投标的资格。符合法律，法规规定的其他条件。</w:t>
      </w:r>
    </w:p>
    <w:p>
      <w:pPr>
        <w:spacing w:line="400" w:lineRule="exact"/>
        <w:ind w:firstLine="480" w:firstLineChars="200"/>
        <w:rPr>
          <w:rFonts w:ascii="宋体" w:hAnsi="宋体" w:cs="宋体"/>
          <w:bCs/>
          <w:kern w:val="0"/>
          <w:sz w:val="24"/>
          <w:szCs w:val="24"/>
        </w:rPr>
      </w:pPr>
      <w:r>
        <w:rPr>
          <w:rFonts w:hint="eastAsia" w:ascii="宋体" w:hAnsi="宋体" w:cs="宋体"/>
          <w:bCs/>
          <w:kern w:val="0"/>
          <w:sz w:val="24"/>
          <w:szCs w:val="24"/>
        </w:rPr>
        <w:t>8.投标人不得与本项目监理、建设单位存在隶属关系和利益关系，不得作为建设单位投资者和合伙经营者。</w:t>
      </w:r>
    </w:p>
    <w:p>
      <w:pPr>
        <w:spacing w:line="400" w:lineRule="exact"/>
        <w:rPr>
          <w:rFonts w:ascii="宋体" w:hAnsi="宋体"/>
          <w:b/>
          <w:bCs/>
          <w:kern w:val="0"/>
          <w:sz w:val="24"/>
          <w:szCs w:val="24"/>
        </w:rPr>
      </w:pPr>
      <w:r>
        <w:rPr>
          <w:rFonts w:hint="eastAsia" w:ascii="宋体" w:hAnsi="宋体"/>
          <w:b/>
          <w:bCs/>
          <w:kern w:val="0"/>
          <w:sz w:val="24"/>
          <w:szCs w:val="24"/>
        </w:rPr>
        <w:t>三、获取招标文件：</w:t>
      </w:r>
    </w:p>
    <w:p>
      <w:pPr>
        <w:spacing w:line="400" w:lineRule="exact"/>
        <w:ind w:firstLine="480" w:firstLineChars="200"/>
        <w:rPr>
          <w:rFonts w:ascii="宋体" w:hAnsi="宋体"/>
          <w:kern w:val="0"/>
          <w:sz w:val="24"/>
          <w:szCs w:val="24"/>
        </w:rPr>
      </w:pPr>
      <w:r>
        <w:rPr>
          <w:rFonts w:hint="eastAsia" w:ascii="宋体" w:hAnsi="宋体"/>
          <w:kern w:val="0"/>
          <w:sz w:val="24"/>
          <w:szCs w:val="24"/>
        </w:rPr>
        <w:t>时间：</w:t>
      </w:r>
      <w:r>
        <w:rPr>
          <w:rFonts w:hint="eastAsia" w:ascii="宋体" w:hAnsi="宋体"/>
          <w:color w:val="FF0000"/>
          <w:kern w:val="0"/>
          <w:sz w:val="24"/>
          <w:szCs w:val="24"/>
        </w:rPr>
        <w:t>2020年</w:t>
      </w:r>
      <w:r>
        <w:rPr>
          <w:rFonts w:hint="eastAsia" w:ascii="宋体" w:hAnsi="宋体"/>
          <w:color w:val="FF0000"/>
          <w:kern w:val="0"/>
          <w:sz w:val="24"/>
          <w:szCs w:val="24"/>
          <w:lang w:val="en-US" w:eastAsia="zh-CN"/>
        </w:rPr>
        <w:t>8</w:t>
      </w:r>
      <w:r>
        <w:rPr>
          <w:rFonts w:hint="eastAsia" w:ascii="宋体" w:hAnsi="宋体"/>
          <w:color w:val="FF0000"/>
          <w:kern w:val="0"/>
          <w:sz w:val="24"/>
          <w:szCs w:val="24"/>
        </w:rPr>
        <w:t>月</w:t>
      </w:r>
      <w:r>
        <w:rPr>
          <w:rFonts w:hint="eastAsia" w:ascii="宋体" w:hAnsi="宋体"/>
          <w:color w:val="FF0000"/>
          <w:kern w:val="0"/>
          <w:sz w:val="24"/>
          <w:szCs w:val="24"/>
          <w:lang w:val="en-US" w:eastAsia="zh-CN"/>
        </w:rPr>
        <w:t>17</w:t>
      </w:r>
      <w:r>
        <w:rPr>
          <w:rFonts w:hint="eastAsia" w:ascii="宋体" w:hAnsi="宋体"/>
          <w:color w:val="FF0000"/>
          <w:kern w:val="0"/>
          <w:sz w:val="24"/>
          <w:szCs w:val="24"/>
        </w:rPr>
        <w:t>日至2020年</w:t>
      </w:r>
      <w:r>
        <w:rPr>
          <w:rFonts w:hint="eastAsia" w:ascii="宋体" w:hAnsi="宋体"/>
          <w:color w:val="FF0000"/>
          <w:kern w:val="0"/>
          <w:sz w:val="24"/>
          <w:szCs w:val="24"/>
          <w:lang w:val="en-US" w:eastAsia="zh-CN"/>
        </w:rPr>
        <w:t>8</w:t>
      </w:r>
      <w:r>
        <w:rPr>
          <w:rFonts w:hint="eastAsia" w:ascii="宋体" w:hAnsi="宋体"/>
          <w:color w:val="FF0000"/>
          <w:kern w:val="0"/>
          <w:sz w:val="24"/>
          <w:szCs w:val="24"/>
        </w:rPr>
        <w:t>月</w:t>
      </w:r>
      <w:r>
        <w:rPr>
          <w:rFonts w:hint="eastAsia" w:ascii="宋体" w:hAnsi="宋体"/>
          <w:color w:val="FF0000"/>
          <w:kern w:val="0"/>
          <w:sz w:val="24"/>
          <w:szCs w:val="24"/>
          <w:lang w:val="en-US" w:eastAsia="zh-CN"/>
        </w:rPr>
        <w:t>21</w:t>
      </w:r>
      <w:r>
        <w:rPr>
          <w:rFonts w:hint="eastAsia" w:ascii="宋体" w:hAnsi="宋体"/>
          <w:color w:val="FF0000"/>
          <w:kern w:val="0"/>
          <w:sz w:val="24"/>
          <w:szCs w:val="24"/>
        </w:rPr>
        <w:t>日</w:t>
      </w:r>
      <w:r>
        <w:rPr>
          <w:rFonts w:hint="eastAsia" w:ascii="宋体" w:hAnsi="宋体"/>
          <w:kern w:val="0"/>
          <w:sz w:val="24"/>
          <w:szCs w:val="24"/>
        </w:rPr>
        <w:t>（北京时间，法定节假日除外）</w:t>
      </w:r>
    </w:p>
    <w:p>
      <w:pPr>
        <w:spacing w:line="400" w:lineRule="exact"/>
        <w:ind w:firstLine="420"/>
        <w:rPr>
          <w:rFonts w:ascii="宋体" w:hAnsi="宋体"/>
          <w:sz w:val="24"/>
          <w:szCs w:val="24"/>
        </w:rPr>
      </w:pPr>
      <w:r>
        <w:rPr>
          <w:rFonts w:hint="eastAsia" w:ascii="宋体" w:hAnsi="宋体"/>
          <w:sz w:val="24"/>
          <w:szCs w:val="24"/>
        </w:rPr>
        <w:t>地点：赣州银行官方网站获取，</w:t>
      </w:r>
      <w:r>
        <w:rPr>
          <w:rFonts w:hint="eastAsia" w:asciiTheme="minorEastAsia" w:hAnsiTheme="minorEastAsia" w:cstheme="minorEastAsia"/>
          <w:color w:val="000000"/>
          <w:sz w:val="24"/>
          <w:szCs w:val="24"/>
        </w:rPr>
        <w:t>网址：</w:t>
      </w:r>
      <w:r>
        <w:rPr>
          <w:sz w:val="24"/>
          <w:szCs w:val="24"/>
        </w:rPr>
        <w:fldChar w:fldCharType="begin"/>
      </w:r>
      <w:r>
        <w:rPr>
          <w:sz w:val="24"/>
          <w:szCs w:val="24"/>
        </w:rPr>
        <w:instrText xml:space="preserve"> HYPERLINK "http://www.bankgz.com/" </w:instrText>
      </w:r>
      <w:r>
        <w:rPr>
          <w:sz w:val="24"/>
          <w:szCs w:val="24"/>
        </w:rPr>
        <w:fldChar w:fldCharType="separate"/>
      </w:r>
      <w:r>
        <w:rPr>
          <w:rStyle w:val="29"/>
          <w:rFonts w:hint="eastAsia" w:asciiTheme="minorEastAsia" w:hAnsiTheme="minorEastAsia" w:cstheme="minorEastAsia"/>
          <w:color w:val="000000"/>
          <w:sz w:val="24"/>
          <w:szCs w:val="24"/>
        </w:rPr>
        <w:t>http://www.bankgz.com/</w:t>
      </w:r>
      <w:r>
        <w:rPr>
          <w:rStyle w:val="29"/>
          <w:rFonts w:hint="eastAsia" w:asciiTheme="minorEastAsia" w:hAnsiTheme="minorEastAsia" w:cstheme="minorEastAsia"/>
          <w:color w:val="000000"/>
          <w:sz w:val="24"/>
          <w:szCs w:val="24"/>
        </w:rPr>
        <w:fldChar w:fldCharType="end"/>
      </w:r>
    </w:p>
    <w:p>
      <w:pPr>
        <w:spacing w:line="400" w:lineRule="exact"/>
        <w:ind w:firstLine="420"/>
        <w:rPr>
          <w:rFonts w:ascii="宋体" w:hAnsi="宋体"/>
          <w:sz w:val="24"/>
          <w:szCs w:val="24"/>
        </w:rPr>
      </w:pPr>
      <w:r>
        <w:rPr>
          <w:rFonts w:hint="eastAsia" w:ascii="宋体" w:hAnsi="宋体"/>
          <w:sz w:val="24"/>
          <w:szCs w:val="24"/>
        </w:rPr>
        <w:t>方式：</w:t>
      </w:r>
      <w:r>
        <w:rPr>
          <w:rFonts w:hint="eastAsia" w:asciiTheme="minorEastAsia" w:hAnsiTheme="minorEastAsia" w:cstheme="minorEastAsia"/>
          <w:bCs/>
          <w:color w:val="000000"/>
          <w:kern w:val="0"/>
          <w:sz w:val="24"/>
          <w:szCs w:val="24"/>
        </w:rPr>
        <w:t>自行下载</w:t>
      </w:r>
    </w:p>
    <w:p>
      <w:pPr>
        <w:spacing w:line="400" w:lineRule="exact"/>
        <w:ind w:firstLine="420"/>
        <w:rPr>
          <w:rFonts w:ascii="宋体" w:hAnsi="宋体"/>
          <w:sz w:val="24"/>
          <w:szCs w:val="24"/>
        </w:rPr>
      </w:pPr>
      <w:r>
        <w:rPr>
          <w:rFonts w:hint="eastAsia" w:ascii="宋体" w:hAnsi="宋体"/>
          <w:sz w:val="24"/>
          <w:szCs w:val="24"/>
        </w:rPr>
        <w:t>售价：0元</w:t>
      </w:r>
    </w:p>
    <w:p>
      <w:pPr>
        <w:pStyle w:val="10"/>
        <w:spacing w:line="400" w:lineRule="exact"/>
        <w:jc w:val="both"/>
        <w:rPr>
          <w:rFonts w:ascii="宋体" w:hAnsi="宋体" w:eastAsia="宋体"/>
          <w:b/>
          <w:bCs/>
          <w:sz w:val="24"/>
          <w:szCs w:val="24"/>
        </w:rPr>
      </w:pPr>
      <w:r>
        <w:rPr>
          <w:rFonts w:hint="eastAsia" w:ascii="宋体" w:hAnsi="宋体" w:eastAsia="宋体"/>
          <w:b/>
          <w:bCs/>
          <w:sz w:val="24"/>
          <w:szCs w:val="24"/>
        </w:rPr>
        <w:t>四、提交投标文件截止时间、开标时间和地点：</w:t>
      </w:r>
    </w:p>
    <w:p>
      <w:pPr>
        <w:pStyle w:val="11"/>
        <w:spacing w:line="400" w:lineRule="exact"/>
        <w:ind w:left="0" w:leftChars="0"/>
        <w:rPr>
          <w:rFonts w:ascii="宋体" w:hAnsi="宋体" w:eastAsia="宋体"/>
          <w:sz w:val="24"/>
          <w:szCs w:val="24"/>
        </w:rPr>
      </w:pPr>
      <w:r>
        <w:rPr>
          <w:rFonts w:hint="eastAsia" w:ascii="宋体" w:hAnsi="宋体"/>
          <w:sz w:val="24"/>
          <w:szCs w:val="24"/>
        </w:rPr>
        <w:t xml:space="preserve">   </w:t>
      </w:r>
      <w:r>
        <w:rPr>
          <w:rFonts w:hint="eastAsia" w:ascii="宋体" w:hAnsi="宋体"/>
          <w:color w:val="FF0000"/>
          <w:sz w:val="24"/>
          <w:szCs w:val="24"/>
        </w:rPr>
        <w:t xml:space="preserve"> 2020年</w:t>
      </w:r>
      <w:r>
        <w:rPr>
          <w:rFonts w:hint="eastAsia" w:ascii="宋体" w:hAnsi="宋体"/>
          <w:color w:val="FF0000"/>
          <w:sz w:val="24"/>
          <w:szCs w:val="24"/>
          <w:lang w:val="en-US" w:eastAsia="zh-CN"/>
        </w:rPr>
        <w:t>9</w:t>
      </w:r>
      <w:r>
        <w:rPr>
          <w:rFonts w:hint="eastAsia" w:ascii="宋体" w:hAnsi="宋体"/>
          <w:color w:val="FF0000"/>
          <w:sz w:val="24"/>
          <w:szCs w:val="24"/>
        </w:rPr>
        <w:t>月</w:t>
      </w:r>
      <w:r>
        <w:rPr>
          <w:rFonts w:hint="eastAsia" w:ascii="宋体" w:hAnsi="宋体"/>
          <w:color w:val="FF0000"/>
          <w:sz w:val="24"/>
          <w:szCs w:val="24"/>
          <w:lang w:val="en-US" w:eastAsia="zh-CN"/>
        </w:rPr>
        <w:t>3</w:t>
      </w:r>
      <w:r>
        <w:rPr>
          <w:rFonts w:hint="eastAsia" w:ascii="宋体" w:hAnsi="宋体"/>
          <w:color w:val="FF0000"/>
          <w:sz w:val="24"/>
          <w:szCs w:val="24"/>
        </w:rPr>
        <w:t xml:space="preserve">日 </w:t>
      </w:r>
      <w:r>
        <w:rPr>
          <w:rFonts w:hint="eastAsia" w:ascii="宋体" w:hAnsi="宋体"/>
          <w:color w:val="FF0000"/>
          <w:sz w:val="24"/>
          <w:szCs w:val="24"/>
          <w:lang w:eastAsia="zh-CN"/>
        </w:rPr>
        <w:t>上</w:t>
      </w:r>
      <w:r>
        <w:rPr>
          <w:rFonts w:hint="eastAsia" w:ascii="宋体" w:hAnsi="宋体"/>
          <w:color w:val="FF0000"/>
          <w:sz w:val="24"/>
          <w:szCs w:val="24"/>
        </w:rPr>
        <w:t>午</w:t>
      </w:r>
      <w:r>
        <w:rPr>
          <w:rFonts w:hint="eastAsia" w:ascii="宋体" w:hAnsi="宋体"/>
          <w:color w:val="FF0000"/>
          <w:sz w:val="24"/>
          <w:szCs w:val="24"/>
          <w:lang w:val="en-US" w:eastAsia="zh-CN"/>
        </w:rPr>
        <w:t>9</w:t>
      </w:r>
      <w:r>
        <w:rPr>
          <w:rFonts w:hint="eastAsia" w:ascii="宋体" w:hAnsi="宋体"/>
          <w:color w:val="FF0000"/>
          <w:sz w:val="24"/>
          <w:szCs w:val="24"/>
        </w:rPr>
        <w:t>点</w:t>
      </w:r>
      <w:r>
        <w:rPr>
          <w:rFonts w:hint="eastAsia" w:ascii="宋体" w:hAnsi="宋体"/>
          <w:color w:val="FF0000"/>
          <w:sz w:val="24"/>
          <w:szCs w:val="24"/>
          <w:lang w:val="en-US" w:eastAsia="zh-CN"/>
        </w:rPr>
        <w:t>00</w:t>
      </w:r>
      <w:r>
        <w:rPr>
          <w:rFonts w:hint="eastAsia" w:ascii="宋体" w:hAnsi="宋体"/>
          <w:color w:val="FF0000"/>
          <w:sz w:val="24"/>
          <w:szCs w:val="24"/>
        </w:rPr>
        <w:t>分</w:t>
      </w:r>
      <w:r>
        <w:rPr>
          <w:rFonts w:hint="eastAsia" w:ascii="宋体" w:hAnsi="宋体"/>
          <w:sz w:val="24"/>
          <w:szCs w:val="24"/>
        </w:rPr>
        <w:t>（北京时间）（自招标文件开始发出之日起至投标人提交投标文件截止之日止，不得少于20日）</w:t>
      </w:r>
    </w:p>
    <w:p>
      <w:pPr>
        <w:spacing w:line="400" w:lineRule="exact"/>
        <w:rPr>
          <w:rFonts w:ascii="Calibri" w:hAnsi="Calibri"/>
          <w:sz w:val="24"/>
          <w:szCs w:val="24"/>
        </w:rPr>
      </w:pPr>
      <w:r>
        <w:rPr>
          <w:rFonts w:hint="eastAsia" w:ascii="宋体" w:hAnsi="宋体"/>
          <w:sz w:val="24"/>
          <w:szCs w:val="24"/>
        </w:rPr>
        <w:t>地点：</w:t>
      </w:r>
      <w:r>
        <w:rPr>
          <w:rFonts w:hint="eastAsia" w:ascii="宋体" w:hAnsi="宋体"/>
          <w:color w:val="000000" w:themeColor="text1"/>
          <w:sz w:val="24"/>
          <w:szCs w:val="24"/>
          <w14:textFill>
            <w14:solidFill>
              <w14:schemeClr w14:val="tx1"/>
            </w14:solidFill>
          </w14:textFill>
        </w:rPr>
        <w:t>赣州市章贡区信丰路中海凯旋门(北门）36栋703</w:t>
      </w:r>
    </w:p>
    <w:p>
      <w:pPr>
        <w:spacing w:line="400" w:lineRule="exact"/>
        <w:rPr>
          <w:rFonts w:ascii="宋体" w:hAnsi="宋体"/>
          <w:sz w:val="24"/>
          <w:szCs w:val="24"/>
        </w:rPr>
      </w:pPr>
      <w:r>
        <w:rPr>
          <w:rFonts w:hint="eastAsia" w:ascii="宋体" w:hAnsi="宋体"/>
          <w:b/>
          <w:bCs/>
          <w:sz w:val="24"/>
          <w:szCs w:val="24"/>
        </w:rPr>
        <w:t>五、公告期限：</w:t>
      </w:r>
    </w:p>
    <w:p>
      <w:pPr>
        <w:spacing w:line="400" w:lineRule="exact"/>
        <w:ind w:firstLine="480" w:firstLineChars="200"/>
        <w:rPr>
          <w:rFonts w:ascii="Calibri" w:hAnsi="Calibri"/>
          <w:sz w:val="24"/>
          <w:szCs w:val="24"/>
        </w:rPr>
      </w:pPr>
      <w:r>
        <w:rPr>
          <w:rFonts w:hint="eastAsia" w:ascii="宋体" w:hAnsi="宋体"/>
          <w:sz w:val="24"/>
          <w:szCs w:val="24"/>
        </w:rPr>
        <w:t>自本公告之日起5个工作日</w:t>
      </w:r>
    </w:p>
    <w:p>
      <w:pPr>
        <w:spacing w:line="400" w:lineRule="exact"/>
        <w:rPr>
          <w:rFonts w:ascii="宋体" w:hAnsi="宋体"/>
          <w:b/>
          <w:bCs/>
          <w:sz w:val="24"/>
          <w:szCs w:val="24"/>
        </w:rPr>
      </w:pPr>
      <w:r>
        <w:rPr>
          <w:rFonts w:hint="eastAsia" w:ascii="宋体" w:hAnsi="宋体"/>
          <w:b/>
          <w:bCs/>
          <w:sz w:val="24"/>
          <w:szCs w:val="24"/>
        </w:rPr>
        <w:t>六、其他补充事宜：</w:t>
      </w:r>
    </w:p>
    <w:p>
      <w:pPr>
        <w:spacing w:line="400" w:lineRule="exact"/>
        <w:ind w:firstLine="480" w:firstLineChars="200"/>
        <w:rPr>
          <w:rFonts w:ascii="宋体" w:hAnsi="宋体"/>
          <w:b/>
          <w:bCs/>
          <w:sz w:val="24"/>
          <w:szCs w:val="24"/>
        </w:rPr>
      </w:pPr>
      <w:r>
        <w:rPr>
          <w:rFonts w:hint="eastAsia" w:ascii="宋体" w:hAnsi="宋体"/>
          <w:bCs/>
          <w:color w:val="000000" w:themeColor="text1"/>
          <w:sz w:val="24"/>
          <w:szCs w:val="24"/>
          <w14:textFill>
            <w14:solidFill>
              <w14:schemeClr w14:val="tx1"/>
            </w14:solidFill>
          </w14:textFill>
        </w:rPr>
        <w:t>1</w:t>
      </w:r>
      <w:r>
        <w:rPr>
          <w:rFonts w:hint="eastAsia" w:ascii="宋体" w:hAnsi="宋体" w:cs="宋体"/>
          <w:bCs/>
          <w:color w:val="000000" w:themeColor="text1"/>
          <w:kern w:val="0"/>
          <w:sz w:val="24"/>
          <w:szCs w:val="24"/>
          <w14:textFill>
            <w14:solidFill>
              <w14:schemeClr w14:val="tx1"/>
            </w14:solidFill>
          </w14:textFill>
        </w:rPr>
        <w:t>.</w:t>
      </w:r>
      <w:r>
        <w:rPr>
          <w:rFonts w:ascii="宋体" w:hAnsi="宋体"/>
          <w:bCs/>
          <w:color w:val="000000" w:themeColor="text1"/>
          <w:sz w:val="24"/>
          <w:szCs w:val="24"/>
          <w14:textFill>
            <w14:solidFill>
              <w14:schemeClr w14:val="tx1"/>
            </w14:solidFill>
          </w14:textFill>
        </w:rPr>
        <w:t>评标</w:t>
      </w:r>
      <w:r>
        <w:rPr>
          <w:rFonts w:hint="eastAsia" w:ascii="宋体" w:hAnsi="宋体"/>
          <w:bCs/>
          <w:color w:val="000000" w:themeColor="text1"/>
          <w:sz w:val="24"/>
          <w:szCs w:val="24"/>
          <w14:textFill>
            <w14:solidFill>
              <w14:schemeClr w14:val="tx1"/>
            </w14:solidFill>
          </w14:textFill>
        </w:rPr>
        <w:t>方法和原则：</w:t>
      </w:r>
      <w:r>
        <w:rPr>
          <w:rFonts w:hint="eastAsia" w:ascii="宋体" w:hAnsi="宋体" w:cs="Arial"/>
          <w:bCs/>
          <w:color w:val="000000" w:themeColor="text1"/>
          <w:sz w:val="24"/>
          <w:szCs w:val="24"/>
          <w14:textFill>
            <w14:solidFill>
              <w14:schemeClr w14:val="tx1"/>
            </w14:solidFill>
          </w14:textFill>
        </w:rPr>
        <w:t>采用综合评分法(详见第二章评分细则)。</w:t>
      </w:r>
    </w:p>
    <w:p>
      <w:pPr>
        <w:tabs>
          <w:tab w:val="left" w:pos="5670"/>
        </w:tabs>
        <w:spacing w:line="400" w:lineRule="exact"/>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2.投标保证金</w:t>
      </w:r>
      <w:r>
        <w:rPr>
          <w:rFonts w:hint="eastAsia" w:ascii="宋体" w:hAnsi="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5</w:t>
      </w:r>
      <w:r>
        <w:rPr>
          <w:rFonts w:hint="eastAsia" w:ascii="宋体" w:hAnsi="宋体" w:cs="宋体"/>
          <w:bCs/>
          <w:color w:val="000000" w:themeColor="text1"/>
          <w:sz w:val="24"/>
          <w:szCs w:val="24"/>
          <w14:textFill>
            <w14:solidFill>
              <w14:schemeClr w14:val="tx1"/>
            </w14:solidFill>
          </w14:textFill>
        </w:rPr>
        <w:t>0000</w:t>
      </w:r>
      <w:r>
        <w:rPr>
          <w:rFonts w:hint="eastAsia" w:ascii="宋体" w:hAnsi="宋体" w:cs="宋体"/>
          <w:bCs/>
          <w:color w:val="000000" w:themeColor="text1"/>
          <w:kern w:val="0"/>
          <w:sz w:val="24"/>
          <w:szCs w:val="24"/>
          <w14:textFill>
            <w14:solidFill>
              <w14:schemeClr w14:val="tx1"/>
            </w14:solidFill>
          </w14:textFill>
        </w:rPr>
        <w:t>元整。投标人须在</w:t>
      </w:r>
      <w:r>
        <w:rPr>
          <w:rFonts w:hint="eastAsia" w:ascii="宋体" w:hAnsi="宋体" w:cs="宋体"/>
          <w:bCs/>
          <w:color w:val="FF0000"/>
          <w:kern w:val="0"/>
          <w:sz w:val="24"/>
          <w:szCs w:val="24"/>
        </w:rPr>
        <w:t>2020年</w:t>
      </w:r>
      <w:r>
        <w:rPr>
          <w:rFonts w:hint="eastAsia" w:ascii="宋体" w:hAnsi="宋体" w:cs="宋体"/>
          <w:bCs/>
          <w:color w:val="FF0000"/>
          <w:kern w:val="0"/>
          <w:sz w:val="24"/>
          <w:szCs w:val="24"/>
          <w:lang w:val="en-US" w:eastAsia="zh-CN"/>
        </w:rPr>
        <w:t>9</w:t>
      </w:r>
      <w:r>
        <w:rPr>
          <w:rFonts w:hint="eastAsia" w:ascii="宋体" w:hAnsi="宋体" w:cs="宋体"/>
          <w:bCs/>
          <w:color w:val="FF0000"/>
          <w:kern w:val="0"/>
          <w:sz w:val="24"/>
          <w:szCs w:val="24"/>
        </w:rPr>
        <w:t>月</w:t>
      </w:r>
      <w:r>
        <w:rPr>
          <w:rFonts w:hint="eastAsia" w:ascii="宋体" w:hAnsi="宋体" w:cs="宋体"/>
          <w:bCs/>
          <w:color w:val="FF0000"/>
          <w:kern w:val="0"/>
          <w:sz w:val="24"/>
          <w:szCs w:val="24"/>
          <w:lang w:val="en-US" w:eastAsia="zh-CN"/>
        </w:rPr>
        <w:t>3</w:t>
      </w:r>
      <w:r>
        <w:rPr>
          <w:rFonts w:hint="eastAsia" w:ascii="宋体" w:hAnsi="宋体" w:cs="宋体"/>
          <w:bCs/>
          <w:color w:val="FF0000"/>
          <w:kern w:val="0"/>
          <w:sz w:val="24"/>
          <w:szCs w:val="24"/>
        </w:rPr>
        <w:t>日上午9：00</w:t>
      </w:r>
      <w:r>
        <w:rPr>
          <w:rFonts w:hint="eastAsia" w:ascii="宋体" w:hAnsi="宋体" w:cs="宋体"/>
          <w:bCs/>
          <w:color w:val="000000" w:themeColor="text1"/>
          <w:kern w:val="0"/>
          <w:sz w:val="24"/>
          <w:szCs w:val="24"/>
          <w14:textFill>
            <w14:solidFill>
              <w14:schemeClr w14:val="tx1"/>
            </w14:solidFill>
          </w14:textFill>
        </w:rPr>
        <w:t>（北京时间）前从企业基本账户以银行转账方式向招标代理机构足额缴纳，以实际到账为准 （汇款时应注明项目名称、拟投标供应商名称或投标人名称，且应与投标书一致）。</w:t>
      </w:r>
    </w:p>
    <w:p>
      <w:pPr>
        <w:spacing w:line="400" w:lineRule="exact"/>
        <w:ind w:left="72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账户名：江西久和招标服务有限公司</w:t>
      </w:r>
    </w:p>
    <w:p>
      <w:pPr>
        <w:spacing w:line="400" w:lineRule="exact"/>
        <w:ind w:left="720"/>
        <w:rPr>
          <w:rFonts w:ascii="宋体" w:hAnsi="宋体"/>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账  号：</w:t>
      </w:r>
      <w:r>
        <w:rPr>
          <w:rFonts w:hint="eastAsia" w:ascii="宋体" w:hAnsi="宋体"/>
          <w:bCs/>
          <w:color w:val="000000" w:themeColor="text1"/>
          <w:sz w:val="24"/>
          <w:szCs w:val="24"/>
          <w14:textFill>
            <w14:solidFill>
              <w14:schemeClr w14:val="tx1"/>
            </w14:solidFill>
          </w14:textFill>
        </w:rPr>
        <w:t>2007 3290 1471</w:t>
      </w:r>
    </w:p>
    <w:p>
      <w:pPr>
        <w:spacing w:line="400" w:lineRule="exact"/>
        <w:ind w:left="720"/>
        <w:rPr>
          <w:rFonts w:ascii="宋体" w:hAnsi="宋体"/>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开户行：</w:t>
      </w:r>
      <w:r>
        <w:rPr>
          <w:rFonts w:hint="eastAsia" w:ascii="宋体" w:hAnsi="宋体"/>
          <w:bCs/>
          <w:color w:val="000000" w:themeColor="text1"/>
          <w:sz w:val="24"/>
          <w:szCs w:val="24"/>
          <w14:textFill>
            <w14:solidFill>
              <w14:schemeClr w14:val="tx1"/>
            </w14:solidFill>
          </w14:textFill>
        </w:rPr>
        <w:t>中国银行宜春市宜阳支行</w:t>
      </w:r>
    </w:p>
    <w:p>
      <w:pPr>
        <w:spacing w:line="400" w:lineRule="exact"/>
        <w:ind w:firstLine="480" w:firstLineChars="200"/>
        <w:rPr>
          <w:sz w:val="24"/>
          <w:szCs w:val="24"/>
        </w:rPr>
      </w:pPr>
      <w:r>
        <w:rPr>
          <w:rFonts w:hint="eastAsia" w:ascii="宋体" w:hAnsi="宋体"/>
          <w:bCs/>
          <w:color w:val="000000" w:themeColor="text1"/>
          <w:sz w:val="24"/>
          <w:szCs w:val="24"/>
          <w14:textFill>
            <w14:solidFill>
              <w14:schemeClr w14:val="tx1"/>
            </w14:solidFill>
          </w14:textFill>
        </w:rPr>
        <w:t>注：为保证投标保证金准确及时，请采用电汇形式办理，如果采用非电汇形式，造成保证金信息不全或错误，由此产生的一切后果由投标人自行承担。</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3.信息查阅方式：投标人可在赣州银行官方网站查看公告并下载标书。</w:t>
      </w:r>
    </w:p>
    <w:p>
      <w:pPr>
        <w:pStyle w:val="20"/>
        <w:tabs>
          <w:tab w:val="center" w:pos="5370"/>
        </w:tabs>
        <w:spacing w:after="0" w:line="400" w:lineRule="exact"/>
        <w:ind w:left="0" w:leftChars="0"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4.投标人须知：</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（1）招标代理服务费：</w:t>
      </w:r>
      <w:r>
        <w:rPr>
          <w:rFonts w:hint="eastAsia" w:ascii="Arial" w:hAnsi="Arial" w:cs="Arial"/>
          <w:bCs/>
          <w:color w:val="000000" w:themeColor="text1"/>
          <w:kern w:val="0"/>
          <w:sz w:val="24"/>
          <w:szCs w:val="24"/>
          <w:shd w:val="clear" w:color="auto" w:fill="FFFFFF"/>
          <w14:textFill>
            <w14:solidFill>
              <w14:schemeClr w14:val="tx1"/>
            </w14:solidFill>
          </w14:textFill>
        </w:rPr>
        <w:t>本项目将向成交供应商收取招标代理服务费，具体收费标准详见招标文件。</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（2）获取了招标文件的供应商，如不能参加此次投标的，请在投标截止时间三日前以书面形式通知招标代理构放弃投标，否则，不得再参加该项目的采购活动。</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（3）投标人投标时所提供的投标文件因资料证件不全、失效、达不到标准要求的，均视同无效投标。</w:t>
      </w:r>
    </w:p>
    <w:p>
      <w:pPr>
        <w:pStyle w:val="20"/>
        <w:tabs>
          <w:tab w:val="center" w:pos="5370"/>
        </w:tabs>
        <w:spacing w:after="0" w:line="400" w:lineRule="exact"/>
        <w:ind w:left="0" w:leftChars="0"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5.采购信息发布、补充、变更、修改平台：赣州银行官网</w:t>
      </w:r>
      <w:r>
        <w:rPr>
          <w:rFonts w:hint="eastAsia"/>
          <w:sz w:val="24"/>
          <w:szCs w:val="24"/>
        </w:rPr>
        <w:fldChar w:fldCharType="begin"/>
      </w:r>
      <w:r>
        <w:rPr>
          <w:sz w:val="24"/>
          <w:szCs w:val="24"/>
        </w:rPr>
        <w:instrText xml:space="preserve"> HYPERLINK "http://www.bankgz.com/" </w:instrText>
      </w:r>
      <w:r>
        <w:rPr>
          <w:rFonts w:hint="eastAsia"/>
          <w:sz w:val="24"/>
          <w:szCs w:val="24"/>
        </w:rPr>
        <w:fldChar w:fldCharType="separate"/>
      </w:r>
      <w:r>
        <w:rPr>
          <w:rFonts w:hint="eastAsia" w:ascii="宋体" w:hAnsi="宋体" w:cs="宋体"/>
          <w:bCs/>
          <w:color w:val="000000" w:themeColor="text1"/>
          <w:sz w:val="24"/>
          <w:szCs w:val="24"/>
          <w14:textFill>
            <w14:solidFill>
              <w14:schemeClr w14:val="tx1"/>
            </w14:solidFill>
          </w14:textFill>
        </w:rPr>
        <w:t>http://www.bankgz.com/</w:t>
      </w:r>
      <w:r>
        <w:rPr>
          <w:rFonts w:hint="eastAsia" w:ascii="宋体" w:hAnsi="宋体" w:cs="宋体"/>
          <w:bCs/>
          <w:color w:val="000000" w:themeColor="text1"/>
          <w:sz w:val="24"/>
          <w:szCs w:val="24"/>
          <w14:textFill>
            <w14:solidFill>
              <w14:schemeClr w14:val="tx1"/>
            </w14:solidFill>
          </w14:textFill>
        </w:rPr>
        <w:fldChar w:fldCharType="end"/>
      </w:r>
    </w:p>
    <w:p>
      <w:pPr>
        <w:pStyle w:val="20"/>
        <w:tabs>
          <w:tab w:val="center" w:pos="5370"/>
        </w:tabs>
        <w:spacing w:after="0" w:line="400" w:lineRule="exact"/>
        <w:ind w:left="0" w:leftChars="0"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6.本项目采购公告澄清、变更、修改、补充等事宜均在以上网站发布，请各拟投标人密切关注。</w:t>
      </w:r>
    </w:p>
    <w:p>
      <w:pPr>
        <w:pStyle w:val="20"/>
        <w:tabs>
          <w:tab w:val="center" w:pos="5370"/>
        </w:tabs>
        <w:spacing w:after="0" w:line="400" w:lineRule="exact"/>
        <w:ind w:left="0" w:leftChars="0"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7.疫情防控： </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所有人员应当全程佩戴口罩，自觉接受体温测量。原则上各投标单位仅限派1名代表参加现场交易活动，并携带身份证。特别说明如下：</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（1）最近14天接触过新型冠状病毒感染的肺炎疑似或确诊患者的，不得进入开评标区；</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（2）近期有发热、乏力、干咳、气促等新型冠状病毒感染可疑症状的，不得进入开评标区；</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（3）未佩戴口罩的，不得进入开评标区；</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（4）现场测量体（额）温超过37.3℃的，不得进入开评标区。</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（5）到场人员需出示赣州市章贡区个人电子通行证二维码（绿色），未出示或出示非绿色二维码的人员不得进入开评标区。</w:t>
      </w:r>
    </w:p>
    <w:p>
      <w:pPr>
        <w:spacing w:line="400" w:lineRule="exact"/>
        <w:rPr>
          <w:rFonts w:ascii="宋体" w:hAnsi="宋体"/>
          <w:b/>
          <w:bCs/>
          <w:sz w:val="24"/>
          <w:szCs w:val="24"/>
        </w:rPr>
      </w:pPr>
      <w:r>
        <w:rPr>
          <w:rFonts w:hint="eastAsia" w:ascii="宋体" w:hAnsi="宋体"/>
          <w:b/>
          <w:bCs/>
          <w:sz w:val="24"/>
          <w:szCs w:val="24"/>
        </w:rPr>
        <w:t>七、对本次招标提出询问，请按以下方式联系：</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1.采购人信息</w:t>
      </w:r>
    </w:p>
    <w:p>
      <w:pPr>
        <w:pStyle w:val="20"/>
        <w:tabs>
          <w:tab w:val="center" w:pos="5370"/>
        </w:tabs>
        <w:spacing w:after="0" w:line="400" w:lineRule="exact"/>
        <w:ind w:left="0" w:leftChars="0"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名称：</w:t>
      </w:r>
      <w:r>
        <w:rPr>
          <w:rFonts w:hint="eastAsia" w:ascii="宋体" w:hAnsi="宋体" w:cs="宋体"/>
          <w:bCs/>
          <w:color w:val="000000" w:themeColor="text1"/>
          <w:sz w:val="24"/>
          <w:szCs w:val="24"/>
          <w:lang w:val="zh-CN"/>
          <w14:textFill>
            <w14:solidFill>
              <w14:schemeClr w14:val="tx1"/>
            </w14:solidFill>
          </w14:textFill>
        </w:rPr>
        <w:t>赣州银行股份</w:t>
      </w:r>
      <w:r>
        <w:rPr>
          <w:rFonts w:hint="eastAsia" w:ascii="宋体" w:hAnsi="宋体" w:cs="宋体"/>
          <w:bCs/>
          <w:color w:val="000000" w:themeColor="text1"/>
          <w:sz w:val="24"/>
          <w:szCs w:val="24"/>
          <w14:textFill>
            <w14:solidFill>
              <w14:schemeClr w14:val="tx1"/>
            </w14:solidFill>
          </w14:textFill>
        </w:rPr>
        <w:t>有限公司</w:t>
      </w:r>
    </w:p>
    <w:p>
      <w:pPr>
        <w:pStyle w:val="20"/>
        <w:tabs>
          <w:tab w:val="center" w:pos="5370"/>
        </w:tabs>
        <w:spacing w:after="0" w:line="400" w:lineRule="exact"/>
        <w:ind w:left="0" w:leftChars="0"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地址：赣州市赣江源大道26号　　　</w:t>
      </w:r>
    </w:p>
    <w:p>
      <w:pPr>
        <w:pStyle w:val="20"/>
        <w:tabs>
          <w:tab w:val="center" w:pos="5370"/>
        </w:tabs>
        <w:spacing w:after="0" w:line="400" w:lineRule="exact"/>
        <w:ind w:left="0" w:leftChars="0"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联系方式：李先生  0797-8100953　</w:t>
      </w:r>
    </w:p>
    <w:p>
      <w:pPr>
        <w:tabs>
          <w:tab w:val="center" w:pos="4363"/>
        </w:tabs>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2.采购代理机构信息</w:t>
      </w:r>
      <w:r>
        <w:rPr>
          <w:rFonts w:ascii="宋体" w:hAnsi="宋体"/>
          <w:bCs/>
          <w:color w:val="000000" w:themeColor="text1"/>
          <w:sz w:val="24"/>
          <w:szCs w:val="24"/>
          <w14:textFill>
            <w14:solidFill>
              <w14:schemeClr w14:val="tx1"/>
            </w14:solidFill>
          </w14:textFill>
        </w:rPr>
        <w:tab/>
      </w:r>
    </w:p>
    <w:p>
      <w:pPr>
        <w:pStyle w:val="20"/>
        <w:tabs>
          <w:tab w:val="center" w:pos="5370"/>
        </w:tabs>
        <w:spacing w:after="0" w:line="400" w:lineRule="exact"/>
        <w:ind w:left="0" w:leftChars="0" w:firstLine="480" w:firstLineChars="200"/>
        <w:rPr>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名称：江西久和招标服务</w:t>
      </w:r>
      <w:r>
        <w:rPr>
          <w:rFonts w:hint="eastAsia"/>
          <w:bCs/>
          <w:color w:val="000000" w:themeColor="text1"/>
          <w:sz w:val="24"/>
          <w:szCs w:val="24"/>
          <w14:textFill>
            <w14:solidFill>
              <w14:schemeClr w14:val="tx1"/>
            </w14:solidFill>
          </w14:textFill>
        </w:rPr>
        <w:t>有限公司</w:t>
      </w:r>
    </w:p>
    <w:p>
      <w:pPr>
        <w:pStyle w:val="20"/>
        <w:tabs>
          <w:tab w:val="center" w:pos="5370"/>
        </w:tabs>
        <w:spacing w:after="0" w:line="400" w:lineRule="exact"/>
        <w:ind w:left="0" w:leftChars="0"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地址：</w:t>
      </w:r>
      <w:r>
        <w:rPr>
          <w:rFonts w:hint="eastAsia" w:ascii="宋体" w:hAnsi="宋体" w:cs="宋体"/>
          <w:bCs/>
          <w:color w:val="000000" w:themeColor="text1"/>
          <w:sz w:val="24"/>
          <w:szCs w:val="24"/>
          <w14:textFill>
            <w14:solidFill>
              <w14:schemeClr w14:val="tx1"/>
            </w14:solidFill>
          </w14:textFill>
        </w:rPr>
        <w:t>赣州市章贡区信丰路中海凯旋门(北门）36栋703</w:t>
      </w:r>
      <w:r>
        <w:rPr>
          <w:bCs/>
          <w:color w:val="000000" w:themeColor="text1"/>
          <w:sz w:val="24"/>
          <w:szCs w:val="24"/>
          <w14:textFill>
            <w14:solidFill>
              <w14:schemeClr w14:val="tx1"/>
            </w14:solidFill>
          </w14:textFill>
        </w:rPr>
        <w:tab/>
      </w:r>
      <w:r>
        <w:rPr>
          <w:rFonts w:hint="eastAsia"/>
          <w:bCs/>
          <w:color w:val="000000" w:themeColor="text1"/>
          <w:sz w:val="24"/>
          <w:szCs w:val="24"/>
          <w14:textFill>
            <w14:solidFill>
              <w14:schemeClr w14:val="tx1"/>
            </w14:solidFill>
          </w14:textFill>
        </w:rPr>
        <w:t>　　　</w:t>
      </w:r>
    </w:p>
    <w:p>
      <w:pPr>
        <w:pStyle w:val="20"/>
        <w:spacing w:after="0" w:line="400" w:lineRule="exact"/>
        <w:ind w:left="0" w:leftChars="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联系方式：李忠强  0797-8089611</w:t>
      </w:r>
    </w:p>
    <w:p>
      <w:pPr>
        <w:pStyle w:val="20"/>
        <w:spacing w:after="0" w:line="400" w:lineRule="exact"/>
        <w:ind w:left="0" w:leftChars="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3.项目联系方式</w:t>
      </w:r>
    </w:p>
    <w:p>
      <w:pPr>
        <w:pStyle w:val="20"/>
        <w:spacing w:after="0" w:line="400" w:lineRule="exact"/>
        <w:ind w:left="0" w:leftChars="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项目联系人：李阳波  </w:t>
      </w:r>
    </w:p>
    <w:p>
      <w:pPr>
        <w:pStyle w:val="20"/>
        <w:spacing w:after="0" w:line="400" w:lineRule="exact"/>
        <w:ind w:left="0" w:leftChars="0"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电话：</w:t>
      </w:r>
      <w:r>
        <w:rPr>
          <w:rFonts w:hint="eastAsia" w:ascii="宋体" w:hAnsi="宋体" w:cs="宋体"/>
          <w:color w:val="000000" w:themeColor="text1"/>
          <w:sz w:val="24"/>
          <w:szCs w:val="24"/>
          <w14:textFill>
            <w14:solidFill>
              <w14:schemeClr w14:val="tx1"/>
            </w14:solidFill>
          </w14:textFill>
        </w:rPr>
        <w:t>18979795611</w:t>
      </w:r>
    </w:p>
    <w:p>
      <w:pPr>
        <w:pStyle w:val="20"/>
        <w:spacing w:after="0" w:line="400" w:lineRule="exact"/>
        <w:ind w:firstLine="1920" w:firstLineChars="800"/>
        <w:jc w:val="left"/>
        <w:rPr>
          <w:rFonts w:ascii="宋体" w:hAnsi="宋体"/>
          <w:bCs/>
          <w:color w:val="000000" w:themeColor="text1"/>
          <w:sz w:val="24"/>
          <w:szCs w:val="24"/>
          <w14:textFill>
            <w14:solidFill>
              <w14:schemeClr w14:val="tx1"/>
            </w14:solidFill>
          </w14:textFill>
        </w:rPr>
      </w:pPr>
    </w:p>
    <w:p>
      <w:pPr>
        <w:pStyle w:val="20"/>
        <w:spacing w:after="0" w:line="400" w:lineRule="exact"/>
        <w:ind w:firstLine="3840" w:firstLineChars="1600"/>
        <w:jc w:val="left"/>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江西久和招标服务有限公司</w:t>
      </w:r>
    </w:p>
    <w:p>
      <w:pPr>
        <w:pStyle w:val="20"/>
        <w:spacing w:after="0" w:line="400" w:lineRule="exact"/>
        <w:ind w:firstLine="4320" w:firstLineChars="1800"/>
        <w:jc w:val="left"/>
        <w:rPr>
          <w:rFonts w:ascii="黑体" w:hAnsi="宋体" w:eastAsia="黑体"/>
          <w:bCs/>
          <w:color w:val="000000" w:themeColor="text1"/>
          <w:sz w:val="44"/>
          <w:szCs w:val="4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2020年</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8</w:t>
      </w:r>
      <w:r>
        <w:rPr>
          <w:rFonts w:hint="eastAsia" w:asciiTheme="minorEastAsia" w:hAnsiTheme="minorEastAsia" w:cstheme="minorEastAsia"/>
          <w:bCs/>
          <w:color w:val="000000" w:themeColor="text1"/>
          <w:sz w:val="24"/>
          <w:szCs w:val="24"/>
          <w14:textFill>
            <w14:solidFill>
              <w14:schemeClr w14:val="tx1"/>
            </w14:solidFill>
          </w14:textFill>
        </w:rPr>
        <w:t>月</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13</w:t>
      </w:r>
      <w:r>
        <w:rPr>
          <w:rFonts w:hint="eastAsia" w:asciiTheme="minorEastAsia" w:hAnsiTheme="minorEastAsia" w:cstheme="minorEastAsia"/>
          <w:bCs/>
          <w:color w:val="000000" w:themeColor="text1"/>
          <w:sz w:val="24"/>
          <w:szCs w:val="24"/>
          <w14:textFill>
            <w14:solidFill>
              <w14:schemeClr w14:val="tx1"/>
            </w14:solidFill>
          </w14:textFill>
        </w:rPr>
        <w:t xml:space="preserve">日 </w:t>
      </w:r>
    </w:p>
    <w:p>
      <w:pPr>
        <w:pStyle w:val="14"/>
        <w:pageBreakBefore/>
        <w:spacing w:line="460" w:lineRule="exact"/>
        <w:ind w:firstLine="2200" w:firstLineChars="500"/>
        <w:rPr>
          <w:rFonts w:ascii="黑体" w:hAnsi="宋体" w:eastAsia="黑体"/>
          <w:bCs/>
          <w:color w:val="000000" w:themeColor="text1"/>
          <w:sz w:val="44"/>
          <w:szCs w:val="44"/>
          <w14:textFill>
            <w14:solidFill>
              <w14:schemeClr w14:val="tx1"/>
            </w14:solidFill>
          </w14:textFill>
        </w:rPr>
      </w:pPr>
      <w:r>
        <w:rPr>
          <w:rFonts w:hint="eastAsia" w:ascii="黑体" w:hAnsi="宋体" w:eastAsia="黑体"/>
          <w:bCs/>
          <w:color w:val="000000" w:themeColor="text1"/>
          <w:sz w:val="44"/>
          <w:szCs w:val="44"/>
          <w14:textFill>
            <w14:solidFill>
              <w14:schemeClr w14:val="tx1"/>
            </w14:solidFill>
          </w14:textFill>
        </w:rPr>
        <w:t>第二章  投标人须知</w:t>
      </w:r>
      <w:bookmarkStart w:id="8" w:name="_Toc314063802"/>
    </w:p>
    <w:p>
      <w:pPr>
        <w:pStyle w:val="21"/>
        <w:widowControl w:val="0"/>
        <w:spacing w:before="0" w:beforeAutospacing="0" w:after="0" w:afterAutospacing="0" w:line="440" w:lineRule="exact"/>
        <w:ind w:firstLine="151" w:firstLineChars="63"/>
        <w:jc w:val="both"/>
        <w:textAlignment w:val="baseline"/>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第一部分、投标人须知前附表</w:t>
      </w:r>
      <w:bookmarkEnd w:id="8"/>
      <w:r>
        <w:rPr>
          <w:rFonts w:hint="eastAsia"/>
          <w:bCs/>
          <w:color w:val="000000" w:themeColor="text1"/>
          <w:sz w:val="24"/>
          <w:szCs w:val="24"/>
          <w14:textFill>
            <w14:solidFill>
              <w14:schemeClr w14:val="tx1"/>
            </w14:solidFill>
          </w14:textFill>
        </w:rPr>
        <w:t xml:space="preserve"> </w:t>
      </w:r>
    </w:p>
    <w:tbl>
      <w:tblPr>
        <w:tblStyle w:val="24"/>
        <w:tblpPr w:leftFromText="180" w:rightFromText="180" w:vertAnchor="text" w:horzAnchor="margin" w:tblpXSpec="center" w:tblpY="223"/>
        <w:tblW w:w="102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6"/>
        <w:gridCol w:w="1357"/>
        <w:gridCol w:w="82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6" w:hRule="atLeast"/>
        </w:trPr>
        <w:tc>
          <w:tcPr>
            <w:tcW w:w="656" w:type="dxa"/>
            <w:vAlign w:val="center"/>
          </w:tcPr>
          <w:p>
            <w:pPr>
              <w:spacing w:line="40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序号</w:t>
            </w:r>
          </w:p>
        </w:tc>
        <w:tc>
          <w:tcPr>
            <w:tcW w:w="1357" w:type="dxa"/>
            <w:tcBorders>
              <w:right w:val="single" w:color="auto" w:sz="4" w:space="0"/>
            </w:tcBorders>
            <w:vAlign w:val="center"/>
          </w:tcPr>
          <w:p>
            <w:pPr>
              <w:spacing w:line="40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项目</w:t>
            </w:r>
          </w:p>
        </w:tc>
        <w:tc>
          <w:tcPr>
            <w:tcW w:w="8227" w:type="dxa"/>
            <w:tcBorders>
              <w:left w:val="single" w:color="auto" w:sz="4" w:space="0"/>
            </w:tcBorders>
            <w:vAlign w:val="center"/>
          </w:tcPr>
          <w:p>
            <w:pPr>
              <w:spacing w:line="40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47" w:hRule="atLeast"/>
        </w:trPr>
        <w:tc>
          <w:tcPr>
            <w:tcW w:w="656" w:type="dxa"/>
            <w:vAlign w:val="center"/>
          </w:tcPr>
          <w:p>
            <w:pPr>
              <w:spacing w:line="40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w:t>
            </w:r>
          </w:p>
        </w:tc>
        <w:tc>
          <w:tcPr>
            <w:tcW w:w="1357" w:type="dxa"/>
            <w:tcBorders>
              <w:right w:val="single" w:color="auto" w:sz="4" w:space="0"/>
            </w:tcBorders>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采购单位</w:t>
            </w:r>
          </w:p>
        </w:tc>
        <w:tc>
          <w:tcPr>
            <w:tcW w:w="8227" w:type="dxa"/>
            <w:tcBorders>
              <w:left w:val="single" w:color="auto" w:sz="4" w:space="0"/>
            </w:tcBorders>
            <w:vAlign w:val="center"/>
          </w:tcPr>
          <w:p>
            <w:pP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招标采购单位：赣州银行股份有限公司      </w:t>
            </w:r>
          </w:p>
          <w:p>
            <w:pP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联系人：李先生        联系电话：</w:t>
            </w:r>
            <w:r>
              <w:rPr>
                <w:rFonts w:hint="eastAsia" w:ascii="宋体" w:hAnsi="宋体" w:cs="宋体"/>
                <w:bCs/>
                <w:color w:val="000000" w:themeColor="text1"/>
                <w:sz w:val="24"/>
                <w:szCs w:val="24"/>
                <w14:textFill>
                  <w14:solidFill>
                    <w14:schemeClr w14:val="tx1"/>
                  </w14:solidFill>
                </w14:textFill>
              </w:rPr>
              <w:t>0797-8100953　</w:t>
            </w:r>
          </w:p>
          <w:p>
            <w:pPr>
              <w:rPr>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联系地址：赣州市赣江源大道26号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8" w:hRule="atLeast"/>
        </w:trPr>
        <w:tc>
          <w:tcPr>
            <w:tcW w:w="656" w:type="dxa"/>
            <w:vAlign w:val="center"/>
          </w:tcPr>
          <w:p>
            <w:pPr>
              <w:spacing w:line="40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p>
        </w:tc>
        <w:tc>
          <w:tcPr>
            <w:tcW w:w="1357" w:type="dxa"/>
            <w:tcBorders>
              <w:right w:val="single" w:color="auto" w:sz="4" w:space="0"/>
            </w:tcBorders>
            <w:vAlign w:val="center"/>
          </w:tcPr>
          <w:p>
            <w:pPr>
              <w:adjustRightInd w:val="0"/>
              <w:snapToGrid w:val="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采购代理机构</w:t>
            </w:r>
          </w:p>
        </w:tc>
        <w:tc>
          <w:tcPr>
            <w:tcW w:w="8227" w:type="dxa"/>
            <w:tcBorders>
              <w:left w:val="single" w:color="auto" w:sz="4" w:space="0"/>
            </w:tcBorders>
            <w:vAlign w:val="center"/>
          </w:tcPr>
          <w:p>
            <w:pPr>
              <w:rPr>
                <w:rFonts w:ascii="宋体" w:hAnsi="宋体" w:cs="宋体"/>
                <w:bCs/>
                <w:color w:val="000000" w:themeColor="text1"/>
                <w:kern w:val="0"/>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名</w:t>
            </w:r>
            <w:r>
              <w:rPr>
                <w:rFonts w:hint="eastAsia" w:ascii="宋体" w:hAnsi="宋体" w:cs="宋体"/>
                <w:bCs/>
                <w:color w:val="000000" w:themeColor="text1"/>
                <w:kern w:val="0"/>
                <w:sz w:val="24"/>
                <w:szCs w:val="24"/>
                <w14:textFill>
                  <w14:solidFill>
                    <w14:schemeClr w14:val="tx1"/>
                  </w14:solidFill>
                </w14:textFill>
              </w:rPr>
              <w:t xml:space="preserve"> 称：江西久和招标服务有限公司 </w:t>
            </w:r>
          </w:p>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报名联系人：李忠强  </w:t>
            </w:r>
            <w:r>
              <w:rPr>
                <w:rFonts w:hint="eastAsia" w:ascii="宋体" w:hAnsi="宋体" w:cs="宋体"/>
                <w:color w:val="000000" w:themeColor="text1"/>
                <w:kern w:val="0"/>
                <w:sz w:val="24"/>
                <w:szCs w:val="24"/>
                <w14:textFill>
                  <w14:solidFill>
                    <w14:schemeClr w14:val="tx1"/>
                  </w14:solidFill>
                </w14:textFill>
              </w:rPr>
              <w:t xml:space="preserve">0797-8089611      </w:t>
            </w:r>
          </w:p>
          <w:p>
            <w:pPr>
              <w:rPr>
                <w:rFonts w:ascii="宋体" w:hAnsi="宋体" w:cs="宋体"/>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w:t>
            </w:r>
            <w:r>
              <w:rPr>
                <w:rFonts w:hint="eastAsia" w:ascii="宋体" w:hAnsi="宋体"/>
                <w:color w:val="000000" w:themeColor="text1"/>
                <w:sz w:val="24"/>
                <w:szCs w:val="24"/>
                <w14:textFill>
                  <w14:solidFill>
                    <w14:schemeClr w14:val="tx1"/>
                  </w14:solidFill>
                </w14:textFill>
              </w:rPr>
              <w:t>联系人：李阳波  18979795611</w:t>
            </w:r>
          </w:p>
          <w:p>
            <w:pPr>
              <w:rPr>
                <w:rFonts w:ascii="宋体" w:hAnsi="宋体"/>
                <w:bCs/>
                <w:color w:val="000000" w:themeColor="text1"/>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联系地址：赣州市章贡区信丰路中海凯旋门(北门）36栋703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43" w:hRule="atLeast"/>
        </w:trPr>
        <w:tc>
          <w:tcPr>
            <w:tcW w:w="656" w:type="dxa"/>
            <w:vAlign w:val="center"/>
          </w:tcPr>
          <w:p>
            <w:pPr>
              <w:spacing w:line="40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w:t>
            </w:r>
          </w:p>
        </w:tc>
        <w:tc>
          <w:tcPr>
            <w:tcW w:w="1357" w:type="dxa"/>
            <w:tcBorders>
              <w:right w:val="single" w:color="auto" w:sz="4" w:space="0"/>
            </w:tcBorders>
            <w:vAlign w:val="center"/>
          </w:tcPr>
          <w:p>
            <w:pPr>
              <w:tabs>
                <w:tab w:val="center" w:pos="4153"/>
                <w:tab w:val="left" w:pos="6630"/>
              </w:tabs>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投标保证金</w:t>
            </w:r>
          </w:p>
        </w:tc>
        <w:tc>
          <w:tcPr>
            <w:tcW w:w="8227" w:type="dxa"/>
            <w:tcBorders>
              <w:left w:val="single" w:color="auto" w:sz="4" w:space="0"/>
            </w:tcBorders>
            <w:vAlign w:val="center"/>
          </w:tcPr>
          <w:p>
            <w:pPr>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保证金：</w:t>
            </w:r>
            <w:r>
              <w:rPr>
                <w:rFonts w:hint="eastAsia" w:ascii="宋体" w:hAnsi="宋体" w:eastAsia="宋体" w:cs="宋体"/>
                <w:bCs/>
                <w:color w:val="000000" w:themeColor="text1"/>
                <w:sz w:val="24"/>
                <w:szCs w:val="24"/>
                <w:u w:val="single"/>
                <w14:textFill>
                  <w14:solidFill>
                    <w14:schemeClr w14:val="tx1"/>
                  </w14:solidFill>
                </w14:textFill>
              </w:rPr>
              <w:t xml:space="preserve"> 2</w:t>
            </w:r>
            <w:r>
              <w:rPr>
                <w:rFonts w:hint="eastAsia" w:ascii="宋体" w:hAnsi="宋体" w:eastAsia="宋体" w:cs="宋体"/>
                <w:bCs/>
                <w:color w:val="000000" w:themeColor="text1"/>
                <w:sz w:val="24"/>
                <w:szCs w:val="24"/>
                <w:u w:val="single"/>
                <w:lang w:val="en-US" w:eastAsia="zh-CN"/>
                <w14:textFill>
                  <w14:solidFill>
                    <w14:schemeClr w14:val="tx1"/>
                  </w14:solidFill>
                </w14:textFill>
              </w:rPr>
              <w:t>5</w:t>
            </w:r>
            <w:r>
              <w:rPr>
                <w:rFonts w:hint="eastAsia" w:ascii="宋体" w:hAnsi="宋体" w:eastAsia="宋体" w:cs="宋体"/>
                <w:bCs/>
                <w:color w:val="000000" w:themeColor="text1"/>
                <w:sz w:val="24"/>
                <w:szCs w:val="24"/>
                <w:u w:val="single"/>
                <w14:textFill>
                  <w14:solidFill>
                    <w14:schemeClr w14:val="tx1"/>
                  </w14:solidFill>
                </w14:textFill>
              </w:rPr>
              <w:t>0000</w:t>
            </w:r>
            <w:r>
              <w:rPr>
                <w:rFonts w:hint="eastAsia" w:ascii="宋体" w:hAnsi="宋体" w:eastAsia="宋体" w:cs="宋体"/>
                <w:bCs/>
                <w:color w:val="000000" w:themeColor="text1"/>
                <w:kern w:val="0"/>
                <w:sz w:val="24"/>
                <w:szCs w:val="24"/>
                <w14:textFill>
                  <w14:solidFill>
                    <w14:schemeClr w14:val="tx1"/>
                  </w14:solidFill>
                </w14:textFill>
              </w:rPr>
              <w:t>元整。</w:t>
            </w:r>
            <w:r>
              <w:rPr>
                <w:rFonts w:hint="eastAsia" w:ascii="宋体" w:hAnsi="宋体" w:eastAsia="宋体" w:cs="宋体"/>
                <w:color w:val="000000" w:themeColor="text1"/>
                <w:sz w:val="24"/>
                <w:szCs w:val="24"/>
                <w14:textFill>
                  <w14:solidFill>
                    <w14:schemeClr w14:val="tx1"/>
                  </w14:solidFill>
                </w14:textFill>
              </w:rPr>
              <w:t>投标人须在</w:t>
            </w:r>
            <w:r>
              <w:rPr>
                <w:rFonts w:hint="eastAsia" w:ascii="宋体" w:hAnsi="宋体" w:eastAsia="宋体" w:cs="宋体"/>
                <w:bCs/>
                <w:color w:val="FF0000"/>
                <w:sz w:val="24"/>
                <w:szCs w:val="24"/>
              </w:rPr>
              <w:t>2020年</w:t>
            </w:r>
            <w:r>
              <w:rPr>
                <w:rFonts w:hint="eastAsia" w:ascii="宋体" w:hAnsi="宋体" w:eastAsia="宋体" w:cs="宋体"/>
                <w:bCs/>
                <w:color w:val="FF0000"/>
                <w:sz w:val="24"/>
                <w:szCs w:val="24"/>
                <w:lang w:val="en-US" w:eastAsia="zh-CN"/>
              </w:rPr>
              <w:t>9</w:t>
            </w:r>
            <w:r>
              <w:rPr>
                <w:rFonts w:hint="eastAsia" w:ascii="宋体" w:hAnsi="宋体" w:eastAsia="宋体" w:cs="宋体"/>
                <w:bCs/>
                <w:color w:val="FF0000"/>
                <w:sz w:val="24"/>
                <w:szCs w:val="24"/>
              </w:rPr>
              <w:t>月</w:t>
            </w:r>
            <w:r>
              <w:rPr>
                <w:rFonts w:hint="eastAsia" w:ascii="宋体" w:hAnsi="宋体" w:eastAsia="宋体" w:cs="宋体"/>
                <w:bCs/>
                <w:color w:val="FF0000"/>
                <w:sz w:val="24"/>
                <w:szCs w:val="24"/>
                <w:lang w:val="en-US" w:eastAsia="zh-CN"/>
              </w:rPr>
              <w:t>3</w:t>
            </w:r>
            <w:r>
              <w:rPr>
                <w:rFonts w:hint="eastAsia" w:ascii="宋体" w:hAnsi="宋体" w:eastAsia="宋体" w:cs="宋体"/>
                <w:bCs/>
                <w:color w:val="FF0000"/>
                <w:sz w:val="24"/>
                <w:szCs w:val="24"/>
              </w:rPr>
              <w:t>日上午9：00</w:t>
            </w:r>
            <w:r>
              <w:rPr>
                <w:rFonts w:hint="eastAsia" w:ascii="宋体" w:hAnsi="宋体" w:eastAsia="宋体" w:cs="宋体"/>
                <w:bCs/>
                <w:color w:val="000000" w:themeColor="text1"/>
                <w:sz w:val="24"/>
                <w:szCs w:val="24"/>
                <w14:textFill>
                  <w14:solidFill>
                    <w14:schemeClr w14:val="tx1"/>
                  </w14:solidFill>
                </w14:textFill>
              </w:rPr>
              <w:t>（北京时间）</w:t>
            </w:r>
            <w:r>
              <w:rPr>
                <w:rFonts w:hint="eastAsia" w:ascii="宋体" w:hAnsi="宋体" w:eastAsia="宋体" w:cs="宋体"/>
                <w:color w:val="000000" w:themeColor="text1"/>
                <w:sz w:val="24"/>
                <w:szCs w:val="24"/>
                <w14:textFill>
                  <w14:solidFill>
                    <w14:schemeClr w14:val="tx1"/>
                  </w14:solidFill>
                </w14:textFill>
              </w:rPr>
              <w:t>前从企业基本账户以银行转账方式向招标代理机构足额缴纳，以实际到账为准 （汇款时应注明项目名称、拟投标供应商名称或投标人名称，且应与投标书一致）。</w:t>
            </w:r>
          </w:p>
          <w:p>
            <w:pPr>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账户名：江西久和招标服务有限公司</w:t>
            </w:r>
          </w:p>
          <w:p>
            <w:pPr>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号：2007 3290 1471</w:t>
            </w:r>
          </w:p>
          <w:p>
            <w:pPr>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开户行：中国银行宜春市宜阳支行</w:t>
            </w:r>
          </w:p>
          <w:p>
            <w:pPr>
              <w:ind w:firstLine="480" w:firstLineChars="200"/>
              <w:rPr>
                <w:sz w:val="24"/>
                <w:szCs w:val="24"/>
              </w:rPr>
            </w:pPr>
            <w:r>
              <w:rPr>
                <w:rFonts w:hint="eastAsia" w:ascii="宋体" w:hAnsi="宋体"/>
                <w:bCs/>
                <w:color w:val="000000" w:themeColor="text1"/>
                <w:sz w:val="24"/>
                <w:szCs w:val="24"/>
                <w14:textFill>
                  <w14:solidFill>
                    <w14:schemeClr w14:val="tx1"/>
                  </w14:solidFill>
                </w14:textFill>
              </w:rPr>
              <w:t>注：为保证投标保证金准确及时，请采用电汇形式办理，如果采用非电汇形式，造成保证金信息不全或错误，由此产生的一切后果由投标人自行承担。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5" w:hRule="atLeast"/>
        </w:trPr>
        <w:tc>
          <w:tcPr>
            <w:tcW w:w="656" w:type="dxa"/>
            <w:vAlign w:val="center"/>
          </w:tcPr>
          <w:p>
            <w:pPr>
              <w:spacing w:line="40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w:t>
            </w:r>
          </w:p>
        </w:tc>
        <w:tc>
          <w:tcPr>
            <w:tcW w:w="1357" w:type="dxa"/>
            <w:tcBorders>
              <w:right w:val="single" w:color="auto" w:sz="4" w:space="0"/>
            </w:tcBorders>
            <w:vAlign w:val="center"/>
          </w:tcPr>
          <w:p>
            <w:pPr>
              <w:jc w:val="center"/>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投标有效期</w:t>
            </w:r>
          </w:p>
        </w:tc>
        <w:tc>
          <w:tcPr>
            <w:tcW w:w="8227" w:type="dxa"/>
            <w:tcBorders>
              <w:left w:val="single" w:color="auto" w:sz="4" w:space="0"/>
            </w:tcBorders>
            <w:vAlign w:val="center"/>
          </w:tcPr>
          <w:p>
            <w:pPr>
              <w:ind w:firstLine="120" w:firstLineChars="50"/>
              <w:jc w:val="left"/>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一百八十天（日历日）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9" w:hRule="atLeast"/>
        </w:trPr>
        <w:tc>
          <w:tcPr>
            <w:tcW w:w="656" w:type="dxa"/>
            <w:vAlign w:val="center"/>
          </w:tcPr>
          <w:p>
            <w:pPr>
              <w:spacing w:line="40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w:t>
            </w:r>
          </w:p>
        </w:tc>
        <w:tc>
          <w:tcPr>
            <w:tcW w:w="1357" w:type="dxa"/>
            <w:tcBorders>
              <w:right w:val="single" w:color="auto" w:sz="4" w:space="0"/>
            </w:tcBorders>
            <w:vAlign w:val="center"/>
          </w:tcPr>
          <w:p>
            <w:pPr>
              <w:overflowPunct w:val="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投标文件份数及装订</w:t>
            </w:r>
          </w:p>
        </w:tc>
        <w:tc>
          <w:tcPr>
            <w:tcW w:w="8227" w:type="dxa"/>
            <w:tcBorders>
              <w:left w:val="single" w:color="auto" w:sz="4" w:space="0"/>
            </w:tcBorders>
          </w:tcPr>
          <w:p>
            <w:pPr>
              <w:overflowPunct w:val="0"/>
              <w:ind w:firstLine="120" w:firstLineChars="5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一正</w:t>
            </w:r>
            <w:r>
              <w:rPr>
                <w:rFonts w:hint="eastAsia" w:ascii="宋体" w:hAnsi="宋体"/>
                <w:bCs/>
                <w:color w:val="000000" w:themeColor="text1"/>
                <w:sz w:val="24"/>
                <w:szCs w:val="24"/>
                <w:lang w:eastAsia="zh-CN"/>
                <w14:textFill>
                  <w14:solidFill>
                    <w14:schemeClr w14:val="tx1"/>
                  </w14:solidFill>
                </w14:textFill>
              </w:rPr>
              <w:t>六</w:t>
            </w:r>
            <w:r>
              <w:rPr>
                <w:rFonts w:hint="eastAsia" w:ascii="宋体" w:hAnsi="宋体"/>
                <w:bCs/>
                <w:color w:val="000000" w:themeColor="text1"/>
                <w:sz w:val="24"/>
                <w:szCs w:val="24"/>
                <w14:textFill>
                  <w14:solidFill>
                    <w14:schemeClr w14:val="tx1"/>
                  </w14:solidFill>
                </w14:textFill>
              </w:rPr>
              <w:t>副（正本一份，副本</w:t>
            </w:r>
            <w:r>
              <w:rPr>
                <w:rFonts w:hint="eastAsia" w:ascii="宋体" w:hAnsi="宋体"/>
                <w:bCs/>
                <w:color w:val="000000" w:themeColor="text1"/>
                <w:sz w:val="24"/>
                <w:szCs w:val="24"/>
                <w:lang w:eastAsia="zh-CN"/>
                <w14:textFill>
                  <w14:solidFill>
                    <w14:schemeClr w14:val="tx1"/>
                  </w14:solidFill>
                </w14:textFill>
              </w:rPr>
              <w:t>六</w:t>
            </w:r>
            <w:r>
              <w:rPr>
                <w:rFonts w:hint="eastAsia" w:ascii="宋体" w:hAnsi="宋体"/>
                <w:bCs/>
                <w:color w:val="000000" w:themeColor="text1"/>
                <w:sz w:val="24"/>
                <w:szCs w:val="24"/>
                <w14:textFill>
                  <w14:solidFill>
                    <w14:schemeClr w14:val="tx1"/>
                  </w14:solidFill>
                </w14:textFill>
              </w:rPr>
              <w:t>份）</w:t>
            </w:r>
          </w:p>
          <w:p>
            <w:pPr>
              <w:ind w:firstLine="120" w:firstLineChars="5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投标文件需采用胶装的方式装订。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5" w:hRule="atLeast"/>
        </w:trPr>
        <w:tc>
          <w:tcPr>
            <w:tcW w:w="656" w:type="dxa"/>
            <w:vAlign w:val="center"/>
          </w:tcPr>
          <w:p>
            <w:pPr>
              <w:spacing w:line="40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w:t>
            </w:r>
          </w:p>
        </w:tc>
        <w:tc>
          <w:tcPr>
            <w:tcW w:w="1357" w:type="dxa"/>
            <w:tcBorders>
              <w:right w:val="single" w:color="auto" w:sz="4" w:space="0"/>
            </w:tcBorders>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投标截止及开标时间</w:t>
            </w:r>
          </w:p>
        </w:tc>
        <w:tc>
          <w:tcPr>
            <w:tcW w:w="8227" w:type="dxa"/>
            <w:tcBorders>
              <w:left w:val="single" w:color="auto" w:sz="4" w:space="0"/>
            </w:tcBorders>
            <w:vAlign w:val="center"/>
          </w:tcPr>
          <w:p>
            <w:pPr>
              <w:ind w:firstLine="120" w:firstLineChars="50"/>
              <w:rPr>
                <w:rFonts w:ascii="宋体" w:hAnsi="宋体"/>
                <w:bCs/>
                <w:color w:val="000000" w:themeColor="text1"/>
                <w:sz w:val="24"/>
                <w:szCs w:val="24"/>
                <w:u w:val="single"/>
                <w14:textFill>
                  <w14:solidFill>
                    <w14:schemeClr w14:val="tx1"/>
                  </w14:solidFill>
                </w14:textFill>
              </w:rPr>
            </w:pPr>
            <w:r>
              <w:rPr>
                <w:rFonts w:hint="eastAsia" w:ascii="宋体" w:hAnsi="宋体" w:eastAsia="宋体" w:cs="宋体"/>
                <w:bCs/>
                <w:color w:val="FF0000"/>
                <w:sz w:val="24"/>
                <w:szCs w:val="24"/>
              </w:rPr>
              <w:t>2020年</w:t>
            </w:r>
            <w:r>
              <w:rPr>
                <w:rFonts w:hint="eastAsia" w:ascii="宋体" w:hAnsi="宋体" w:eastAsia="宋体" w:cs="宋体"/>
                <w:bCs/>
                <w:color w:val="FF0000"/>
                <w:sz w:val="24"/>
                <w:szCs w:val="24"/>
                <w:lang w:val="en-US" w:eastAsia="zh-CN"/>
              </w:rPr>
              <w:t>9</w:t>
            </w:r>
            <w:r>
              <w:rPr>
                <w:rFonts w:hint="eastAsia" w:ascii="宋体" w:hAnsi="宋体" w:eastAsia="宋体" w:cs="宋体"/>
                <w:bCs/>
                <w:color w:val="FF0000"/>
                <w:sz w:val="24"/>
                <w:szCs w:val="24"/>
              </w:rPr>
              <w:t>月</w:t>
            </w:r>
            <w:r>
              <w:rPr>
                <w:rFonts w:hint="eastAsia" w:ascii="宋体" w:hAnsi="宋体" w:eastAsia="宋体" w:cs="宋体"/>
                <w:bCs/>
                <w:color w:val="FF0000"/>
                <w:sz w:val="24"/>
                <w:szCs w:val="24"/>
                <w:lang w:val="en-US" w:eastAsia="zh-CN"/>
              </w:rPr>
              <w:t>3</w:t>
            </w:r>
            <w:r>
              <w:rPr>
                <w:rFonts w:hint="eastAsia" w:ascii="宋体" w:hAnsi="宋体" w:eastAsia="宋体" w:cs="宋体"/>
                <w:bCs/>
                <w:color w:val="FF0000"/>
                <w:sz w:val="24"/>
                <w:szCs w:val="24"/>
              </w:rPr>
              <w:t>日 上午9：00 整</w:t>
            </w:r>
            <w:r>
              <w:rPr>
                <w:rFonts w:hint="eastAsia" w:ascii="宋体" w:hAnsi="宋体" w:eastAsia="宋体" w:cs="宋体"/>
                <w:bCs/>
                <w:color w:val="000000" w:themeColor="text1"/>
                <w:sz w:val="24"/>
                <w:szCs w:val="24"/>
                <w14:textFill>
                  <w14:solidFill>
                    <w14:schemeClr w14:val="tx1"/>
                  </w14:solidFill>
                </w14:textFill>
              </w:rPr>
              <w:t xml:space="preserve"> (北京时间)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trPr>
        <w:tc>
          <w:tcPr>
            <w:tcW w:w="656" w:type="dxa"/>
            <w:vAlign w:val="center"/>
          </w:tcPr>
          <w:p>
            <w:pPr>
              <w:spacing w:line="40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w:t>
            </w:r>
          </w:p>
        </w:tc>
        <w:tc>
          <w:tcPr>
            <w:tcW w:w="1357" w:type="dxa"/>
            <w:tcBorders>
              <w:right w:val="single" w:color="auto" w:sz="4" w:space="0"/>
            </w:tcBorders>
            <w:vAlign w:val="center"/>
          </w:tcPr>
          <w:p>
            <w:pPr>
              <w:jc w:val="center"/>
              <w:rPr>
                <w:rFonts w:ascii="宋体" w:hAnsi="宋体" w:cs="宋体"/>
                <w:bCs/>
                <w:color w:val="000000" w:themeColor="text1"/>
                <w:kern w:val="0"/>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开标地点</w:t>
            </w:r>
          </w:p>
        </w:tc>
        <w:tc>
          <w:tcPr>
            <w:tcW w:w="8227" w:type="dxa"/>
            <w:tcBorders>
              <w:left w:val="single" w:color="auto" w:sz="4" w:space="0"/>
            </w:tcBorders>
            <w:vAlign w:val="center"/>
          </w:tcPr>
          <w:p>
            <w:pP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江西久和招标服务有限公司 （赣州市章贡区信丰路中海凯旋门(北门）36栋703）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7" w:hRule="atLeast"/>
        </w:trPr>
        <w:tc>
          <w:tcPr>
            <w:tcW w:w="656" w:type="dxa"/>
            <w:vAlign w:val="center"/>
          </w:tcPr>
          <w:p>
            <w:pPr>
              <w:spacing w:line="40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8 </w:t>
            </w:r>
          </w:p>
        </w:tc>
        <w:tc>
          <w:tcPr>
            <w:tcW w:w="1357" w:type="dxa"/>
            <w:tcBorders>
              <w:right w:val="single" w:color="auto" w:sz="4" w:space="0"/>
            </w:tcBorders>
            <w:vAlign w:val="center"/>
          </w:tcPr>
          <w:p>
            <w:pPr>
              <w:tabs>
                <w:tab w:val="left" w:pos="900"/>
              </w:tabs>
              <w:spacing w:before="38" w:beforeLines="10" w:after="38" w:afterLines="1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注意事项</w:t>
            </w:r>
          </w:p>
        </w:tc>
        <w:tc>
          <w:tcPr>
            <w:tcW w:w="8227" w:type="dxa"/>
            <w:tcBorders>
              <w:left w:val="single" w:color="auto" w:sz="4" w:space="0"/>
            </w:tcBorders>
          </w:tcPr>
          <w:p>
            <w:pPr>
              <w:tabs>
                <w:tab w:val="left" w:pos="900"/>
              </w:tabs>
              <w:spacing w:before="38" w:beforeLines="10" w:after="38" w:afterLines="1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为方便开标唱标，投标人应将 “开标一览表”单独密封，并在密封袋上标明“开标一览表”字样，并注明开启处，在投标时单独递交。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4" w:hRule="atLeast"/>
        </w:trPr>
        <w:tc>
          <w:tcPr>
            <w:tcW w:w="656" w:type="dxa"/>
            <w:tcBorders>
              <w:top w:val="single" w:color="auto" w:sz="4" w:space="0"/>
            </w:tcBorders>
            <w:vAlign w:val="center"/>
          </w:tcPr>
          <w:p>
            <w:pPr>
              <w:spacing w:line="40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9</w:t>
            </w:r>
          </w:p>
        </w:tc>
        <w:tc>
          <w:tcPr>
            <w:tcW w:w="1357" w:type="dxa"/>
            <w:tcBorders>
              <w:top w:val="single" w:color="auto" w:sz="4" w:space="0"/>
              <w:right w:val="single" w:color="auto" w:sz="4" w:space="0"/>
            </w:tcBorders>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评标方法</w:t>
            </w:r>
          </w:p>
        </w:tc>
        <w:tc>
          <w:tcPr>
            <w:tcW w:w="8227" w:type="dxa"/>
            <w:tcBorders>
              <w:top w:val="single" w:color="auto" w:sz="4" w:space="0"/>
              <w:left w:val="single" w:color="auto" w:sz="4" w:space="0"/>
            </w:tcBorders>
            <w:vAlign w:val="center"/>
          </w:tcPr>
          <w:p>
            <w:pPr>
              <w:tabs>
                <w:tab w:val="left" w:pos="900"/>
              </w:tabs>
              <w:spacing w:before="38" w:beforeLines="10" w:after="38" w:afterLines="1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综合评分法。即指在最大限度地满足招标文件实质性要求的前提下，按照招标文件中规定的各项因素进行综合评审后，以评标总得分最高的投标人作为第一中标候选人。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exact"/>
        </w:trPr>
        <w:tc>
          <w:tcPr>
            <w:tcW w:w="656" w:type="dxa"/>
            <w:tcBorders>
              <w:top w:val="single" w:color="auto" w:sz="4" w:space="0"/>
              <w:bottom w:val="single" w:color="auto" w:sz="4" w:space="0"/>
            </w:tcBorders>
            <w:vAlign w:val="center"/>
          </w:tcPr>
          <w:p>
            <w:pPr>
              <w:spacing w:line="40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10</w:t>
            </w:r>
          </w:p>
        </w:tc>
        <w:tc>
          <w:tcPr>
            <w:tcW w:w="1357" w:type="dxa"/>
            <w:tcBorders>
              <w:top w:val="single" w:color="auto" w:sz="4" w:space="0"/>
              <w:bottom w:val="single" w:color="auto" w:sz="4" w:space="0"/>
              <w:right w:val="single" w:color="auto" w:sz="4" w:space="0"/>
            </w:tcBorders>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采购代理服务费及收费标准</w:t>
            </w:r>
          </w:p>
        </w:tc>
        <w:tc>
          <w:tcPr>
            <w:tcW w:w="8227" w:type="dxa"/>
            <w:tcBorders>
              <w:top w:val="single" w:color="auto" w:sz="4" w:space="0"/>
              <w:left w:val="single" w:color="auto" w:sz="4" w:space="0"/>
              <w:bottom w:val="single" w:color="auto" w:sz="4" w:space="0"/>
            </w:tcBorders>
            <w:vAlign w:val="center"/>
          </w:tcPr>
          <w:p>
            <w:pPr>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收费标准：</w:t>
            </w:r>
            <w:r>
              <w:rPr>
                <w:rFonts w:hint="eastAsia" w:ascii="Arial" w:hAnsi="Arial" w:cs="Arial"/>
                <w:bCs/>
                <w:color w:val="000000" w:themeColor="text1"/>
                <w:kern w:val="0"/>
                <w:sz w:val="24"/>
                <w:szCs w:val="24"/>
                <w:shd w:val="clear" w:color="auto" w:fill="FFFFFF"/>
                <w14:textFill>
                  <w14:solidFill>
                    <w14:schemeClr w14:val="tx1"/>
                  </w14:solidFill>
                </w14:textFill>
              </w:rPr>
              <w:t>具体收费标准按成交金额采用差额定率累进法，详见招标文件</w:t>
            </w:r>
            <w:r>
              <w:rPr>
                <w:rFonts w:hint="eastAsia" w:ascii="宋体" w:hAnsi="宋体"/>
                <w:bCs/>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98" w:hRule="exact"/>
        </w:trPr>
        <w:tc>
          <w:tcPr>
            <w:tcW w:w="656" w:type="dxa"/>
            <w:tcBorders>
              <w:top w:val="single" w:color="auto" w:sz="4" w:space="0"/>
            </w:tcBorders>
            <w:vAlign w:val="center"/>
          </w:tcPr>
          <w:p>
            <w:pPr>
              <w:spacing w:line="40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11</w:t>
            </w:r>
          </w:p>
        </w:tc>
        <w:tc>
          <w:tcPr>
            <w:tcW w:w="1357" w:type="dxa"/>
            <w:tcBorders>
              <w:top w:val="single" w:color="auto" w:sz="4" w:space="0"/>
              <w:right w:val="single" w:color="auto" w:sz="4" w:space="0"/>
            </w:tcBorders>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备注</w:t>
            </w:r>
          </w:p>
        </w:tc>
        <w:tc>
          <w:tcPr>
            <w:tcW w:w="8227" w:type="dxa"/>
            <w:tcBorders>
              <w:top w:val="single" w:color="auto" w:sz="4" w:space="0"/>
              <w:left w:val="single" w:color="auto" w:sz="4" w:space="0"/>
            </w:tcBorders>
            <w:vAlign w:val="center"/>
          </w:tcPr>
          <w:p>
            <w:pPr>
              <w:spacing w:line="40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各类产品需达到国家节能和环保要求以及行业标准。投标人所投产品属于节能清单和环境标志清单中的产品时，在技术、服务等指标同等条件下，优先采购节能清单和环境标志清单所列的节能和环境标志产品。</w:t>
            </w:r>
          </w:p>
        </w:tc>
      </w:tr>
    </w:tbl>
    <w:p>
      <w:pPr>
        <w:pStyle w:val="4"/>
        <w:spacing w:line="360" w:lineRule="auto"/>
        <w:jc w:val="center"/>
        <w:rPr>
          <w:rFonts w:ascii="宋体" w:hAnsi="宋体"/>
          <w:b w:val="0"/>
          <w:color w:val="000000" w:themeColor="text1"/>
          <w:sz w:val="24"/>
          <w:szCs w:val="24"/>
          <w14:textFill>
            <w14:solidFill>
              <w14:schemeClr w14:val="tx1"/>
            </w14:solidFill>
          </w14:textFill>
        </w:rPr>
      </w:pPr>
      <w:bookmarkStart w:id="9" w:name="_Toc314063803"/>
      <w:r>
        <w:rPr>
          <w:rFonts w:hint="eastAsia" w:ascii="宋体" w:hAnsi="宋体"/>
          <w:b w:val="0"/>
          <w:color w:val="000000" w:themeColor="text1"/>
          <w:sz w:val="24"/>
          <w:szCs w:val="24"/>
          <w14:textFill>
            <w14:solidFill>
              <w14:schemeClr w14:val="tx1"/>
            </w14:solidFill>
          </w14:textFill>
        </w:rPr>
        <w:t>第二部分、</w:t>
      </w:r>
      <w:bookmarkEnd w:id="9"/>
      <w:r>
        <w:rPr>
          <w:rFonts w:hint="eastAsia" w:ascii="宋体" w:hAnsi="宋体"/>
          <w:b w:val="0"/>
          <w:color w:val="000000" w:themeColor="text1"/>
          <w:sz w:val="24"/>
          <w:szCs w:val="24"/>
          <w14:textFill>
            <w14:solidFill>
              <w14:schemeClr w14:val="tx1"/>
            </w14:solidFill>
          </w14:textFill>
        </w:rPr>
        <w:t>投标人须知</w:t>
      </w:r>
      <w:bookmarkStart w:id="10" w:name="_Toc314063804"/>
      <w:bookmarkStart w:id="11" w:name="_Toc520356143"/>
    </w:p>
    <w:p>
      <w:pPr>
        <w:spacing w:line="360" w:lineRule="auto"/>
        <w:jc w:val="center"/>
        <w:rPr>
          <w:rFonts w:ascii="宋体" w:hAnsi="宋体"/>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一</w:t>
      </w:r>
      <w:r>
        <w:rPr>
          <w:rFonts w:hint="eastAsia" w:ascii="宋体" w:hAnsi="宋体"/>
          <w:bCs/>
          <w:color w:val="000000" w:themeColor="text1"/>
          <w:sz w:val="24"/>
          <w:szCs w:val="24"/>
          <w14:textFill>
            <w14:solidFill>
              <w14:schemeClr w14:val="tx1"/>
            </w14:solidFill>
          </w14:textFill>
        </w:rPr>
        <w:t>、说明</w:t>
      </w:r>
      <w:bookmarkEnd w:id="10"/>
      <w:bookmarkEnd w:id="11"/>
      <w:bookmarkStart w:id="12" w:name="_Toc314063805"/>
    </w:p>
    <w:p>
      <w:pPr>
        <w:spacing w:line="40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1.适用范围：</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1.1</w:t>
      </w:r>
      <w:r>
        <w:rPr>
          <w:rFonts w:hint="eastAsia" w:ascii="宋体" w:hAnsi="宋体"/>
          <w:bCs/>
          <w:color w:val="000000" w:themeColor="text1"/>
          <w:sz w:val="24"/>
          <w:szCs w:val="24"/>
          <w14:textFill>
            <w14:solidFill>
              <w14:schemeClr w14:val="tx1"/>
            </w14:solidFill>
          </w14:textFill>
        </w:rPr>
        <w:t xml:space="preserve">  本招标文件仅适用于江西久和招标服务有限公司招标活动。</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1.2</w:t>
      </w:r>
      <w:r>
        <w:rPr>
          <w:rFonts w:hint="eastAsia" w:ascii="宋体" w:hAnsi="宋体"/>
          <w:bCs/>
          <w:color w:val="000000" w:themeColor="text1"/>
          <w:sz w:val="24"/>
          <w:szCs w:val="24"/>
          <w14:textFill>
            <w14:solidFill>
              <w14:schemeClr w14:val="tx1"/>
            </w14:solidFill>
          </w14:textFill>
        </w:rPr>
        <w:t xml:space="preserve">  本次招标活动及因本次招标产生的合同受中国法律制约和保护。</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1.3</w:t>
      </w:r>
      <w:r>
        <w:rPr>
          <w:rFonts w:hint="eastAsia" w:ascii="宋体" w:hAnsi="宋体"/>
          <w:bCs/>
          <w:color w:val="000000" w:themeColor="text1"/>
          <w:sz w:val="24"/>
          <w:szCs w:val="24"/>
          <w14:textFill>
            <w14:solidFill>
              <w14:schemeClr w14:val="tx1"/>
            </w14:solidFill>
          </w14:textFill>
        </w:rPr>
        <w:t xml:space="preserve">  本招标文件的解释权属于江西久和招标服务有限公司。</w:t>
      </w:r>
    </w:p>
    <w:p>
      <w:pPr>
        <w:spacing w:line="40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2.定义：</w:t>
      </w:r>
    </w:p>
    <w:p>
      <w:pPr>
        <w:spacing w:line="400" w:lineRule="exact"/>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ascii="宋体" w:hAnsi="宋体"/>
          <w:bCs/>
          <w:color w:val="000000" w:themeColor="text1"/>
          <w:sz w:val="24"/>
          <w:szCs w:val="24"/>
          <w14:textFill>
            <w14:solidFill>
              <w14:schemeClr w14:val="tx1"/>
            </w14:solidFill>
          </w14:textFill>
        </w:rPr>
        <w:t xml:space="preserve">.1 </w:t>
      </w:r>
      <w:r>
        <w:rPr>
          <w:rFonts w:hint="eastAsia" w:ascii="宋体" w:hAnsi="宋体"/>
          <w:bCs/>
          <w:color w:val="000000" w:themeColor="text1"/>
          <w:sz w:val="24"/>
          <w:szCs w:val="24"/>
          <w14:textFill>
            <w14:solidFill>
              <w14:schemeClr w14:val="tx1"/>
            </w14:solidFill>
          </w14:textFill>
        </w:rPr>
        <w:t xml:space="preserve"> “采购人”是指依法进行采购的国家机关、事业单位、团体组织。</w:t>
      </w:r>
      <w:r>
        <w:rPr>
          <w:rFonts w:hint="eastAsia" w:ascii="宋体" w:hAnsi="宋体" w:cs="宋体"/>
          <w:bCs/>
          <w:color w:val="000000" w:themeColor="text1"/>
          <w:kern w:val="0"/>
          <w:sz w:val="24"/>
          <w:szCs w:val="24"/>
          <w14:textFill>
            <w14:solidFill>
              <w14:schemeClr w14:val="tx1"/>
            </w14:solidFill>
          </w14:textFill>
        </w:rPr>
        <w:t>即：赣州银行股份有限公司</w:t>
      </w:r>
    </w:p>
    <w:p>
      <w:pPr>
        <w:spacing w:line="400" w:lineRule="exact"/>
        <w:ind w:firstLine="480" w:firstLineChars="200"/>
        <w:rPr>
          <w:rFonts w:ascii="宋体" w:hAnsi="宋体"/>
          <w:bCs/>
          <w:color w:val="000000" w:themeColor="text1"/>
          <w:kern w:val="0"/>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ascii="宋体" w:hAnsi="宋体"/>
          <w:bCs/>
          <w:color w:val="000000" w:themeColor="text1"/>
          <w:sz w:val="24"/>
          <w:szCs w:val="24"/>
          <w14:textFill>
            <w14:solidFill>
              <w14:schemeClr w14:val="tx1"/>
            </w14:solidFill>
          </w14:textFill>
        </w:rPr>
        <w:t xml:space="preserve">.2 </w:t>
      </w:r>
      <w:r>
        <w:rPr>
          <w:rFonts w:hint="eastAsia" w:ascii="宋体" w:hAnsi="宋体"/>
          <w:bCs/>
          <w:color w:val="000000" w:themeColor="text1"/>
          <w:sz w:val="24"/>
          <w:szCs w:val="24"/>
          <w14:textFill>
            <w14:solidFill>
              <w14:schemeClr w14:val="tx1"/>
            </w14:solidFill>
          </w14:textFill>
        </w:rPr>
        <w:t xml:space="preserve"> “招标代理机构”是指依法经认定资格的</w:t>
      </w:r>
      <w:r>
        <w:rPr>
          <w:rFonts w:hint="eastAsia" w:ascii="宋体" w:hAnsi="宋体"/>
          <w:bCs/>
          <w:color w:val="000000" w:themeColor="text1"/>
          <w:kern w:val="0"/>
          <w:sz w:val="24"/>
          <w:szCs w:val="24"/>
          <w14:textFill>
            <w14:solidFill>
              <w14:schemeClr w14:val="tx1"/>
            </w14:solidFill>
          </w14:textFill>
        </w:rPr>
        <w:t>江西久和招标服务有限公司。</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2.3  “供应商”是指向采购人提供货物、工程或者服务的法人、其它组织或者自然人。</w:t>
      </w:r>
    </w:p>
    <w:p>
      <w:pPr>
        <w:autoSpaceDE w:val="0"/>
        <w:autoSpaceDN w:val="0"/>
        <w:adjustRightInd w:val="0"/>
        <w:spacing w:line="400" w:lineRule="exact"/>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4 “投标人”是指符合招标文件投标人资格要求和条件，交纳投标保证金的参加采购货物、服务投标活动的国内供应商。</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5 “货物”是指各种形态和种类的物品，包括原材料、燃料、设备、产品等。</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6 “服务”是指除货物和工程以外的其他采购对象。</w:t>
      </w:r>
    </w:p>
    <w:bookmarkEnd w:id="12"/>
    <w:p>
      <w:pPr>
        <w:spacing w:line="400" w:lineRule="exact"/>
        <w:jc w:val="left"/>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3.合格投标人的一般条件：</w:t>
      </w:r>
    </w:p>
    <w:p>
      <w:pPr>
        <w:autoSpaceDE w:val="0"/>
        <w:autoSpaceDN w:val="0"/>
        <w:adjustRightInd w:val="0"/>
        <w:spacing w:line="400" w:lineRule="exact"/>
        <w:ind w:left="2" w:leftChars="1" w:firstLine="480" w:firstLineChars="200"/>
        <w:rPr>
          <w:rFonts w:ascii="宋体" w:hAnsi="宋体" w:cs="宋体"/>
          <w:bCs/>
          <w:color w:val="000000" w:themeColor="text1"/>
          <w:sz w:val="24"/>
          <w:szCs w:val="24"/>
          <w:lang w:val="zh-CN"/>
          <w14:textFill>
            <w14:solidFill>
              <w14:schemeClr w14:val="tx1"/>
            </w14:solidFill>
          </w14:textFill>
        </w:rPr>
      </w:pPr>
      <w:bookmarkStart w:id="13" w:name="_Toc314063807"/>
      <w:r>
        <w:rPr>
          <w:rFonts w:ascii="宋体" w:hAnsi="宋体" w:cs="宋体"/>
          <w:bCs/>
          <w:color w:val="000000" w:themeColor="text1"/>
          <w:sz w:val="24"/>
          <w:szCs w:val="24"/>
          <w:lang w:val="zh-CN"/>
          <w14:textFill>
            <w14:solidFill>
              <w14:schemeClr w14:val="tx1"/>
            </w14:solidFill>
          </w14:textFill>
        </w:rPr>
        <w:t>3.1</w:t>
      </w:r>
      <w:r>
        <w:rPr>
          <w:rFonts w:hint="eastAsia" w:ascii="宋体" w:hAnsi="宋体" w:cs="宋体"/>
          <w:bCs/>
          <w:color w:val="000000" w:themeColor="text1"/>
          <w:sz w:val="24"/>
          <w:szCs w:val="24"/>
          <w:lang w:val="zh-CN"/>
          <w14:textFill>
            <w14:solidFill>
              <w14:schemeClr w14:val="tx1"/>
            </w14:solidFill>
          </w14:textFill>
        </w:rPr>
        <w:t xml:space="preserve">  在中华人民共和国境内注册，具有独立承担民事责任的能力；</w:t>
      </w:r>
    </w:p>
    <w:p>
      <w:pPr>
        <w:autoSpaceDE w:val="0"/>
        <w:autoSpaceDN w:val="0"/>
        <w:adjustRightInd w:val="0"/>
        <w:spacing w:line="40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cs="宋体"/>
          <w:bCs/>
          <w:color w:val="000000" w:themeColor="text1"/>
          <w:sz w:val="24"/>
          <w:szCs w:val="24"/>
          <w:lang w:val="zh-CN"/>
          <w14:textFill>
            <w14:solidFill>
              <w14:schemeClr w14:val="tx1"/>
            </w14:solidFill>
          </w14:textFill>
        </w:rPr>
        <w:t>3.2</w:t>
      </w:r>
      <w:r>
        <w:rPr>
          <w:rFonts w:hint="eastAsia" w:ascii="宋体" w:hAnsi="宋体" w:cs="宋体"/>
          <w:bCs/>
          <w:color w:val="000000" w:themeColor="text1"/>
          <w:sz w:val="24"/>
          <w:szCs w:val="24"/>
          <w:lang w:val="zh-CN"/>
          <w14:textFill>
            <w14:solidFill>
              <w14:schemeClr w14:val="tx1"/>
            </w14:solidFill>
          </w14:textFill>
        </w:rPr>
        <w:t xml:space="preserve">  具有良好的商业信誉和健全的财务会计制度；</w:t>
      </w:r>
    </w:p>
    <w:p>
      <w:pPr>
        <w:autoSpaceDE w:val="0"/>
        <w:autoSpaceDN w:val="0"/>
        <w:adjustRightInd w:val="0"/>
        <w:spacing w:line="40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cs="宋体"/>
          <w:bCs/>
          <w:color w:val="000000" w:themeColor="text1"/>
          <w:sz w:val="24"/>
          <w:szCs w:val="24"/>
          <w:lang w:val="zh-CN"/>
          <w14:textFill>
            <w14:solidFill>
              <w14:schemeClr w14:val="tx1"/>
            </w14:solidFill>
          </w14:textFill>
        </w:rPr>
        <w:t>3.3</w:t>
      </w:r>
      <w:r>
        <w:rPr>
          <w:rFonts w:hint="eastAsia" w:ascii="宋体" w:hAnsi="宋体" w:cs="宋体"/>
          <w:bCs/>
          <w:color w:val="000000" w:themeColor="text1"/>
          <w:sz w:val="24"/>
          <w:szCs w:val="24"/>
          <w:lang w:val="zh-CN"/>
          <w14:textFill>
            <w14:solidFill>
              <w14:schemeClr w14:val="tx1"/>
            </w14:solidFill>
          </w14:textFill>
        </w:rPr>
        <w:t xml:space="preserve">  具有履行合同所必须的设备和专业技术能力；</w:t>
      </w:r>
    </w:p>
    <w:p>
      <w:pPr>
        <w:autoSpaceDE w:val="0"/>
        <w:autoSpaceDN w:val="0"/>
        <w:adjustRightInd w:val="0"/>
        <w:spacing w:line="40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cs="宋体"/>
          <w:bCs/>
          <w:color w:val="000000" w:themeColor="text1"/>
          <w:sz w:val="24"/>
          <w:szCs w:val="24"/>
          <w:lang w:val="zh-CN"/>
          <w14:textFill>
            <w14:solidFill>
              <w14:schemeClr w14:val="tx1"/>
            </w14:solidFill>
          </w14:textFill>
        </w:rPr>
        <w:t>3.4</w:t>
      </w:r>
      <w:r>
        <w:rPr>
          <w:rFonts w:hint="eastAsia" w:ascii="宋体" w:hAnsi="宋体" w:cs="宋体"/>
          <w:bCs/>
          <w:color w:val="000000" w:themeColor="text1"/>
          <w:sz w:val="24"/>
          <w:szCs w:val="24"/>
          <w:lang w:val="zh-CN"/>
          <w14:textFill>
            <w14:solidFill>
              <w14:schemeClr w14:val="tx1"/>
            </w14:solidFill>
          </w14:textFill>
        </w:rPr>
        <w:t xml:space="preserve">  有依法缴纳税收和社会保障资金的良好记录；</w:t>
      </w:r>
    </w:p>
    <w:p>
      <w:pPr>
        <w:autoSpaceDE w:val="0"/>
        <w:autoSpaceDN w:val="0"/>
        <w:adjustRightInd w:val="0"/>
        <w:spacing w:line="40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cs="宋体"/>
          <w:bCs/>
          <w:color w:val="000000" w:themeColor="text1"/>
          <w:sz w:val="24"/>
          <w:szCs w:val="24"/>
          <w:lang w:val="zh-CN"/>
          <w14:textFill>
            <w14:solidFill>
              <w14:schemeClr w14:val="tx1"/>
            </w14:solidFill>
          </w14:textFill>
        </w:rPr>
        <w:t>3.5</w:t>
      </w:r>
      <w:r>
        <w:rPr>
          <w:rFonts w:hint="eastAsia" w:ascii="宋体" w:hAnsi="宋体" w:cs="宋体"/>
          <w:bCs/>
          <w:color w:val="000000" w:themeColor="text1"/>
          <w:sz w:val="24"/>
          <w:szCs w:val="24"/>
          <w:lang w:val="zh-CN"/>
          <w14:textFill>
            <w14:solidFill>
              <w14:schemeClr w14:val="tx1"/>
            </w14:solidFill>
          </w14:textFill>
        </w:rPr>
        <w:t xml:space="preserve">  参加采购活动前三年内，在经营活动中没有重大违法记录；</w:t>
      </w:r>
    </w:p>
    <w:p>
      <w:pPr>
        <w:autoSpaceDE w:val="0"/>
        <w:autoSpaceDN w:val="0"/>
        <w:adjustRightInd w:val="0"/>
        <w:spacing w:line="40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cs="宋体"/>
          <w:bCs/>
          <w:color w:val="000000" w:themeColor="text1"/>
          <w:sz w:val="24"/>
          <w:szCs w:val="24"/>
          <w:lang w:val="zh-CN"/>
          <w14:textFill>
            <w14:solidFill>
              <w14:schemeClr w14:val="tx1"/>
            </w14:solidFill>
          </w14:textFill>
        </w:rPr>
        <w:t>3.6</w:t>
      </w:r>
      <w:r>
        <w:rPr>
          <w:rFonts w:hint="eastAsia" w:ascii="宋体" w:hAnsi="宋体" w:cs="宋体"/>
          <w:bCs/>
          <w:color w:val="000000" w:themeColor="text1"/>
          <w:sz w:val="24"/>
          <w:szCs w:val="24"/>
          <w:lang w:val="zh-CN"/>
          <w14:textFill>
            <w14:solidFill>
              <w14:schemeClr w14:val="tx1"/>
            </w14:solidFill>
          </w14:textFill>
        </w:rPr>
        <w:t xml:space="preserve">  获取招标文件，完全满足招标文件的实质性要求；</w:t>
      </w:r>
    </w:p>
    <w:p>
      <w:pPr>
        <w:autoSpaceDE w:val="0"/>
        <w:autoSpaceDN w:val="0"/>
        <w:adjustRightInd w:val="0"/>
        <w:spacing w:line="40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cs="宋体"/>
          <w:bCs/>
          <w:color w:val="000000" w:themeColor="text1"/>
          <w:sz w:val="24"/>
          <w:szCs w:val="24"/>
          <w:lang w:val="zh-CN"/>
          <w14:textFill>
            <w14:solidFill>
              <w14:schemeClr w14:val="tx1"/>
            </w14:solidFill>
          </w14:textFill>
        </w:rPr>
        <w:t>3.7</w:t>
      </w:r>
      <w:r>
        <w:rPr>
          <w:rFonts w:hint="eastAsia" w:ascii="宋体" w:hAnsi="宋体" w:cs="宋体"/>
          <w:bCs/>
          <w:color w:val="000000" w:themeColor="text1"/>
          <w:sz w:val="24"/>
          <w:szCs w:val="24"/>
          <w:lang w:val="zh-CN"/>
          <w14:textFill>
            <w14:solidFill>
              <w14:schemeClr w14:val="tx1"/>
            </w14:solidFill>
          </w14:textFill>
        </w:rPr>
        <w:t xml:space="preserve">  遵守有关的国家法律、法令和条例。</w:t>
      </w:r>
    </w:p>
    <w:p>
      <w:pPr>
        <w:spacing w:line="400" w:lineRule="exact"/>
        <w:rPr>
          <w:rFonts w:ascii="宋体" w:hAnsi="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w:t>
      </w:r>
      <w:r>
        <w:rPr>
          <w:rFonts w:hint="eastAsia" w:ascii="宋体" w:hAnsi="宋体"/>
          <w:bCs/>
          <w:color w:val="000000" w:themeColor="text1"/>
          <w:sz w:val="24"/>
          <w:szCs w:val="24"/>
          <w14:textFill>
            <w14:solidFill>
              <w14:schemeClr w14:val="tx1"/>
            </w14:solidFill>
          </w14:textFill>
        </w:rPr>
        <w:t>投标人代表：</w:t>
      </w:r>
    </w:p>
    <w:p>
      <w:pPr>
        <w:spacing w:line="400" w:lineRule="exact"/>
        <w:ind w:left="2" w:leftChars="1"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w:t>
      </w:r>
      <w:r>
        <w:rPr>
          <w:rFonts w:ascii="宋体" w:hAnsi="宋体"/>
          <w:bCs/>
          <w:color w:val="000000" w:themeColor="text1"/>
          <w:sz w:val="24"/>
          <w:szCs w:val="24"/>
          <w14:textFill>
            <w14:solidFill>
              <w14:schemeClr w14:val="tx1"/>
            </w14:solidFill>
          </w14:textFill>
        </w:rPr>
        <w:t xml:space="preserve">.1 </w:t>
      </w:r>
      <w:r>
        <w:rPr>
          <w:rFonts w:hint="eastAsia" w:ascii="宋体" w:hAnsi="宋体"/>
          <w:bCs/>
          <w:color w:val="000000" w:themeColor="text1"/>
          <w:sz w:val="24"/>
          <w:szCs w:val="24"/>
          <w14:textFill>
            <w14:solidFill>
              <w14:schemeClr w14:val="tx1"/>
            </w14:solidFill>
          </w14:textFill>
        </w:rPr>
        <w:t xml:space="preserve"> 指全权代表投标人参加投标活动并签署投标文件的人。如果投标人代表不是法人代表，须持有《法人代表授权书》。</w:t>
      </w:r>
      <w:r>
        <w:rPr>
          <w:rFonts w:hint="eastAsia" w:ascii="宋体" w:hAnsi="宋体" w:cs="宋体"/>
          <w:bCs/>
          <w:color w:val="000000" w:themeColor="text1"/>
          <w:sz w:val="24"/>
          <w:szCs w:val="24"/>
          <w:lang w:val="zh-CN"/>
          <w14:textFill>
            <w14:solidFill>
              <w14:schemeClr w14:val="tx1"/>
            </w14:solidFill>
          </w14:textFill>
        </w:rPr>
        <w:t>（详见统一格式）</w:t>
      </w:r>
    </w:p>
    <w:p>
      <w:pPr>
        <w:spacing w:line="40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5.投标费用</w:t>
      </w:r>
      <w:bookmarkEnd w:id="13"/>
      <w:r>
        <w:rPr>
          <w:rFonts w:hint="eastAsia" w:ascii="宋体" w:hAnsi="宋体"/>
          <w:bCs/>
          <w:color w:val="000000" w:themeColor="text1"/>
          <w:sz w:val="24"/>
          <w:szCs w:val="24"/>
          <w14:textFill>
            <w14:solidFill>
              <w14:schemeClr w14:val="tx1"/>
            </w14:solidFill>
          </w14:textFill>
        </w:rPr>
        <w:t>：</w:t>
      </w:r>
    </w:p>
    <w:p>
      <w:pPr>
        <w:spacing w:line="400" w:lineRule="exact"/>
        <w:ind w:left="2" w:leftChars="1"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5.1  不论投标的结果如何，投标人应自行承担所有与准备和参加投标有关的全部费用。招标代理机构和采购人在任何情况下均无义务和责任承担这些费用。</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r>
        <w:rPr>
          <w:rFonts w:ascii="宋体" w:hAnsi="宋体" w:cs="宋体"/>
          <w:bCs/>
          <w:color w:val="000000" w:themeColor="text1"/>
          <w:sz w:val="24"/>
          <w:szCs w:val="24"/>
          <w:lang w:val="zh-CN"/>
          <w14:textFill>
            <w14:solidFill>
              <w14:schemeClr w14:val="tx1"/>
            </w14:solidFill>
          </w14:textFill>
        </w:rPr>
        <w:t>6.</w:t>
      </w:r>
      <w:r>
        <w:rPr>
          <w:rFonts w:hint="eastAsia" w:ascii="宋体" w:hAnsi="宋体" w:cs="宋体"/>
          <w:bCs/>
          <w:color w:val="000000" w:themeColor="text1"/>
          <w:sz w:val="24"/>
          <w:szCs w:val="24"/>
          <w:lang w:val="zh-CN"/>
          <w14:textFill>
            <w14:solidFill>
              <w14:schemeClr w14:val="tx1"/>
            </w14:solidFill>
          </w14:textFill>
        </w:rPr>
        <w:t>联合投标</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6.1  </w:t>
      </w:r>
      <w:r>
        <w:rPr>
          <w:rFonts w:hint="eastAsia" w:ascii="宋体" w:hAnsi="宋体"/>
          <w:bCs/>
          <w:color w:val="000000" w:themeColor="text1"/>
          <w:sz w:val="24"/>
          <w:szCs w:val="24"/>
          <w14:textFill>
            <w14:solidFill>
              <w14:schemeClr w14:val="tx1"/>
            </w14:solidFill>
          </w14:textFill>
        </w:rPr>
        <w:t>为了保证项目质量本次招标不接受联合体。</w:t>
      </w:r>
    </w:p>
    <w:p>
      <w:pPr>
        <w:autoSpaceDE w:val="0"/>
        <w:autoSpaceDN w:val="0"/>
        <w:adjustRightInd w:val="0"/>
        <w:spacing w:line="400" w:lineRule="exact"/>
        <w:rPr>
          <w:rFonts w:ascii="宋体" w:hAnsi="宋体"/>
          <w:b/>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7</w:t>
      </w:r>
      <w:r>
        <w:rPr>
          <w:rFonts w:hint="eastAsia" w:ascii="宋体" w:hAnsi="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zh-CN"/>
          <w14:textFill>
            <w14:solidFill>
              <w14:schemeClr w14:val="tx1"/>
            </w14:solidFill>
          </w14:textFill>
        </w:rPr>
        <w:t>资格审查  按招标公告要求递交资格审查材料，并</w:t>
      </w:r>
      <w:r>
        <w:rPr>
          <w:rFonts w:hint="eastAsia" w:ascii="宋体" w:cs="宋体"/>
          <w:bCs/>
          <w:color w:val="000000" w:themeColor="text1"/>
          <w:sz w:val="24"/>
          <w:szCs w:val="24"/>
          <w:lang w:val="zh-CN"/>
          <w14:textFill>
            <w14:solidFill>
              <w14:schemeClr w14:val="tx1"/>
            </w14:solidFill>
          </w14:textFill>
        </w:rPr>
        <w:t>由评标委员会进行最终审核</w:t>
      </w:r>
      <w:r>
        <w:rPr>
          <w:rFonts w:hint="eastAsia" w:ascii="宋体" w:hAnsi="宋体" w:cs="宋体"/>
          <w:bCs/>
          <w:color w:val="000000" w:themeColor="text1"/>
          <w:sz w:val="24"/>
          <w:szCs w:val="24"/>
          <w:lang w:val="zh-CN"/>
          <w14:textFill>
            <w14:solidFill>
              <w14:schemeClr w14:val="tx1"/>
            </w14:solidFill>
          </w14:textFill>
        </w:rPr>
        <w:t>。</w:t>
      </w:r>
      <w:bookmarkStart w:id="14" w:name="_Toc334772946"/>
    </w:p>
    <w:p>
      <w:pPr>
        <w:pStyle w:val="2"/>
        <w:spacing w:before="0" w:after="0" w:line="400" w:lineRule="exact"/>
        <w:jc w:val="center"/>
        <w:rPr>
          <w:rFonts w:ascii="宋体" w:hAnsi="宋体" w:eastAsia="宋体"/>
          <w:b w:val="0"/>
          <w:color w:val="000000" w:themeColor="text1"/>
          <w:sz w:val="24"/>
          <w:szCs w:val="24"/>
          <w14:textFill>
            <w14:solidFill>
              <w14:schemeClr w14:val="tx1"/>
            </w14:solidFill>
          </w14:textFill>
        </w:rPr>
      </w:pPr>
      <w:r>
        <w:rPr>
          <w:rFonts w:hint="eastAsia" w:ascii="宋体" w:hAnsi="宋体" w:eastAsia="宋体"/>
          <w:b w:val="0"/>
          <w:color w:val="000000" w:themeColor="text1"/>
          <w:sz w:val="24"/>
          <w:szCs w:val="24"/>
          <w14:textFill>
            <w14:solidFill>
              <w14:schemeClr w14:val="tx1"/>
            </w14:solidFill>
          </w14:textFill>
        </w:rPr>
        <w:t>二、招标文件</w:t>
      </w:r>
      <w:bookmarkEnd w:id="14"/>
    </w:p>
    <w:p>
      <w:pPr>
        <w:spacing w:line="400" w:lineRule="exact"/>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8.招标文件的说明：</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8.1  招标文件由招标文件总目录所列内容组成。投标人应详细阅读招标文件的全部内容。不按招标文件的要求提供的投标文件和资料，可能导致其投标被拒绝。</w:t>
      </w:r>
    </w:p>
    <w:p>
      <w:pPr>
        <w:spacing w:line="400" w:lineRule="exact"/>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9.招标文件的澄清：</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9.1  获取了招标文件的供应商认为采购文件的内容使自己的合法权益受到损害或有疑问的，自本招标公告发布之日起七个工作日之内提出书面询问，招标代理机构将及时给予答复。必要时，招标代理机构将组织相关专家召开答疑会，将会议内容以书面的形式发给每个获取招标文件的潜在投标人（答复中不包括问题的来源）。并在采购信息发布的媒体上发布更正公告。该澄清内容为招标文件的组成部分。</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9.2  投标人在规定的时间内未对招标文件澄清或提出疑问的，招标代理机构将视其为同意。</w:t>
      </w:r>
    </w:p>
    <w:p>
      <w:pPr>
        <w:spacing w:line="400" w:lineRule="exact"/>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10.询问和质疑：</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询问：供应商对采购活动事项有疑问的，可以向采购人或者采购代理机构提出询问，采购代理机构应当在3个工作日内对供应商依法提出的询问做出答复。</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质疑：</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10.1供应商认为公开招标文件、公开招标过程、成交结果使自己的权益受到损害的，可以在知道或者应知其权益受到损害之日起7个工作日内，以书面形式向采购人、采购代理机构提出质疑。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1）对可以质疑的公开招标文件提出质疑的，为收到公开招标文件之日或者公开招标文件公告期限届满之日起7个工作日内；</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2）对公开招标过程提出质疑的，为各公开招标程序环节结束之日起7个工作日内；</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3）对成交结果提出质疑的，为成交结果公告期限届满之日起7个工作日内；</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10.2 供应商应在法定质疑期内一次性提出针对同一采购程序环节的质疑。</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10.3 提出质疑的供应商应当是参与所质疑项目采购活动的供应商。</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10.4 潜在供应商已依法获取其可质疑的公开招标文件的，可以对该文件提出质疑。</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10.5 供应商提出质疑应当提交质疑函和必要的证明材料。</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供应商为自然人的，应当由本人签字；供应商为法人或者其他组织的，应当由法定代表人、主要负责人，或者其授权代表签字或者盖章，并加盖公章。</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对不在采购代理机构现场获取的招标文件质疑的，须同时提供取得招标文件的凭证。</w:t>
      </w:r>
    </w:p>
    <w:p>
      <w:pPr>
        <w:spacing w:line="400" w:lineRule="exact"/>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11.招标文件的修改</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1</w:t>
      </w:r>
      <w:r>
        <w:rPr>
          <w:rFonts w:hint="eastAsia" w:ascii="宋体" w:hAnsi="宋体" w:cs="Arial"/>
          <w:bCs/>
          <w:color w:val="000000" w:themeColor="text1"/>
          <w:sz w:val="24"/>
          <w:szCs w:val="24"/>
          <w14:textFill>
            <w14:solidFill>
              <w14:schemeClr w14:val="tx1"/>
            </w14:solidFill>
          </w14:textFill>
        </w:rPr>
        <w:t>1</w:t>
      </w:r>
      <w:r>
        <w:rPr>
          <w:rFonts w:hint="eastAsia" w:ascii="宋体" w:hAnsi="宋体" w:cs="Arial"/>
          <w:bCs/>
          <w:color w:val="000000" w:themeColor="text1"/>
          <w:sz w:val="24"/>
          <w:szCs w:val="24"/>
          <w:lang w:val="zh-CN"/>
          <w14:textFill>
            <w14:solidFill>
              <w14:schemeClr w14:val="tx1"/>
            </w14:solidFill>
          </w14:textFill>
        </w:rPr>
        <w:t>.1  至投标截止时间15日前，招标代理机构</w:t>
      </w:r>
      <w:r>
        <w:rPr>
          <w:rFonts w:hint="eastAsia" w:ascii="宋体" w:hAnsi="宋体" w:cs="Arial"/>
          <w:bCs/>
          <w:color w:val="000000" w:themeColor="text1"/>
          <w:sz w:val="24"/>
          <w:szCs w:val="24"/>
          <w14:textFill>
            <w14:solidFill>
              <w14:schemeClr w14:val="tx1"/>
            </w14:solidFill>
          </w14:textFill>
        </w:rPr>
        <w:t>无论出于何种原因，</w:t>
      </w:r>
      <w:r>
        <w:rPr>
          <w:rFonts w:hint="eastAsia" w:ascii="宋体" w:hAnsi="宋体" w:cs="Arial"/>
          <w:bCs/>
          <w:color w:val="000000" w:themeColor="text1"/>
          <w:sz w:val="24"/>
          <w:szCs w:val="24"/>
          <w:lang w:val="zh-CN"/>
          <w14:textFill>
            <w14:solidFill>
              <w14:schemeClr w14:val="tx1"/>
            </w14:solidFill>
          </w14:textFill>
        </w:rPr>
        <w:t>均可对招标文件进行修改。</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1</w:t>
      </w:r>
      <w:r>
        <w:rPr>
          <w:rFonts w:hint="eastAsia" w:ascii="宋体" w:hAnsi="宋体" w:cs="Arial"/>
          <w:bCs/>
          <w:color w:val="000000" w:themeColor="text1"/>
          <w:sz w:val="24"/>
          <w:szCs w:val="24"/>
          <w14:textFill>
            <w14:solidFill>
              <w14:schemeClr w14:val="tx1"/>
            </w14:solidFill>
          </w14:textFill>
        </w:rPr>
        <w:t>1</w:t>
      </w:r>
      <w:r>
        <w:rPr>
          <w:rFonts w:hint="eastAsia" w:ascii="宋体" w:hAnsi="宋体" w:cs="Arial"/>
          <w:bCs/>
          <w:color w:val="000000" w:themeColor="text1"/>
          <w:sz w:val="24"/>
          <w:szCs w:val="24"/>
          <w:lang w:val="zh-CN"/>
          <w14:textFill>
            <w14:solidFill>
              <w14:schemeClr w14:val="tx1"/>
            </w14:solidFill>
          </w14:textFill>
        </w:rPr>
        <w:t>.2  招标代理机构对招标文件的修改，应及时</w:t>
      </w:r>
      <w:r>
        <w:rPr>
          <w:rFonts w:hint="eastAsia" w:ascii="宋体" w:hAnsi="宋体" w:cs="Arial"/>
          <w:bCs/>
          <w:color w:val="000000" w:themeColor="text1"/>
          <w:sz w:val="24"/>
          <w:szCs w:val="24"/>
          <w14:textFill>
            <w14:solidFill>
              <w14:schemeClr w14:val="tx1"/>
            </w14:solidFill>
          </w14:textFill>
        </w:rPr>
        <w:t>在原采购信息发布的媒体上发布更正公告。或</w:t>
      </w:r>
      <w:r>
        <w:rPr>
          <w:rFonts w:hint="eastAsia" w:ascii="宋体" w:hAnsi="宋体" w:cs="Arial"/>
          <w:bCs/>
          <w:color w:val="000000" w:themeColor="text1"/>
          <w:sz w:val="24"/>
          <w:szCs w:val="24"/>
          <w:lang w:val="zh-CN"/>
          <w14:textFill>
            <w14:solidFill>
              <w14:schemeClr w14:val="tx1"/>
            </w14:solidFill>
          </w14:textFill>
        </w:rPr>
        <w:t>以书面、电报或传真的形式通知所有已获取招标文件的</w:t>
      </w:r>
      <w:r>
        <w:rPr>
          <w:rFonts w:hint="eastAsia" w:ascii="宋体" w:hAnsi="宋体" w:cs="Arial"/>
          <w:bCs/>
          <w:color w:val="000000" w:themeColor="text1"/>
          <w:sz w:val="24"/>
          <w:szCs w:val="24"/>
          <w14:textFill>
            <w14:solidFill>
              <w14:schemeClr w14:val="tx1"/>
            </w14:solidFill>
          </w14:textFill>
        </w:rPr>
        <w:t>投标人，投标人在收到该通知后，应立即以书面形式向招标代理机构或采购人确认。该修改内容为招标文件的组成部分，对其投标人具有约束力。</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1</w:t>
      </w:r>
      <w:r>
        <w:rPr>
          <w:rFonts w:hint="eastAsia" w:ascii="宋体" w:hAnsi="宋体" w:cs="Arial"/>
          <w:bCs/>
          <w:color w:val="000000" w:themeColor="text1"/>
          <w:sz w:val="24"/>
          <w:szCs w:val="24"/>
          <w14:textFill>
            <w14:solidFill>
              <w14:schemeClr w14:val="tx1"/>
            </w14:solidFill>
          </w14:textFill>
        </w:rPr>
        <w:t>1</w:t>
      </w:r>
      <w:r>
        <w:rPr>
          <w:rFonts w:hint="eastAsia" w:ascii="宋体" w:hAnsi="宋体" w:cs="Arial"/>
          <w:bCs/>
          <w:color w:val="000000" w:themeColor="text1"/>
          <w:sz w:val="24"/>
          <w:szCs w:val="24"/>
          <w:lang w:val="zh-CN"/>
          <w14:textFill>
            <w14:solidFill>
              <w14:schemeClr w14:val="tx1"/>
            </w14:solidFill>
          </w14:textFill>
        </w:rPr>
        <w:t>.3  为使投标人有足够的时间按招标文件的修改要求考虑修正投标文件，或出于其他原因，招标代理机构可酌情推迟投标截止日期和开标日期，</w:t>
      </w:r>
      <w:r>
        <w:rPr>
          <w:rFonts w:hint="eastAsia" w:ascii="宋体" w:hAnsi="宋体" w:cs="Arial"/>
          <w:bCs/>
          <w:color w:val="000000" w:themeColor="text1"/>
          <w:sz w:val="24"/>
          <w:szCs w:val="24"/>
          <w14:textFill>
            <w14:solidFill>
              <w14:schemeClr w14:val="tx1"/>
            </w14:solidFill>
          </w14:textFill>
        </w:rPr>
        <w:t>但应当至少在投标截止时间三个工作日前将变更时间以书面形式通知所有已获取招标文件的投标人，并在采购信息发布的媒体上发布更正公告。该修改内容为招标文件的组成部分。在此情况下，招标人和投标人受投标截止期制约的所有权利和义务均应延长至新的截止日期。</w:t>
      </w:r>
      <w:bookmarkStart w:id="15" w:name="_Toc520356150"/>
      <w:bookmarkStart w:id="16" w:name="_Toc516367020"/>
      <w:bookmarkStart w:id="17" w:name="_Toc314063812"/>
    </w:p>
    <w:p>
      <w:pPr>
        <w:spacing w:line="400" w:lineRule="exact"/>
        <w:ind w:firstLine="3960" w:firstLineChars="165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三、投标文件</w:t>
      </w:r>
      <w:bookmarkEnd w:id="15"/>
      <w:bookmarkEnd w:id="16"/>
      <w:bookmarkEnd w:id="17"/>
      <w:r>
        <w:rPr>
          <w:rFonts w:hint="eastAsia" w:ascii="宋体" w:hAnsi="宋体" w:cs="Arial"/>
          <w:bCs/>
          <w:color w:val="000000" w:themeColor="text1"/>
          <w:sz w:val="24"/>
          <w:szCs w:val="24"/>
          <w14:textFill>
            <w14:solidFill>
              <w14:schemeClr w14:val="tx1"/>
            </w14:solidFill>
          </w14:textFill>
        </w:rPr>
        <w:t>的编制</w:t>
      </w:r>
    </w:p>
    <w:p>
      <w:pPr>
        <w:spacing w:line="400" w:lineRule="exact"/>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12.提示：</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12.1  投标人应仔细阅读全部招标文件，按招标文件的要求提供投标文件和资料，并保证所提供资料的真实性，以使其投标可以对招标文件作出实质性响应。否则其投标有可能被拒绝。</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1</w:t>
      </w:r>
      <w:r>
        <w:rPr>
          <w:rFonts w:hint="eastAsia" w:ascii="宋体" w:hAnsi="宋体" w:cs="Arial"/>
          <w:bCs/>
          <w:color w:val="000000" w:themeColor="text1"/>
          <w:sz w:val="24"/>
          <w:szCs w:val="24"/>
          <w14:textFill>
            <w14:solidFill>
              <w14:schemeClr w14:val="tx1"/>
            </w14:solidFill>
          </w14:textFill>
        </w:rPr>
        <w:t>2</w:t>
      </w:r>
      <w:r>
        <w:rPr>
          <w:rFonts w:hint="eastAsia" w:ascii="宋体" w:hAnsi="宋体" w:cs="Arial"/>
          <w:bCs/>
          <w:color w:val="000000" w:themeColor="text1"/>
          <w:sz w:val="24"/>
          <w:szCs w:val="24"/>
          <w:lang w:val="zh-CN"/>
          <w14:textFill>
            <w14:solidFill>
              <w14:schemeClr w14:val="tx1"/>
            </w14:solidFill>
          </w14:textFill>
        </w:rPr>
        <w:t>.2  无论是否递交投标文件，投标人都应将招标文件及以后的所有通知、文件等视为保密文件。</w:t>
      </w:r>
    </w:p>
    <w:p>
      <w:pPr>
        <w:spacing w:line="400" w:lineRule="exact"/>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13.投标文件计量单位及使用文字：</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1</w:t>
      </w:r>
      <w:r>
        <w:rPr>
          <w:rFonts w:hint="eastAsia" w:ascii="宋体" w:hAnsi="宋体" w:cs="Arial"/>
          <w:bCs/>
          <w:color w:val="000000" w:themeColor="text1"/>
          <w:sz w:val="24"/>
          <w:szCs w:val="24"/>
          <w14:textFill>
            <w14:solidFill>
              <w14:schemeClr w14:val="tx1"/>
            </w14:solidFill>
          </w14:textFill>
        </w:rPr>
        <w:t>3</w:t>
      </w:r>
      <w:r>
        <w:rPr>
          <w:rFonts w:hint="eastAsia" w:ascii="宋体" w:hAnsi="宋体" w:cs="Arial"/>
          <w:bCs/>
          <w:color w:val="000000" w:themeColor="text1"/>
          <w:sz w:val="24"/>
          <w:szCs w:val="24"/>
          <w:lang w:val="zh-CN"/>
          <w14:textFill>
            <w14:solidFill>
              <w14:schemeClr w14:val="tx1"/>
            </w14:solidFill>
          </w14:textFill>
        </w:rPr>
        <w:t>.1  投标文件中所使用的计量单位,除招标文件中有特殊要求外,均应使用中华人民共和国法定计量单位。</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1</w:t>
      </w:r>
      <w:r>
        <w:rPr>
          <w:rFonts w:hint="eastAsia" w:ascii="宋体" w:hAnsi="宋体" w:cs="Arial"/>
          <w:bCs/>
          <w:color w:val="000000" w:themeColor="text1"/>
          <w:sz w:val="24"/>
          <w:szCs w:val="24"/>
          <w14:textFill>
            <w14:solidFill>
              <w14:schemeClr w14:val="tx1"/>
            </w14:solidFill>
          </w14:textFill>
        </w:rPr>
        <w:t>3</w:t>
      </w:r>
      <w:r>
        <w:rPr>
          <w:rFonts w:hint="eastAsia" w:ascii="宋体" w:hAnsi="宋体" w:cs="Arial"/>
          <w:bCs/>
          <w:color w:val="000000" w:themeColor="text1"/>
          <w:sz w:val="24"/>
          <w:szCs w:val="24"/>
          <w:lang w:val="zh-CN"/>
          <w14:textFill>
            <w14:solidFill>
              <w14:schemeClr w14:val="tx1"/>
            </w14:solidFill>
          </w14:textFill>
        </w:rPr>
        <w:t>.2  投标文件应使用中文编制，投标文件中必须使用其他文字的，必须附有中文译本。对于未附有中文译本和中文译本不准确的投标文件可能引起的对投标人不利的后果，招标代理机构概不负责。</w:t>
      </w:r>
    </w:p>
    <w:p>
      <w:pPr>
        <w:spacing w:line="400" w:lineRule="exact"/>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1</w:t>
      </w:r>
      <w:r>
        <w:rPr>
          <w:rFonts w:hint="eastAsia" w:ascii="宋体" w:hAnsi="宋体" w:cs="Arial"/>
          <w:bCs/>
          <w:color w:val="000000" w:themeColor="text1"/>
          <w:sz w:val="24"/>
          <w:szCs w:val="24"/>
          <w14:textFill>
            <w14:solidFill>
              <w14:schemeClr w14:val="tx1"/>
            </w14:solidFill>
          </w14:textFill>
        </w:rPr>
        <w:t>4</w:t>
      </w:r>
      <w:r>
        <w:rPr>
          <w:rFonts w:hint="eastAsia" w:ascii="宋体" w:hAnsi="宋体" w:cs="Arial"/>
          <w:bCs/>
          <w:color w:val="000000" w:themeColor="text1"/>
          <w:sz w:val="24"/>
          <w:szCs w:val="24"/>
          <w:lang w:val="zh-CN"/>
          <w14:textFill>
            <w14:solidFill>
              <w14:schemeClr w14:val="tx1"/>
            </w14:solidFill>
          </w14:textFill>
        </w:rPr>
        <w:t>.投标文件的组成：</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bookmarkStart w:id="18" w:name="_Toc520356155"/>
      <w:bookmarkStart w:id="19" w:name="_Toc314063816"/>
      <w:r>
        <w:rPr>
          <w:rFonts w:hint="eastAsia" w:ascii="宋体" w:hAnsi="宋体" w:cs="Arial"/>
          <w:bCs/>
          <w:color w:val="000000" w:themeColor="text1"/>
          <w:sz w:val="24"/>
          <w:szCs w:val="24"/>
          <w14:textFill>
            <w14:solidFill>
              <w14:schemeClr w14:val="tx1"/>
            </w14:solidFill>
          </w14:textFill>
        </w:rPr>
        <w:t>14.1  投标人应按招标文件提供的投标文件格式参考填写投标文件，按下列内容装订成册，以便评委评审。投标文件应包括但不限于以下内容：</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 法定代表人授权委托书</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（2） 投标函</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（3） 开标一览表</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（4） 投标分项报价表</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（5） 技术响应、偏离说明表</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（6） 商务响应、偏离说明表</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（7）质保期内备品备件、易损一览表</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（8） 资格证明文件</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8-1  法人营业执照、税务登记证、组织机构代码证或三证合一的法人营业执照</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8-2  法定代表人授权书和投标代理人身份证或法定代表人身份证</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 xml:space="preserve">  8-3  其他相关资料</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 xml:space="preserve">  8-4 财务状况报告，依法缴纳税收和社会保障资金的相关材料；</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 xml:space="preserve">  8-5 具备履行合同所必需的设备和专业技术能力的证明材料；</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 xml:space="preserve">  8-6参加采购活动前3年内在经营活动中没有重大违法记录的书面声明；</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 xml:space="preserve">  8-7  具备法律、行政法规规定的其他条件的证明材料；</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 xml:space="preserve">  8-8  其他相关资料</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1）售后服务承诺书和无不良信用及违法违纪行为承诺书</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2）关于资格文件的声明函</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3）技术要求及性能的详细说明和设备彩页（如果有的话）等技术资料。</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4）项目实施管理方案、施工方案、投入的技术及管理人员情况、进度安排、验收方案。</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5）近三年内承揽过与此类似的成功案例的合同复印件和用户验收报告；</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（9）退保证金手续函；</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（10）售后服务承诺书；</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（11）投标报名表；</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（12）中小企业申请函；</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（13）企业所在地的县级以上中小企业主管部门出具的中、小、微企业认定有效证明或省级以上监狱管理局、戒毒管理局（含新疆生产建设兵团）出具的属于监狱企业证明文件。</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（14）符合条件的残疾人福利性单位，应当提供《残疾人福利性单位声明函》证明文件，残疾人福利性单位属于小型、微型企业的，不重复享受政策。</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bookmarkStart w:id="20" w:name="_Toc516367023"/>
      <w:bookmarkStart w:id="21" w:name="_Toc520356153"/>
      <w:bookmarkStart w:id="22" w:name="_Toc314063815"/>
      <w:r>
        <w:rPr>
          <w:rFonts w:hint="eastAsia" w:ascii="宋体" w:hAnsi="宋体" w:cs="Arial"/>
          <w:bCs/>
          <w:color w:val="000000" w:themeColor="text1"/>
          <w:sz w:val="24"/>
          <w:szCs w:val="24"/>
          <w14:textFill>
            <w14:solidFill>
              <w14:schemeClr w14:val="tx1"/>
            </w14:solidFill>
          </w14:textFill>
        </w:rPr>
        <w:t>14.2  证明货物的合格性和符合招标文件规定的文件</w:t>
      </w:r>
      <w:bookmarkEnd w:id="20"/>
      <w:bookmarkEnd w:id="21"/>
      <w:bookmarkEnd w:id="22"/>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14.2.1</w:t>
      </w:r>
      <w:r>
        <w:rPr>
          <w:rFonts w:hint="eastAsia" w:ascii="宋体" w:hAnsi="宋体" w:cs="Arial"/>
          <w:bCs/>
          <w:color w:val="000000" w:themeColor="text1"/>
          <w:sz w:val="24"/>
          <w:szCs w:val="24"/>
          <w14:textFill>
            <w14:solidFill>
              <w14:schemeClr w14:val="tx1"/>
            </w14:solidFill>
          </w14:textFill>
        </w:rPr>
        <w:tab/>
      </w:r>
      <w:r>
        <w:rPr>
          <w:rFonts w:hint="eastAsia" w:ascii="宋体" w:hAnsi="宋体" w:cs="Arial"/>
          <w:bCs/>
          <w:color w:val="000000" w:themeColor="text1"/>
          <w:sz w:val="24"/>
          <w:szCs w:val="24"/>
          <w14:textFill>
            <w14:solidFill>
              <w14:schemeClr w14:val="tx1"/>
            </w14:solidFill>
          </w14:textFill>
        </w:rPr>
        <w:t>投标人应提交证明文件，证明其拟供的合同项下的货物和服务的合格性符合招标文件规定。该证明文件是投标文件的一部分。</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bookmarkStart w:id="23" w:name="_Ref467306244"/>
      <w:r>
        <w:rPr>
          <w:rFonts w:hint="eastAsia" w:ascii="宋体" w:hAnsi="宋体" w:cs="Arial"/>
          <w:bCs/>
          <w:color w:val="000000" w:themeColor="text1"/>
          <w:sz w:val="24"/>
          <w:szCs w:val="24"/>
          <w14:textFill>
            <w14:solidFill>
              <w14:schemeClr w14:val="tx1"/>
            </w14:solidFill>
          </w14:textFill>
        </w:rPr>
        <w:t>14.2.2  上款所述的证明文件，可以是文字资料、图纸和数据，</w:t>
      </w:r>
      <w:bookmarkEnd w:id="23"/>
      <w:r>
        <w:rPr>
          <w:rFonts w:hint="eastAsia" w:ascii="宋体" w:hAnsi="宋体" w:cs="Arial"/>
          <w:bCs/>
          <w:color w:val="000000" w:themeColor="text1"/>
          <w:sz w:val="24"/>
          <w:szCs w:val="24"/>
          <w14:textFill>
            <w14:solidFill>
              <w14:schemeClr w14:val="tx1"/>
            </w14:solidFill>
          </w14:textFill>
        </w:rPr>
        <w:t>它包括：</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14.2.2.1  货物主要技术指标和性能的详细说明。</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14.2.2.2  货物从买方开始使用至招标文件规定的保质期内正常、连续地使用所必须的备件和专用工具清单，包括备件和专用工具的货源及现行价格。</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14.2.2.3  对照招标文件技术规格，逐条说明所提供货物和服务已对招标文件的技术规格做出了实质性的响应，或申明与技术规格条文的偏差和例外。</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14.2.3</w:t>
      </w:r>
      <w:r>
        <w:rPr>
          <w:rFonts w:hint="eastAsia" w:ascii="宋体" w:hAnsi="宋体" w:cs="Arial"/>
          <w:bCs/>
          <w:color w:val="000000" w:themeColor="text1"/>
          <w:sz w:val="24"/>
          <w:szCs w:val="24"/>
          <w14:textFill>
            <w14:solidFill>
              <w14:schemeClr w14:val="tx1"/>
            </w14:solidFill>
          </w14:textFill>
        </w:rPr>
        <w:tab/>
      </w:r>
      <w:r>
        <w:rPr>
          <w:rFonts w:hint="eastAsia" w:ascii="宋体" w:hAnsi="宋体" w:cs="Arial"/>
          <w:bCs/>
          <w:color w:val="000000" w:themeColor="text1"/>
          <w:sz w:val="24"/>
          <w:szCs w:val="24"/>
          <w14:textFill>
            <w14:solidFill>
              <w14:schemeClr w14:val="tx1"/>
            </w14:solidFill>
          </w14:textFill>
        </w:rPr>
        <w:t>投标人应注意买方在技术规格中指出的工艺、材料和设备的标准，以及参照的牌号或分类号仅起说明作用，并没有任何限制性。投标人在投标中可以选用替代标准、牌号或分类号，但这些替代要实质上相当于技术规格的要求。</w:t>
      </w:r>
    </w:p>
    <w:p>
      <w:pPr>
        <w:spacing w:line="400" w:lineRule="exact"/>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15.投标报价</w:t>
      </w:r>
      <w:bookmarkEnd w:id="18"/>
      <w:bookmarkEnd w:id="19"/>
      <w:r>
        <w:rPr>
          <w:rFonts w:hint="eastAsia" w:ascii="宋体" w:hAnsi="宋体" w:cs="Arial"/>
          <w:bCs/>
          <w:color w:val="000000" w:themeColor="text1"/>
          <w:sz w:val="24"/>
          <w:szCs w:val="24"/>
          <w14:textFill>
            <w14:solidFill>
              <w14:schemeClr w14:val="tx1"/>
            </w14:solidFill>
          </w14:textFill>
        </w:rPr>
        <w:t>：</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15.1  所有投标均以人民币报价。投标人的投标报价应遵守 “中华人民共和国价格法”。</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15.2  投标人应在投标分项报价表上标明投标货物及相关服务的单价和总价，并由法定代表人或其授权代表签署。</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15.3  投标分项报价表上的价格应按下列方式填写：</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15.3.1 投标货物包括标准附件、备品备件、专用工具等的出厂价（包括已在中国国内的进口货物完税后的仓库交货价、展室交货价或货架交货价），投标货物安装、调试、检验、技术服务和培训等费用；</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15.3.2  货物运至最终目的地的运输费和保险费用。</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drawing>
          <wp:anchor distT="0" distB="0" distL="114300" distR="114300" simplePos="0" relativeHeight="251658240" behindDoc="1" locked="1" layoutInCell="1" allowOverlap="1">
            <wp:simplePos x="0" y="0"/>
            <wp:positionH relativeFrom="column">
              <wp:posOffset>3924300</wp:posOffset>
            </wp:positionH>
            <wp:positionV relativeFrom="paragraph">
              <wp:posOffset>9372600</wp:posOffset>
            </wp:positionV>
            <wp:extent cx="1409700" cy="203200"/>
            <wp:effectExtent l="0" t="0" r="0" b="6350"/>
            <wp:wrapNone/>
            <wp:docPr id="1" name="Picture 5"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108"/>
                    <pic:cNvPicPr>
                      <a:picLocks noChangeAspect="1"/>
                    </pic:cNvPicPr>
                  </pic:nvPicPr>
                  <pic:blipFill>
                    <a:blip r:embed="rId24"/>
                    <a:stretch>
                      <a:fillRect/>
                    </a:stretch>
                  </pic:blipFill>
                  <pic:spPr>
                    <a:xfrm>
                      <a:off x="0" y="0"/>
                      <a:ext cx="1409700" cy="203200"/>
                    </a:xfrm>
                    <a:prstGeom prst="rect">
                      <a:avLst/>
                    </a:prstGeom>
                    <a:noFill/>
                    <a:ln w="9525">
                      <a:noFill/>
                    </a:ln>
                  </pic:spPr>
                </pic:pic>
              </a:graphicData>
            </a:graphic>
          </wp:anchor>
        </w:drawing>
      </w:r>
      <w:r>
        <w:rPr>
          <w:rFonts w:hint="eastAsia" w:ascii="宋体" w:hAnsi="宋体" w:cs="Arial"/>
          <w:bCs/>
          <w:color w:val="000000" w:themeColor="text1"/>
          <w:sz w:val="24"/>
          <w:szCs w:val="24"/>
          <w14:textFill>
            <w14:solidFill>
              <w14:schemeClr w14:val="tx1"/>
            </w14:solidFill>
          </w14:textFill>
        </w:rPr>
        <w:t>15.4  为了方便评标委员会对投标文件进行比较，投标人可根据本须知14.3条的规定将投标价分成几部分，并不限制买方以上述任何条件订立合同的权利。</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15.5  投标人所报的各分项投标单价在合同履行过程中是固定不变的，不得以任何理由予以变更。任何包含价格调整要求的投标，将被认为是非响应性投标而予以拒绝。</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15.6  每种货物只能有一个投标报价。</w:t>
      </w:r>
    </w:p>
    <w:p>
      <w:pPr>
        <w:spacing w:line="400" w:lineRule="exact"/>
        <w:rPr>
          <w:rFonts w:ascii="宋体" w:hAnsi="宋体" w:cs="Arial"/>
          <w:b/>
          <w:color w:val="000000" w:themeColor="text1"/>
          <w:sz w:val="24"/>
          <w:szCs w:val="24"/>
          <w14:textFill>
            <w14:solidFill>
              <w14:schemeClr w14:val="tx1"/>
            </w14:solidFill>
          </w14:textFill>
        </w:rPr>
      </w:pPr>
      <w:bookmarkStart w:id="24" w:name="_Ref467306513"/>
      <w:bookmarkStart w:id="25" w:name="_Toc520356156"/>
      <w:bookmarkStart w:id="26" w:name="_Toc314063817"/>
      <w:r>
        <w:rPr>
          <w:rFonts w:hint="eastAsia" w:ascii="宋体" w:hAnsi="宋体" w:cs="Arial"/>
          <w:b/>
          <w:color w:val="000000" w:themeColor="text1"/>
          <w:sz w:val="24"/>
          <w:szCs w:val="24"/>
          <w14:textFill>
            <w14:solidFill>
              <w14:schemeClr w14:val="tx1"/>
            </w14:solidFill>
          </w14:textFill>
        </w:rPr>
        <w:t>16.投标保证金</w:t>
      </w:r>
      <w:bookmarkEnd w:id="24"/>
      <w:bookmarkEnd w:id="25"/>
      <w:bookmarkEnd w:id="26"/>
      <w:r>
        <w:rPr>
          <w:rFonts w:hint="eastAsia" w:ascii="宋体" w:hAnsi="宋体" w:cs="Arial"/>
          <w:b/>
          <w:color w:val="000000" w:themeColor="text1"/>
          <w:sz w:val="24"/>
          <w:szCs w:val="24"/>
          <w14:textFill>
            <w14:solidFill>
              <w14:schemeClr w14:val="tx1"/>
            </w14:solidFill>
          </w14:textFill>
        </w:rPr>
        <w:t>：</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bookmarkStart w:id="27" w:name="_Ref467306302"/>
      <w:r>
        <w:rPr>
          <w:rFonts w:hint="eastAsia" w:ascii="宋体" w:hAnsi="宋体" w:cs="Arial"/>
          <w:bCs/>
          <w:color w:val="000000" w:themeColor="text1"/>
          <w:sz w:val="24"/>
          <w:szCs w:val="24"/>
          <w14:textFill>
            <w14:solidFill>
              <w14:schemeClr w14:val="tx1"/>
            </w14:solidFill>
          </w14:textFill>
        </w:rPr>
        <w:t>16.1</w:t>
      </w:r>
      <w:r>
        <w:rPr>
          <w:rFonts w:hint="eastAsia" w:ascii="宋体" w:hAnsi="宋体" w:cs="Arial"/>
          <w:bCs/>
          <w:color w:val="000000" w:themeColor="text1"/>
          <w:sz w:val="24"/>
          <w:szCs w:val="24"/>
          <w14:textFill>
            <w14:solidFill>
              <w14:schemeClr w14:val="tx1"/>
            </w14:solidFill>
          </w14:textFill>
        </w:rPr>
        <w:tab/>
      </w:r>
      <w:r>
        <w:rPr>
          <w:rFonts w:hint="eastAsia" w:ascii="宋体" w:hAnsi="宋体" w:cs="Arial"/>
          <w:bCs/>
          <w:color w:val="000000" w:themeColor="text1"/>
          <w:sz w:val="24"/>
          <w:szCs w:val="24"/>
          <w14:textFill>
            <w14:solidFill>
              <w14:schemeClr w14:val="tx1"/>
            </w14:solidFill>
          </w14:textFill>
        </w:rPr>
        <w:t>投标人应提供</w:t>
      </w:r>
      <w:r>
        <w:rPr>
          <w:rFonts w:hint="eastAsia" w:ascii="宋体" w:hAnsi="宋体" w:cs="Arial"/>
          <w:bCs/>
          <w:color w:val="000000" w:themeColor="text1"/>
          <w:sz w:val="24"/>
          <w:szCs w:val="24"/>
          <w:u w:val="single"/>
          <w14:textFill>
            <w14:solidFill>
              <w14:schemeClr w14:val="tx1"/>
            </w14:solidFill>
          </w14:textFill>
        </w:rPr>
        <w:t>2</w:t>
      </w:r>
      <w:r>
        <w:rPr>
          <w:rFonts w:hint="eastAsia" w:ascii="宋体" w:hAnsi="宋体" w:cs="Arial"/>
          <w:bCs/>
          <w:color w:val="000000" w:themeColor="text1"/>
          <w:sz w:val="24"/>
          <w:szCs w:val="24"/>
          <w:u w:val="single"/>
          <w:lang w:val="en-US" w:eastAsia="zh-CN"/>
          <w14:textFill>
            <w14:solidFill>
              <w14:schemeClr w14:val="tx1"/>
            </w14:solidFill>
          </w14:textFill>
        </w:rPr>
        <w:t>5</w:t>
      </w:r>
      <w:r>
        <w:rPr>
          <w:rFonts w:hint="eastAsia" w:ascii="宋体" w:hAnsi="宋体" w:cs="Arial"/>
          <w:bCs/>
          <w:color w:val="000000" w:themeColor="text1"/>
          <w:sz w:val="24"/>
          <w:szCs w:val="24"/>
          <w:u w:val="single"/>
          <w14:textFill>
            <w14:solidFill>
              <w14:schemeClr w14:val="tx1"/>
            </w14:solidFill>
          </w14:textFill>
        </w:rPr>
        <w:t>0000</w:t>
      </w:r>
      <w:r>
        <w:rPr>
          <w:rFonts w:hint="eastAsia" w:ascii="宋体" w:hAnsi="宋体" w:cs="Arial"/>
          <w:bCs/>
          <w:color w:val="000000" w:themeColor="text1"/>
          <w:sz w:val="24"/>
          <w:szCs w:val="24"/>
          <w14:textFill>
            <w14:solidFill>
              <w14:schemeClr w14:val="tx1"/>
            </w14:solidFill>
          </w14:textFill>
        </w:rPr>
        <w:t>元整的投标保证金</w:t>
      </w:r>
      <w:bookmarkEnd w:id="27"/>
      <w:r>
        <w:rPr>
          <w:rFonts w:hint="eastAsia" w:ascii="宋体" w:hAnsi="宋体" w:cs="Arial"/>
          <w:bCs/>
          <w:color w:val="000000" w:themeColor="text1"/>
          <w:sz w:val="24"/>
          <w:szCs w:val="24"/>
          <w14:textFill>
            <w14:solidFill>
              <w14:schemeClr w14:val="tx1"/>
            </w14:solidFill>
          </w14:textFill>
        </w:rPr>
        <w:t>。</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16.2</w:t>
      </w:r>
      <w:r>
        <w:rPr>
          <w:rFonts w:hint="eastAsia" w:ascii="宋体" w:hAnsi="宋体" w:cs="Arial"/>
          <w:bCs/>
          <w:color w:val="000000" w:themeColor="text1"/>
          <w:sz w:val="24"/>
          <w:szCs w:val="24"/>
          <w14:textFill>
            <w14:solidFill>
              <w14:schemeClr w14:val="tx1"/>
            </w14:solidFill>
          </w14:textFill>
        </w:rPr>
        <w:tab/>
      </w:r>
      <w:r>
        <w:rPr>
          <w:rFonts w:hint="eastAsia" w:ascii="宋体" w:hAnsi="宋体" w:cs="Arial"/>
          <w:bCs/>
          <w:color w:val="000000" w:themeColor="text1"/>
          <w:sz w:val="24"/>
          <w:szCs w:val="24"/>
          <w14:textFill>
            <w14:solidFill>
              <w14:schemeClr w14:val="tx1"/>
            </w14:solidFill>
          </w14:textFill>
        </w:rPr>
        <w:t>投标保证金是为了保护招标人免遭因投标人的行为蒙受损失而要求的。</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下列任何情况发生，投标保证金将被不予退还：</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（1）在投标有效期满前，投标人擅自撤回投标的；</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（2）成交供应商不按本须知第32条的规定与买方签订合同的；</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（3）成交供应商不按本须知第33条的规定支付代理服务费的；</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bookmarkStart w:id="28" w:name="_Ref467306336"/>
      <w:r>
        <w:rPr>
          <w:rFonts w:hint="eastAsia" w:ascii="宋体" w:hAnsi="宋体" w:cs="Arial"/>
          <w:bCs/>
          <w:color w:val="000000" w:themeColor="text1"/>
          <w:sz w:val="24"/>
          <w:szCs w:val="24"/>
          <w14:textFill>
            <w14:solidFill>
              <w14:schemeClr w14:val="tx1"/>
            </w14:solidFill>
          </w14:textFill>
        </w:rPr>
        <w:t>16.3</w:t>
      </w:r>
      <w:r>
        <w:rPr>
          <w:rFonts w:hint="eastAsia" w:ascii="宋体" w:hAnsi="宋体" w:cs="Arial"/>
          <w:bCs/>
          <w:color w:val="000000" w:themeColor="text1"/>
          <w:sz w:val="24"/>
          <w:szCs w:val="24"/>
          <w14:textFill>
            <w14:solidFill>
              <w14:schemeClr w14:val="tx1"/>
            </w14:solidFill>
          </w14:textFill>
        </w:rPr>
        <w:tab/>
      </w:r>
      <w:r>
        <w:rPr>
          <w:rFonts w:hint="eastAsia" w:ascii="宋体" w:hAnsi="宋体" w:cs="Arial"/>
          <w:bCs/>
          <w:color w:val="000000" w:themeColor="text1"/>
          <w:sz w:val="24"/>
          <w:szCs w:val="24"/>
          <w14:textFill>
            <w14:solidFill>
              <w14:schemeClr w14:val="tx1"/>
            </w14:solidFill>
          </w14:textFill>
        </w:rPr>
        <w:t>投标保证金可采用下列形式之一：</w:t>
      </w:r>
      <w:bookmarkEnd w:id="28"/>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（1）银行转账。须在规定的递交投标保证金时间之内入招标代理机构指定账户，如果保证金形式为现金，投标人必须存入招标代理机构的指定账户。</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（2）招标代理机构可以接受的其它形式。</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3）投标人在规定的招标时间递交的投标保证金银行凭证应及时以传真、电子邮件、信函等方式告之招标代理机构，以便确认银行是否入账。未在规定的时间递交投标保证金，招标代理机构有权拒绝。（汇款时应注明项目名称、投标单位名称或投标人名称应与投标书一致）。</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16.4</w:t>
      </w:r>
      <w:r>
        <w:rPr>
          <w:rFonts w:hint="eastAsia" w:ascii="宋体" w:hAnsi="宋体" w:cs="Arial"/>
          <w:bCs/>
          <w:color w:val="000000" w:themeColor="text1"/>
          <w:sz w:val="24"/>
          <w:szCs w:val="24"/>
          <w14:textFill>
            <w14:solidFill>
              <w14:schemeClr w14:val="tx1"/>
            </w14:solidFill>
          </w14:textFill>
        </w:rPr>
        <w:tab/>
      </w:r>
      <w:r>
        <w:rPr>
          <w:rFonts w:hint="eastAsia" w:ascii="宋体" w:hAnsi="宋体" w:cs="Arial"/>
          <w:bCs/>
          <w:color w:val="000000" w:themeColor="text1"/>
          <w:sz w:val="24"/>
          <w:szCs w:val="24"/>
          <w14:textFill>
            <w14:solidFill>
              <w14:schemeClr w14:val="tx1"/>
            </w14:solidFill>
          </w14:textFill>
        </w:rPr>
        <w:t>凡没有根据本须知16.1和第16.3条的规定，随附投标保证金的投标，将被视为非响应性投标而予以拒绝。</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16.5</w:t>
      </w:r>
      <w:r>
        <w:rPr>
          <w:rFonts w:hint="eastAsia" w:ascii="宋体" w:hAnsi="宋体" w:cs="Arial"/>
          <w:bCs/>
          <w:color w:val="000000" w:themeColor="text1"/>
          <w:sz w:val="24"/>
          <w:szCs w:val="24"/>
          <w14:textFill>
            <w14:solidFill>
              <w14:schemeClr w14:val="tx1"/>
            </w14:solidFill>
          </w14:textFill>
        </w:rPr>
        <w:tab/>
      </w:r>
      <w:r>
        <w:rPr>
          <w:rFonts w:hint="eastAsia" w:ascii="宋体" w:hAnsi="宋体" w:cs="Arial"/>
          <w:bCs/>
          <w:color w:val="000000" w:themeColor="text1"/>
          <w:sz w:val="24"/>
          <w:szCs w:val="24"/>
          <w14:textFill>
            <w14:solidFill>
              <w14:schemeClr w14:val="tx1"/>
            </w14:solidFill>
          </w14:textFill>
        </w:rPr>
        <w:t>未成交供应商的投标保证金在成交通知书发出后， 5个工作日内退还，成交供应商的投标保证金在采购合同签订后5个工作日内退还投标人。</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16.6  有下列情形之一的，投标保证金不予退还：</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（一）供应商在提交响应文件截止时间后撤回响应文件的；</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（二）供应商在响应文件中提供虚假材料的；</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（三）除因不可抗力或招标文件认可的情形以外，成交供应商不与采购人签订合同的；</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（四）供应商与采购人、其他供应商或者采购代理机构恶意串通的；</w:t>
      </w:r>
    </w:p>
    <w:p>
      <w:pPr>
        <w:spacing w:line="400" w:lineRule="exact"/>
        <w:rPr>
          <w:rFonts w:ascii="宋体" w:hAnsi="宋体" w:cs="Arial"/>
          <w:bCs/>
          <w:color w:val="000000" w:themeColor="text1"/>
          <w:sz w:val="24"/>
          <w:szCs w:val="24"/>
          <w14:textFill>
            <w14:solidFill>
              <w14:schemeClr w14:val="tx1"/>
            </w14:solidFill>
          </w14:textFill>
        </w:rPr>
      </w:pPr>
      <w:bookmarkStart w:id="29" w:name="_Toc520356157"/>
      <w:bookmarkStart w:id="30" w:name="_Toc314063818"/>
      <w:r>
        <w:rPr>
          <w:rFonts w:hint="eastAsia" w:ascii="宋体" w:hAnsi="宋体" w:cs="Arial"/>
          <w:bCs/>
          <w:color w:val="000000" w:themeColor="text1"/>
          <w:sz w:val="24"/>
          <w:szCs w:val="24"/>
          <w14:textFill>
            <w14:solidFill>
              <w14:schemeClr w14:val="tx1"/>
            </w14:solidFill>
          </w14:textFill>
        </w:rPr>
        <w:t>17. 投标有效期</w:t>
      </w:r>
      <w:bookmarkEnd w:id="29"/>
      <w:bookmarkEnd w:id="30"/>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17.1</w:t>
      </w:r>
      <w:r>
        <w:rPr>
          <w:rFonts w:hint="eastAsia" w:ascii="宋体" w:hAnsi="宋体" w:cs="Arial"/>
          <w:bCs/>
          <w:color w:val="000000" w:themeColor="text1"/>
          <w:sz w:val="24"/>
          <w:szCs w:val="24"/>
          <w14:textFill>
            <w14:solidFill>
              <w14:schemeClr w14:val="tx1"/>
            </w14:solidFill>
          </w14:textFill>
        </w:rPr>
        <w:tab/>
      </w:r>
      <w:r>
        <w:rPr>
          <w:rFonts w:hint="eastAsia" w:ascii="宋体" w:hAnsi="宋体" w:cs="Arial"/>
          <w:bCs/>
          <w:color w:val="000000" w:themeColor="text1"/>
          <w:sz w:val="24"/>
          <w:szCs w:val="24"/>
          <w14:textFill>
            <w14:solidFill>
              <w14:schemeClr w14:val="tx1"/>
            </w14:solidFill>
          </w14:textFill>
        </w:rPr>
        <w:t>投标应在规定的开标日后的180 日历天内保持有效，投标有效期不满足要求的投标将被视为非响应性投标而予以拒绝。</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17.2</w:t>
      </w:r>
      <w:r>
        <w:rPr>
          <w:rFonts w:hint="eastAsia" w:ascii="宋体" w:hAnsi="宋体" w:cs="Arial"/>
          <w:bCs/>
          <w:color w:val="000000" w:themeColor="text1"/>
          <w:sz w:val="24"/>
          <w:szCs w:val="24"/>
          <w14:textFill>
            <w14:solidFill>
              <w14:schemeClr w14:val="tx1"/>
            </w14:solidFill>
          </w14:textFill>
        </w:rPr>
        <w:tab/>
      </w:r>
      <w:r>
        <w:rPr>
          <w:rFonts w:hint="eastAsia" w:ascii="宋体" w:hAnsi="宋体" w:cs="Arial"/>
          <w:bCs/>
          <w:color w:val="000000" w:themeColor="text1"/>
          <w:sz w:val="24"/>
          <w:szCs w:val="24"/>
          <w14:textFill>
            <w14:solidFill>
              <w14:schemeClr w14:val="tx1"/>
            </w14:solidFill>
          </w14:textFill>
        </w:rPr>
        <w:t>招标人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人的这种要求，其投标保证金将不会被不予退还。上述要求和答复都应以书面形式提交。</w:t>
      </w:r>
    </w:p>
    <w:p>
      <w:pPr>
        <w:spacing w:line="400" w:lineRule="exact"/>
        <w:rPr>
          <w:rFonts w:ascii="宋体" w:hAnsi="宋体" w:cs="Arial"/>
          <w:bCs/>
          <w:color w:val="000000" w:themeColor="text1"/>
          <w:sz w:val="24"/>
          <w:szCs w:val="24"/>
          <w14:textFill>
            <w14:solidFill>
              <w14:schemeClr w14:val="tx1"/>
            </w14:solidFill>
          </w14:textFill>
        </w:rPr>
      </w:pPr>
      <w:bookmarkStart w:id="31" w:name="_Toc520356158"/>
      <w:bookmarkStart w:id="32" w:name="_Toc314063819"/>
      <w:r>
        <w:rPr>
          <w:rFonts w:hint="eastAsia" w:ascii="宋体" w:hAnsi="宋体" w:cs="Arial"/>
          <w:bCs/>
          <w:color w:val="000000" w:themeColor="text1"/>
          <w:sz w:val="24"/>
          <w:szCs w:val="24"/>
          <w14:textFill>
            <w14:solidFill>
              <w14:schemeClr w14:val="tx1"/>
            </w14:solidFill>
          </w14:textFill>
        </w:rPr>
        <w:t>18. 投标文件的签署</w:t>
      </w:r>
      <w:bookmarkEnd w:id="31"/>
      <w:r>
        <w:rPr>
          <w:rFonts w:hint="eastAsia" w:ascii="宋体" w:hAnsi="宋体" w:cs="Arial"/>
          <w:bCs/>
          <w:color w:val="000000" w:themeColor="text1"/>
          <w:sz w:val="24"/>
          <w:szCs w:val="24"/>
          <w14:textFill>
            <w14:solidFill>
              <w14:schemeClr w14:val="tx1"/>
            </w14:solidFill>
          </w14:textFill>
        </w:rPr>
        <w:t>及规定</w:t>
      </w:r>
      <w:bookmarkEnd w:id="32"/>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18.1</w:t>
      </w:r>
      <w:r>
        <w:rPr>
          <w:rFonts w:hint="eastAsia" w:ascii="宋体" w:hAnsi="宋体" w:cs="Arial"/>
          <w:bCs/>
          <w:color w:val="000000" w:themeColor="text1"/>
          <w:sz w:val="24"/>
          <w:szCs w:val="24"/>
          <w14:textFill>
            <w14:solidFill>
              <w14:schemeClr w14:val="tx1"/>
            </w14:solidFill>
          </w14:textFill>
        </w:rPr>
        <w:tab/>
      </w:r>
      <w:r>
        <w:rPr>
          <w:rFonts w:hint="eastAsia" w:ascii="宋体" w:hAnsi="宋体" w:cs="Arial"/>
          <w:bCs/>
          <w:color w:val="000000" w:themeColor="text1"/>
          <w:sz w:val="24"/>
          <w:szCs w:val="24"/>
          <w14:textFill>
            <w14:solidFill>
              <w14:schemeClr w14:val="tx1"/>
            </w14:solidFill>
          </w14:textFill>
        </w:rPr>
        <w:t>投标人应准备纸质投标文件正本1份，副本 4份，每份投标文件须清楚地标明“正本”、“副本”。若正本和副本不符，以正本为准。</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18.2</w:t>
      </w:r>
      <w:r>
        <w:rPr>
          <w:rFonts w:hint="eastAsia" w:ascii="宋体" w:hAnsi="宋体" w:cs="Arial"/>
          <w:bCs/>
          <w:color w:val="000000" w:themeColor="text1"/>
          <w:sz w:val="24"/>
          <w:szCs w:val="24"/>
          <w14:textFill>
            <w14:solidFill>
              <w14:schemeClr w14:val="tx1"/>
            </w14:solidFill>
          </w14:textFill>
        </w:rPr>
        <w:tab/>
      </w:r>
      <w:r>
        <w:rPr>
          <w:rFonts w:hint="eastAsia" w:ascii="宋体" w:hAnsi="宋体" w:cs="Arial"/>
          <w:bCs/>
          <w:color w:val="000000" w:themeColor="text1"/>
          <w:sz w:val="24"/>
          <w:szCs w:val="24"/>
          <w14:textFill>
            <w14:solidFill>
              <w14:schemeClr w14:val="tx1"/>
            </w14:solidFill>
          </w14:textFill>
        </w:rPr>
        <w:t>纸质投标文件的正本需打印或用不退色墨水书写，并由投标人的法定代表人或经其正式授权的代表在投标文件上签字并加盖单位印章。授权代表须持有书面的“法定代表人授权书”，并将其附在投标文件中。如对投标文件进行了修改，则应由投标人的法定代表人或经其正式授权的代表在修改的每一页上签字。投标文件的副本可采用正本的复印件。</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18.3</w:t>
      </w:r>
      <w:r>
        <w:rPr>
          <w:rFonts w:hint="eastAsia" w:ascii="宋体" w:hAnsi="宋体" w:cs="Arial"/>
          <w:bCs/>
          <w:color w:val="000000" w:themeColor="text1"/>
          <w:sz w:val="24"/>
          <w:szCs w:val="24"/>
          <w14:textFill>
            <w14:solidFill>
              <w14:schemeClr w14:val="tx1"/>
            </w14:solidFill>
          </w14:textFill>
        </w:rPr>
        <w:tab/>
      </w:r>
      <w:r>
        <w:rPr>
          <w:rFonts w:hint="eastAsia" w:ascii="宋体" w:hAnsi="宋体" w:cs="Arial"/>
          <w:bCs/>
          <w:color w:val="000000" w:themeColor="text1"/>
          <w:sz w:val="24"/>
          <w:szCs w:val="24"/>
          <w14:textFill>
            <w14:solidFill>
              <w14:schemeClr w14:val="tx1"/>
            </w14:solidFill>
          </w14:textFill>
        </w:rPr>
        <w:t>任何行间插字、涂改和增删，必须由投标文件签字人签字或盖章后才有效。</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18.4</w:t>
      </w:r>
      <w:r>
        <w:rPr>
          <w:rFonts w:hint="eastAsia" w:ascii="宋体" w:hAnsi="宋体" w:cs="Arial"/>
          <w:bCs/>
          <w:color w:val="000000" w:themeColor="text1"/>
          <w:sz w:val="24"/>
          <w:szCs w:val="24"/>
          <w14:textFill>
            <w14:solidFill>
              <w14:schemeClr w14:val="tx1"/>
            </w14:solidFill>
          </w14:textFill>
        </w:rPr>
        <w:tab/>
      </w:r>
      <w:r>
        <w:rPr>
          <w:rFonts w:hint="eastAsia" w:ascii="宋体" w:hAnsi="宋体" w:cs="Arial"/>
          <w:bCs/>
          <w:color w:val="000000" w:themeColor="text1"/>
          <w:sz w:val="24"/>
          <w:szCs w:val="24"/>
          <w14:textFill>
            <w14:solidFill>
              <w14:schemeClr w14:val="tx1"/>
            </w14:solidFill>
          </w14:textFill>
        </w:rPr>
        <w:t>投标文件因字迹潦草或表达不清所引起的后果由投标人负责。</w:t>
      </w:r>
    </w:p>
    <w:p>
      <w:pPr>
        <w:spacing w:line="400" w:lineRule="exact"/>
        <w:ind w:firstLine="2280" w:firstLineChars="95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四、投标文件的递交及</w:t>
      </w:r>
      <w:r>
        <w:rPr>
          <w:rFonts w:hint="eastAsia" w:ascii="宋体" w:hAnsi="宋体" w:cs="Arial"/>
          <w:bCs/>
          <w:color w:val="000000" w:themeColor="text1"/>
          <w:sz w:val="24"/>
          <w:szCs w:val="24"/>
          <w:lang w:val="zh-CN"/>
          <w14:textFill>
            <w14:solidFill>
              <w14:schemeClr w14:val="tx1"/>
            </w14:solidFill>
          </w14:textFill>
        </w:rPr>
        <w:t>公开招标采购活动有关事宜</w:t>
      </w:r>
    </w:p>
    <w:p>
      <w:pPr>
        <w:spacing w:line="400" w:lineRule="exact"/>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1</w:t>
      </w:r>
      <w:r>
        <w:rPr>
          <w:rFonts w:hint="eastAsia" w:ascii="宋体" w:hAnsi="宋体" w:cs="Arial"/>
          <w:bCs/>
          <w:color w:val="000000" w:themeColor="text1"/>
          <w:sz w:val="24"/>
          <w:szCs w:val="24"/>
          <w14:textFill>
            <w14:solidFill>
              <w14:schemeClr w14:val="tx1"/>
            </w14:solidFill>
          </w14:textFill>
        </w:rPr>
        <w:t>9</w:t>
      </w:r>
      <w:r>
        <w:rPr>
          <w:rFonts w:hint="eastAsia" w:ascii="宋体" w:hAnsi="宋体" w:cs="Arial"/>
          <w:bCs/>
          <w:color w:val="000000" w:themeColor="text1"/>
          <w:sz w:val="24"/>
          <w:szCs w:val="24"/>
          <w:lang w:val="zh-CN"/>
          <w14:textFill>
            <w14:solidFill>
              <w14:schemeClr w14:val="tx1"/>
            </w14:solidFill>
          </w14:textFill>
        </w:rPr>
        <w:t>.投标文件的密封及标记：</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19.1 投标时，投标人应将投标文件正本和所有的副本,开标一览表分开密封装在单独的信封中，且在密封袋正面标明“正本”、“副本”、“开标一览表”字样。</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19.2  为方便开标唱标，投标人应将 “开标一览表” 密封，在密封袋上标明“开标一览表”字样，并注明开启处，在投标时单独递交。</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19.3“正本”、“副本”、“开标一览表”、密封袋上注明招标公告或投标邀请书中指明的货物名称、招标编号、包号的字样。</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19.4  所有密封袋上均应在信封的封装处加盖投标人公章。</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 xml:space="preserve">19.5  </w:t>
      </w:r>
      <w:r>
        <w:rPr>
          <w:rFonts w:hint="eastAsia" w:ascii="宋体" w:hAnsi="宋体" w:cs="Arial"/>
          <w:bCs/>
          <w:color w:val="000000" w:themeColor="text1"/>
          <w:sz w:val="24"/>
          <w:szCs w:val="24"/>
          <w:lang w:val="zh-CN"/>
          <w14:textFill>
            <w14:solidFill>
              <w14:schemeClr w14:val="tx1"/>
            </w14:solidFill>
          </w14:textFill>
        </w:rPr>
        <w:t>如果投标人未按上述要求密封及加写标记，招标代理机构有权拒绝接受投标文件。</w:t>
      </w:r>
    </w:p>
    <w:p>
      <w:pPr>
        <w:spacing w:line="400" w:lineRule="exact"/>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20</w:t>
      </w:r>
      <w:r>
        <w:rPr>
          <w:rFonts w:hint="eastAsia" w:ascii="宋体" w:hAnsi="宋体" w:cs="Arial"/>
          <w:bCs/>
          <w:color w:val="000000" w:themeColor="text1"/>
          <w:sz w:val="24"/>
          <w:szCs w:val="24"/>
          <w:lang w:val="zh-CN"/>
          <w14:textFill>
            <w14:solidFill>
              <w14:schemeClr w14:val="tx1"/>
            </w14:solidFill>
          </w14:textFill>
        </w:rPr>
        <w:t>.投标截止时间及投标文件的修改和撤回：</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投标截止时间：</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20</w:t>
      </w:r>
      <w:r>
        <w:rPr>
          <w:rFonts w:hint="eastAsia" w:ascii="宋体" w:hAnsi="宋体" w:cs="Arial"/>
          <w:bCs/>
          <w:color w:val="000000" w:themeColor="text1"/>
          <w:sz w:val="24"/>
          <w:szCs w:val="24"/>
          <w:lang w:val="zh-CN"/>
          <w14:textFill>
            <w14:solidFill>
              <w14:schemeClr w14:val="tx1"/>
            </w14:solidFill>
          </w14:textFill>
        </w:rPr>
        <w:t>.1  投标文件必须在投标截止时间前派人送达到前附表规定的投标地点。招标代理机构推迟投标截止时间时，应以书面(或传真、电报)的形式，通知所有投标人。在这种情况下，招标代理机构和投标人的权利和义务将受到新的截止期的约束。</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20</w:t>
      </w:r>
      <w:r>
        <w:rPr>
          <w:rFonts w:hint="eastAsia" w:ascii="宋体" w:hAnsi="宋体" w:cs="Arial"/>
          <w:bCs/>
          <w:color w:val="000000" w:themeColor="text1"/>
          <w:sz w:val="24"/>
          <w:szCs w:val="24"/>
          <w:lang w:val="zh-CN"/>
          <w14:textFill>
            <w14:solidFill>
              <w14:schemeClr w14:val="tx1"/>
            </w14:solidFill>
          </w14:textFill>
        </w:rPr>
        <w:t>.2  在投标截止时间以后送达的投标文件，招标代理机构将拒绝接收。</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20</w:t>
      </w:r>
      <w:r>
        <w:rPr>
          <w:rFonts w:hint="eastAsia" w:ascii="宋体" w:hAnsi="宋体" w:cs="Arial"/>
          <w:bCs/>
          <w:color w:val="000000" w:themeColor="text1"/>
          <w:sz w:val="24"/>
          <w:szCs w:val="24"/>
          <w:lang w:val="zh-CN"/>
          <w14:textFill>
            <w14:solidFill>
              <w14:schemeClr w14:val="tx1"/>
            </w14:solidFill>
          </w14:textFill>
        </w:rPr>
        <w:t>.3  在投标截止时间止招标代理机构收到的投标人文件少于三家，招标代理机构有权宣布本次招标流标。</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投标文件的修改和撤回；</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20</w:t>
      </w:r>
      <w:r>
        <w:rPr>
          <w:rFonts w:hint="eastAsia" w:ascii="宋体" w:hAnsi="宋体" w:cs="Arial"/>
          <w:bCs/>
          <w:color w:val="000000" w:themeColor="text1"/>
          <w:sz w:val="24"/>
          <w:szCs w:val="24"/>
          <w:lang w:val="zh-CN"/>
          <w14:textFill>
            <w14:solidFill>
              <w14:schemeClr w14:val="tx1"/>
            </w14:solidFill>
          </w14:textFill>
        </w:rPr>
        <w:t>.4  投标人在提交投标文件后可对其投标文件进行修改或撤销，但招标代理机构须在投标截止时间之前收到该修改的书面通知或在开标前收到该撤销的书面通知。投标人的投标文件招标代理机构将不予退还。</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20</w:t>
      </w:r>
      <w:r>
        <w:rPr>
          <w:rFonts w:hint="eastAsia" w:ascii="宋体" w:hAnsi="宋体" w:cs="Arial"/>
          <w:bCs/>
          <w:color w:val="000000" w:themeColor="text1"/>
          <w:sz w:val="24"/>
          <w:szCs w:val="24"/>
          <w:lang w:val="zh-CN"/>
          <w14:textFill>
            <w14:solidFill>
              <w14:schemeClr w14:val="tx1"/>
            </w14:solidFill>
          </w14:textFill>
        </w:rPr>
        <w:t>.5  投标人修改投标文件的书面材料，须密封送达招标代理机构，同时应在封套上标明“修改投标文件(并注明招标编号)”和“开标时启封”字样。</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20</w:t>
      </w:r>
      <w:r>
        <w:rPr>
          <w:rFonts w:hint="eastAsia" w:ascii="宋体" w:hAnsi="宋体" w:cs="Arial"/>
          <w:bCs/>
          <w:color w:val="000000" w:themeColor="text1"/>
          <w:sz w:val="24"/>
          <w:szCs w:val="24"/>
          <w:lang w:val="zh-CN"/>
          <w14:textFill>
            <w14:solidFill>
              <w14:schemeClr w14:val="tx1"/>
            </w14:solidFill>
          </w14:textFill>
        </w:rPr>
        <w:t>.6  撤回投标应以书面的形式在投标截止时间前通知招标代理机构。该书面撤回通知应由投标人法定代表人或授权委托人签署并加盖投标人单位公章。撤回投标的时间以书面撤回通知送达招标代理机构或邮电到达日戳为准。</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20</w:t>
      </w:r>
      <w:r>
        <w:rPr>
          <w:rFonts w:hint="eastAsia" w:ascii="宋体" w:hAnsi="宋体" w:cs="Arial"/>
          <w:bCs/>
          <w:color w:val="000000" w:themeColor="text1"/>
          <w:sz w:val="24"/>
          <w:szCs w:val="24"/>
          <w:lang w:val="zh-CN"/>
          <w14:textFill>
            <w14:solidFill>
              <w14:schemeClr w14:val="tx1"/>
            </w14:solidFill>
          </w14:textFill>
        </w:rPr>
        <w:t>.7  开标后投标人不得撤回投标，否则投标保证金将被不予退还。</w:t>
      </w:r>
    </w:p>
    <w:p>
      <w:pPr>
        <w:spacing w:line="400" w:lineRule="exact"/>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1</w:t>
      </w:r>
      <w:r>
        <w:rPr>
          <w:rFonts w:hint="eastAsia" w:ascii="宋体" w:hAnsi="宋体" w:cs="Arial"/>
          <w:bCs/>
          <w:color w:val="000000" w:themeColor="text1"/>
          <w:sz w:val="24"/>
          <w:szCs w:val="24"/>
          <w:lang w:val="zh-CN"/>
          <w14:textFill>
            <w14:solidFill>
              <w14:schemeClr w14:val="tx1"/>
            </w14:solidFill>
          </w14:textFill>
        </w:rPr>
        <w:t>. 公开招标采购活动有关事宜</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1</w:t>
      </w:r>
      <w:r>
        <w:rPr>
          <w:rFonts w:hint="eastAsia" w:ascii="宋体" w:hAnsi="宋体" w:cs="Arial"/>
          <w:bCs/>
          <w:color w:val="000000" w:themeColor="text1"/>
          <w:sz w:val="24"/>
          <w:szCs w:val="24"/>
          <w:lang w:val="zh-CN"/>
          <w14:textFill>
            <w14:solidFill>
              <w14:schemeClr w14:val="tx1"/>
            </w14:solidFill>
          </w14:textFill>
        </w:rPr>
        <w:t>.1 投标人出现以下情形之一的，投标无效：</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1</w:t>
      </w:r>
      <w:r>
        <w:rPr>
          <w:rFonts w:hint="eastAsia" w:ascii="宋体" w:hAnsi="宋体" w:cs="Arial"/>
          <w:bCs/>
          <w:color w:val="000000" w:themeColor="text1"/>
          <w:sz w:val="24"/>
          <w:szCs w:val="24"/>
          <w:lang w:val="zh-CN"/>
          <w14:textFill>
            <w14:solidFill>
              <w14:schemeClr w14:val="tx1"/>
            </w14:solidFill>
          </w14:textFill>
        </w:rPr>
        <w:t>.1.1 未按公开招标采购规定的格式制作投标文件的；</w:t>
      </w:r>
    </w:p>
    <w:p>
      <w:pPr>
        <w:spacing w:line="400" w:lineRule="exact"/>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2.</w:t>
      </w:r>
      <w:r>
        <w:rPr>
          <w:rFonts w:hint="eastAsia" w:ascii="宋体" w:hAnsi="宋体" w:cs="Arial"/>
          <w:bCs/>
          <w:color w:val="000000" w:themeColor="text1"/>
          <w:sz w:val="24"/>
          <w:szCs w:val="24"/>
          <w:lang w:val="zh-CN"/>
          <w14:textFill>
            <w14:solidFill>
              <w14:schemeClr w14:val="tx1"/>
            </w14:solidFill>
          </w14:textFill>
        </w:rPr>
        <w:t>意外情况的处理</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22.1</w:t>
      </w:r>
      <w:r>
        <w:rPr>
          <w:rFonts w:hint="eastAsia" w:ascii="宋体" w:hAnsi="宋体" w:cs="Arial"/>
          <w:bCs/>
          <w:color w:val="000000" w:themeColor="text1"/>
          <w:sz w:val="24"/>
          <w:szCs w:val="24"/>
          <w:lang w:val="zh-CN"/>
          <w14:textFill>
            <w14:solidFill>
              <w14:schemeClr w14:val="tx1"/>
            </w14:solidFill>
          </w14:textFill>
        </w:rPr>
        <w:t xml:space="preserve"> 因客观原因造成公开招标采购活动无法正常进行的，应采取意外情况的处理措施。当日（工作时间内）可解决的，公开招标采购恢复进行；当日无法解决的，采购活动终止，重新组织采购活动。</w:t>
      </w:r>
    </w:p>
    <w:p>
      <w:pPr>
        <w:spacing w:line="400" w:lineRule="exact"/>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五、开标及评标</w:t>
      </w:r>
    </w:p>
    <w:p>
      <w:pPr>
        <w:spacing w:line="400" w:lineRule="exact"/>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3</w:t>
      </w:r>
      <w:r>
        <w:rPr>
          <w:rFonts w:hint="eastAsia" w:ascii="宋体" w:hAnsi="宋体" w:cs="Arial"/>
          <w:bCs/>
          <w:color w:val="000000" w:themeColor="text1"/>
          <w:sz w:val="24"/>
          <w:szCs w:val="24"/>
          <w:lang w:val="zh-CN"/>
          <w14:textFill>
            <w14:solidFill>
              <w14:schemeClr w14:val="tx1"/>
            </w14:solidFill>
          </w14:textFill>
        </w:rPr>
        <w:t>.开标：</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3</w:t>
      </w:r>
      <w:r>
        <w:rPr>
          <w:rFonts w:hint="eastAsia" w:ascii="宋体" w:hAnsi="宋体" w:cs="Arial"/>
          <w:bCs/>
          <w:color w:val="000000" w:themeColor="text1"/>
          <w:sz w:val="24"/>
          <w:szCs w:val="24"/>
          <w:lang w:val="zh-CN"/>
          <w14:textFill>
            <w14:solidFill>
              <w14:schemeClr w14:val="tx1"/>
            </w14:solidFill>
          </w14:textFill>
        </w:rPr>
        <w:t>.1  招标代理机构按本须知规定的时间、地点组织开标。开标仪式由招标代理机构、采购人、投标人代表及相关方面代表参加。</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3</w:t>
      </w:r>
      <w:r>
        <w:rPr>
          <w:rFonts w:hint="eastAsia" w:ascii="宋体" w:hAnsi="宋体" w:cs="Arial"/>
          <w:bCs/>
          <w:color w:val="000000" w:themeColor="text1"/>
          <w:sz w:val="24"/>
          <w:szCs w:val="24"/>
          <w:lang w:val="zh-CN"/>
          <w14:textFill>
            <w14:solidFill>
              <w14:schemeClr w14:val="tx1"/>
            </w14:solidFill>
          </w14:textFill>
        </w:rPr>
        <w:t>.2  参加开标的投标人代表应携带本人身份证明签名报到，以证明其出席开标会议。</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3</w:t>
      </w:r>
      <w:r>
        <w:rPr>
          <w:rFonts w:hint="eastAsia" w:ascii="宋体" w:hAnsi="宋体" w:cs="Arial"/>
          <w:bCs/>
          <w:color w:val="000000" w:themeColor="text1"/>
          <w:sz w:val="24"/>
          <w:szCs w:val="24"/>
          <w:lang w:val="zh-CN"/>
          <w14:textFill>
            <w14:solidFill>
              <w14:schemeClr w14:val="tx1"/>
            </w14:solidFill>
          </w14:textFill>
        </w:rPr>
        <w:t>.3  开标时，由公证员查验投标文件密封情况并公证，经确认无误后，由招标工作人员当众拆封，经签字确认后。代理机构对投标人的名称、投标价格、</w:t>
      </w:r>
      <w:r>
        <w:rPr>
          <w:rFonts w:hint="eastAsia" w:ascii="宋体" w:hAnsi="宋体" w:cs="Arial"/>
          <w:bCs/>
          <w:color w:val="000000" w:themeColor="text1"/>
          <w:sz w:val="24"/>
          <w:szCs w:val="24"/>
          <w14:textFill>
            <w14:solidFill>
              <w14:schemeClr w14:val="tx1"/>
            </w14:solidFill>
          </w14:textFill>
        </w:rPr>
        <w:t>价格折扣</w:t>
      </w:r>
      <w:r>
        <w:rPr>
          <w:rFonts w:hint="eastAsia" w:ascii="宋体" w:hAnsi="宋体" w:cs="Arial"/>
          <w:bCs/>
          <w:color w:val="000000" w:themeColor="text1"/>
          <w:sz w:val="24"/>
          <w:szCs w:val="24"/>
          <w:lang w:val="zh-CN"/>
          <w14:textFill>
            <w14:solidFill>
              <w14:schemeClr w14:val="tx1"/>
            </w14:solidFill>
          </w14:textFill>
        </w:rPr>
        <w:t>、招标文件允许提供的备选方案等实质内容进行公开唱标并作好开标记录。未宣读的投标人名称，投标价格、价格折扣招标文件允许提供的备选方案等实质内容，评标时不予承认。另投标人代表应在开标记录上签字确认，并由招标代理机构</w:t>
      </w:r>
      <w:r>
        <w:rPr>
          <w:rFonts w:hint="eastAsia" w:ascii="宋体" w:hAnsi="宋体" w:cs="Arial"/>
          <w:bCs/>
          <w:color w:val="000000" w:themeColor="text1"/>
          <w:sz w:val="24"/>
          <w:szCs w:val="24"/>
          <w14:textFill>
            <w14:solidFill>
              <w14:schemeClr w14:val="tx1"/>
            </w14:solidFill>
          </w14:textFill>
        </w:rPr>
        <w:t>存档备查</w:t>
      </w:r>
      <w:r>
        <w:rPr>
          <w:rFonts w:hint="eastAsia" w:ascii="宋体" w:hAnsi="宋体" w:cs="Arial"/>
          <w:bCs/>
          <w:color w:val="000000" w:themeColor="text1"/>
          <w:sz w:val="24"/>
          <w:szCs w:val="24"/>
          <w:lang w:val="zh-CN"/>
          <w14:textFill>
            <w14:solidFill>
              <w14:schemeClr w14:val="tx1"/>
            </w14:solidFill>
          </w14:textFill>
        </w:rPr>
        <w:t>。</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3</w:t>
      </w:r>
      <w:r>
        <w:rPr>
          <w:rFonts w:hint="eastAsia" w:ascii="宋体" w:hAnsi="宋体" w:cs="Arial"/>
          <w:bCs/>
          <w:color w:val="000000" w:themeColor="text1"/>
          <w:sz w:val="24"/>
          <w:szCs w:val="24"/>
          <w:lang w:val="zh-CN"/>
          <w14:textFill>
            <w14:solidFill>
              <w14:schemeClr w14:val="tx1"/>
            </w14:solidFill>
          </w14:textFill>
        </w:rPr>
        <w:t>.4  投标人法定代表人或授权委托人未准时参加开标会议的视为自动放弃投标，其投标文件将不予评审。</w:t>
      </w:r>
    </w:p>
    <w:p>
      <w:pPr>
        <w:spacing w:line="400" w:lineRule="exact"/>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4</w:t>
      </w:r>
      <w:r>
        <w:rPr>
          <w:rFonts w:hint="eastAsia" w:ascii="宋体" w:hAnsi="宋体" w:cs="Arial"/>
          <w:bCs/>
          <w:color w:val="000000" w:themeColor="text1"/>
          <w:sz w:val="24"/>
          <w:szCs w:val="24"/>
          <w:lang w:val="zh-CN"/>
          <w14:textFill>
            <w14:solidFill>
              <w14:schemeClr w14:val="tx1"/>
            </w14:solidFill>
          </w14:textFill>
        </w:rPr>
        <w:t>.评标委员会或评标小组的职责与义务：</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4</w:t>
      </w:r>
      <w:r>
        <w:rPr>
          <w:rFonts w:hint="eastAsia" w:ascii="宋体" w:hAnsi="宋体" w:cs="Arial"/>
          <w:bCs/>
          <w:color w:val="000000" w:themeColor="text1"/>
          <w:sz w:val="24"/>
          <w:szCs w:val="24"/>
          <w:lang w:val="zh-CN"/>
          <w14:textFill>
            <w14:solidFill>
              <w14:schemeClr w14:val="tx1"/>
            </w14:solidFill>
          </w14:textFill>
        </w:rPr>
        <w:t>.1   评标委员会或评标小组（以下简称评标委员会）成员由采购管理部门依法负责组建；</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4</w:t>
      </w:r>
      <w:r>
        <w:rPr>
          <w:rFonts w:hint="eastAsia" w:ascii="宋体" w:hAnsi="宋体" w:cs="Arial"/>
          <w:bCs/>
          <w:color w:val="000000" w:themeColor="text1"/>
          <w:sz w:val="24"/>
          <w:szCs w:val="24"/>
          <w:lang w:val="zh-CN"/>
          <w14:textFill>
            <w14:solidFill>
              <w14:schemeClr w14:val="tx1"/>
            </w14:solidFill>
          </w14:textFill>
        </w:rPr>
        <w:t>.2   评标委员会或评标小组负责具体的评标事务，并独立履行以下职责；</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4</w:t>
      </w:r>
      <w:r>
        <w:rPr>
          <w:rFonts w:hint="eastAsia" w:ascii="宋体" w:hAnsi="宋体" w:cs="Arial"/>
          <w:bCs/>
          <w:color w:val="000000" w:themeColor="text1"/>
          <w:sz w:val="24"/>
          <w:szCs w:val="24"/>
          <w:lang w:val="zh-CN"/>
          <w14:textFill>
            <w14:solidFill>
              <w14:schemeClr w14:val="tx1"/>
            </w14:solidFill>
          </w14:textFill>
        </w:rPr>
        <w:t>.2.1 审查投标文件是否符合招标文件的要求，并做出评价；</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4</w:t>
      </w:r>
      <w:r>
        <w:rPr>
          <w:rFonts w:hint="eastAsia" w:ascii="宋体" w:hAnsi="宋体" w:cs="Arial"/>
          <w:bCs/>
          <w:color w:val="000000" w:themeColor="text1"/>
          <w:sz w:val="24"/>
          <w:szCs w:val="24"/>
          <w:lang w:val="zh-CN"/>
          <w14:textFill>
            <w14:solidFill>
              <w14:schemeClr w14:val="tx1"/>
            </w14:solidFill>
          </w14:textFill>
        </w:rPr>
        <w:t>.2.2 可以要求投标供应商对投标文件有关事项做出解释或澄清；</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4</w:t>
      </w:r>
      <w:r>
        <w:rPr>
          <w:rFonts w:hint="eastAsia" w:ascii="宋体" w:hAnsi="宋体" w:cs="Arial"/>
          <w:bCs/>
          <w:color w:val="000000" w:themeColor="text1"/>
          <w:sz w:val="24"/>
          <w:szCs w:val="24"/>
          <w:lang w:val="zh-CN"/>
          <w14:textFill>
            <w14:solidFill>
              <w14:schemeClr w14:val="tx1"/>
            </w14:solidFill>
          </w14:textFill>
        </w:rPr>
        <w:t>.2.3 对投标人的评标名次排序，推荐中标候选人名单。</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4</w:t>
      </w:r>
      <w:r>
        <w:rPr>
          <w:rFonts w:hint="eastAsia" w:ascii="宋体" w:hAnsi="宋体" w:cs="Arial"/>
          <w:bCs/>
          <w:color w:val="000000" w:themeColor="text1"/>
          <w:sz w:val="24"/>
          <w:szCs w:val="24"/>
          <w:lang w:val="zh-CN"/>
          <w14:textFill>
            <w14:solidFill>
              <w14:schemeClr w14:val="tx1"/>
            </w14:solidFill>
          </w14:textFill>
        </w:rPr>
        <w:t>.2.4 向招标采购人或者有关部门报告非法干预评标工作的行为。</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4</w:t>
      </w:r>
      <w:r>
        <w:rPr>
          <w:rFonts w:hint="eastAsia" w:ascii="宋体" w:hAnsi="宋体" w:cs="Arial"/>
          <w:bCs/>
          <w:color w:val="000000" w:themeColor="text1"/>
          <w:sz w:val="24"/>
          <w:szCs w:val="24"/>
          <w:lang w:val="zh-CN"/>
          <w14:textFill>
            <w14:solidFill>
              <w14:schemeClr w14:val="tx1"/>
            </w14:solidFill>
          </w14:textFill>
        </w:rPr>
        <w:t>.3   评标委员会成员应当履行下列义务：</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4</w:t>
      </w:r>
      <w:r>
        <w:rPr>
          <w:rFonts w:hint="eastAsia" w:ascii="宋体" w:hAnsi="宋体" w:cs="Arial"/>
          <w:bCs/>
          <w:color w:val="000000" w:themeColor="text1"/>
          <w:sz w:val="24"/>
          <w:szCs w:val="24"/>
          <w:lang w:val="zh-CN"/>
          <w14:textFill>
            <w14:solidFill>
              <w14:schemeClr w14:val="tx1"/>
            </w14:solidFill>
          </w14:textFill>
        </w:rPr>
        <w:t>.3.1 遵纪守法，客观、公正、廉洁地履行职责；</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4</w:t>
      </w:r>
      <w:r>
        <w:rPr>
          <w:rFonts w:hint="eastAsia" w:ascii="宋体" w:hAnsi="宋体" w:cs="Arial"/>
          <w:bCs/>
          <w:color w:val="000000" w:themeColor="text1"/>
          <w:sz w:val="24"/>
          <w:szCs w:val="24"/>
          <w:lang w:val="zh-CN"/>
          <w14:textFill>
            <w14:solidFill>
              <w14:schemeClr w14:val="tx1"/>
            </w14:solidFill>
          </w14:textFill>
        </w:rPr>
        <w:t>.3.2 按照招标文件规定的评标办法和评标标准进行评标，对评审意见承担个人责任；</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4</w:t>
      </w:r>
      <w:r>
        <w:rPr>
          <w:rFonts w:hint="eastAsia" w:ascii="宋体" w:hAnsi="宋体" w:cs="Arial"/>
          <w:bCs/>
          <w:color w:val="000000" w:themeColor="text1"/>
          <w:sz w:val="24"/>
          <w:szCs w:val="24"/>
          <w:lang w:val="zh-CN"/>
          <w14:textFill>
            <w14:solidFill>
              <w14:schemeClr w14:val="tx1"/>
            </w14:solidFill>
          </w14:textFill>
        </w:rPr>
        <w:t>.3.3 对评标过程和结果，以及投标人的商业秘密保密；</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4</w:t>
      </w:r>
      <w:r>
        <w:rPr>
          <w:rFonts w:hint="eastAsia" w:ascii="宋体" w:hAnsi="宋体" w:cs="Arial"/>
          <w:bCs/>
          <w:color w:val="000000" w:themeColor="text1"/>
          <w:sz w:val="24"/>
          <w:szCs w:val="24"/>
          <w:lang w:val="zh-CN"/>
          <w14:textFill>
            <w14:solidFill>
              <w14:schemeClr w14:val="tx1"/>
            </w14:solidFill>
          </w14:textFill>
        </w:rPr>
        <w:t>.3.4 参与评标报告的起草；</w:t>
      </w:r>
    </w:p>
    <w:p>
      <w:pPr>
        <w:spacing w:line="400" w:lineRule="exact"/>
        <w:ind w:firstLine="480" w:firstLineChars="200"/>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4</w:t>
      </w:r>
      <w:r>
        <w:rPr>
          <w:rFonts w:hint="eastAsia" w:ascii="宋体" w:hAnsi="宋体" w:cs="Arial"/>
          <w:bCs/>
          <w:color w:val="000000" w:themeColor="text1"/>
          <w:sz w:val="24"/>
          <w:szCs w:val="24"/>
          <w:lang w:val="zh-CN"/>
          <w14:textFill>
            <w14:solidFill>
              <w14:schemeClr w14:val="tx1"/>
            </w14:solidFill>
          </w14:textFill>
        </w:rPr>
        <w:t>.3.5 配合招标采购人答复投标人提出的质疑；</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4</w:t>
      </w:r>
      <w:r>
        <w:rPr>
          <w:rFonts w:hint="eastAsia" w:ascii="宋体" w:hAnsi="宋体" w:cs="Arial"/>
          <w:bCs/>
          <w:color w:val="000000" w:themeColor="text1"/>
          <w:sz w:val="24"/>
          <w:szCs w:val="24"/>
          <w:lang w:val="zh-CN"/>
          <w14:textFill>
            <w14:solidFill>
              <w14:schemeClr w14:val="tx1"/>
            </w14:solidFill>
          </w14:textFill>
        </w:rPr>
        <w:t>.3.6 配合财政部门的投诉处理工作。</w:t>
      </w:r>
    </w:p>
    <w:p>
      <w:pPr>
        <w:spacing w:line="400" w:lineRule="exact"/>
        <w:rPr>
          <w:rFonts w:ascii="宋体" w:hAnsi="宋体" w:cs="Arial"/>
          <w:bCs/>
          <w:color w:val="000000" w:themeColor="text1"/>
          <w:sz w:val="24"/>
          <w:szCs w:val="24"/>
          <w:lang w:val="zh-CN"/>
          <w14:textFill>
            <w14:solidFill>
              <w14:schemeClr w14:val="tx1"/>
            </w14:solidFill>
          </w14:textFill>
        </w:rPr>
      </w:pPr>
      <w:r>
        <w:rPr>
          <w:rFonts w:hint="eastAsia" w:ascii="宋体" w:hAnsi="宋体" w:cs="Arial"/>
          <w:bCs/>
          <w:color w:val="000000" w:themeColor="text1"/>
          <w:sz w:val="24"/>
          <w:szCs w:val="24"/>
          <w:lang w:val="zh-CN"/>
          <w14:textFill>
            <w14:solidFill>
              <w14:schemeClr w14:val="tx1"/>
            </w14:solidFill>
          </w14:textFill>
        </w:rPr>
        <w:t>2</w:t>
      </w:r>
      <w:r>
        <w:rPr>
          <w:rFonts w:hint="eastAsia" w:ascii="宋体" w:hAnsi="宋体" w:cs="Arial"/>
          <w:bCs/>
          <w:color w:val="000000" w:themeColor="text1"/>
          <w:sz w:val="24"/>
          <w:szCs w:val="24"/>
          <w14:textFill>
            <w14:solidFill>
              <w14:schemeClr w14:val="tx1"/>
            </w14:solidFill>
          </w14:textFill>
        </w:rPr>
        <w:t>5</w:t>
      </w:r>
      <w:r>
        <w:rPr>
          <w:rFonts w:hint="eastAsia" w:ascii="宋体" w:hAnsi="宋体" w:cs="Arial"/>
          <w:bCs/>
          <w:color w:val="000000" w:themeColor="text1"/>
          <w:sz w:val="24"/>
          <w:szCs w:val="24"/>
          <w:lang w:val="zh-CN"/>
          <w14:textFill>
            <w14:solidFill>
              <w14:schemeClr w14:val="tx1"/>
            </w14:solidFill>
          </w14:textFill>
        </w:rPr>
        <w:t>.评标办法：</w:t>
      </w:r>
    </w:p>
    <w:p>
      <w:pPr>
        <w:spacing w:line="400" w:lineRule="exact"/>
        <w:ind w:firstLine="480" w:firstLineChars="200"/>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25.1评分细则：评标将按照招标文件要求对投标报价、技术参数和产品性能指标、售后服务、经营信誉度、业绩、文件质量和投标人提供的其他承诺等进行比较以及综合评分，以评标总得分最高的投标人作为中标候选供应商,结果保留小数点后两位，评标委员会按照最终评标得分由高到低的顺序推荐中标候选人，最终评标得分最高的投标人为第一中标候选人，最终评标得分第二的投标人为第二中标候选人，依次类推。评标总得分相同的，按投标报价由低到高顺序排列；评标总得分且投标报价相同的，按技术得分优劣顺序排列；按照从高到低顺序决定中标人。</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评标办法（综合评分法）</w:t>
      </w:r>
      <w:bookmarkStart w:id="33" w:name="_Toc152045599"/>
      <w:bookmarkStart w:id="34" w:name="_Toc144974566"/>
      <w:bookmarkStart w:id="35" w:name="_Toc152042376"/>
      <w:bookmarkStart w:id="36" w:name="_Toc247527624"/>
      <w:bookmarkStart w:id="37" w:name="_Toc247514023"/>
      <w:r>
        <w:rPr>
          <w:rFonts w:hint="eastAsia" w:ascii="宋体"/>
          <w:bCs/>
          <w:color w:val="000000" w:themeColor="text1"/>
          <w:sz w:val="24"/>
          <w:szCs w:val="24"/>
          <w14:textFill>
            <w14:solidFill>
              <w14:schemeClr w14:val="tx1"/>
            </w14:solidFill>
          </w14:textFill>
        </w:rPr>
        <w:t>说明：投标方应安排负责本项目的项目经理到开标现场根据抽签顺序进行讲标，讲标时间不能超过15分钟，重点讲解投标人在本项目上的设计方案要点、建议、设计优势（包括实现PUE指标值依据）、施工重点、施工优势与服务内容等。</w:t>
      </w:r>
      <w:bookmarkStart w:id="38" w:name="_Toc300835009"/>
    </w:p>
    <w:p>
      <w:pPr>
        <w:spacing w:line="360" w:lineRule="auto"/>
        <w:ind w:firstLine="480" w:firstLineChars="200"/>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评标办法前附表</w:t>
      </w:r>
      <w:bookmarkEnd w:id="33"/>
      <w:bookmarkEnd w:id="34"/>
      <w:bookmarkEnd w:id="35"/>
      <w:bookmarkEnd w:id="36"/>
      <w:bookmarkEnd w:id="37"/>
      <w:bookmarkEnd w:id="38"/>
    </w:p>
    <w:tbl>
      <w:tblPr>
        <w:tblStyle w:val="24"/>
        <w:tblW w:w="90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870"/>
        <w:gridCol w:w="1282"/>
        <w:gridCol w:w="60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88"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条款号</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评审因素</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restart"/>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r>
              <w:rPr>
                <w:rFonts w:hint="eastAsia" w:ascii="宋体" w:hAnsi="宋体" w:eastAsia="宋体" w:cs="宋体"/>
                <w:bCs/>
                <w:color w:val="000000"/>
                <w:sz w:val="24"/>
                <w:szCs w:val="24"/>
              </w:rPr>
              <w:t>1.1</w:t>
            </w:r>
          </w:p>
        </w:tc>
        <w:tc>
          <w:tcPr>
            <w:tcW w:w="870" w:type="dxa"/>
            <w:vMerge w:val="restart"/>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形式评审标准</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投标人名称</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与法人营业执照、资质证书、安全生产许可证一致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投标函签字盖章</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投标文件格式</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符合 “投标文件格式”的要求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报价唯一</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restart"/>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r>
              <w:rPr>
                <w:rFonts w:hint="eastAsia" w:ascii="宋体" w:hAnsi="宋体" w:eastAsia="宋体" w:cs="宋体"/>
                <w:bCs/>
                <w:color w:val="000000"/>
                <w:sz w:val="24"/>
                <w:szCs w:val="24"/>
              </w:rPr>
              <w:t>1.2</w:t>
            </w:r>
          </w:p>
        </w:tc>
        <w:tc>
          <w:tcPr>
            <w:tcW w:w="870" w:type="dxa"/>
            <w:vMerge w:val="restart"/>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资格评审标准</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营业执照</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提供（副本）</w:t>
            </w:r>
            <w:r>
              <w:rPr>
                <w:rFonts w:hint="eastAsia" w:ascii="宋体" w:hAnsi="宋体" w:eastAsia="宋体" w:cs="宋体"/>
                <w:bCs/>
                <w:color w:val="000000"/>
                <w:sz w:val="24"/>
                <w:szCs w:val="24"/>
                <w:lang w:eastAsia="zh-CN"/>
              </w:rPr>
              <w:t>原件</w:t>
            </w:r>
            <w:r>
              <w:rPr>
                <w:rFonts w:hint="eastAsia" w:ascii="宋体" w:hAnsi="宋体" w:eastAsia="宋体" w:cs="宋体"/>
                <w:bCs/>
                <w:color w:val="000000"/>
                <w:sz w:val="24"/>
                <w:szCs w:val="24"/>
              </w:rPr>
              <w:t>，附加盖公章的复印件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资质等级</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提供有效资质证书</w:t>
            </w:r>
            <w:r>
              <w:rPr>
                <w:rFonts w:hint="eastAsia" w:asciiTheme="minorEastAsia" w:hAnsiTheme="minorEastAsia" w:cstheme="minorEastAsia"/>
                <w:bCs/>
                <w:color w:val="000000"/>
                <w:sz w:val="24"/>
                <w:szCs w:val="24"/>
                <w:lang w:eastAsia="zh-CN"/>
              </w:rPr>
              <w:t>原件</w:t>
            </w:r>
            <w:r>
              <w:rPr>
                <w:rFonts w:hint="eastAsia" w:asciiTheme="minorEastAsia" w:hAnsiTheme="minorEastAsia" w:cstheme="minorEastAsia"/>
                <w:bCs/>
                <w:color w:val="000000"/>
                <w:sz w:val="24"/>
                <w:szCs w:val="24"/>
              </w:rPr>
              <w:t>，附加盖公章的复印件；</w:t>
            </w:r>
          </w:p>
          <w:p>
            <w:pPr>
              <w:snapToGrid w:val="0"/>
              <w:spacing w:line="400" w:lineRule="exact"/>
              <w:rPr>
                <w:rFonts w:hint="eastAsia" w:ascii="宋体" w:hAnsi="宋体" w:eastAsia="宋体" w:cs="宋体"/>
                <w:bCs/>
                <w:color w:val="000000"/>
                <w:sz w:val="24"/>
                <w:szCs w:val="24"/>
              </w:rPr>
            </w:pPr>
            <w:r>
              <w:rPr>
                <w:rFonts w:hint="eastAsia" w:asciiTheme="minorEastAsia" w:hAnsiTheme="minorEastAsia" w:cstheme="minorEastAsia"/>
                <w:bCs/>
                <w:color w:val="000000"/>
                <w:sz w:val="24"/>
                <w:szCs w:val="24"/>
              </w:rPr>
              <w:t>提供安全生产许可证</w:t>
            </w:r>
            <w:r>
              <w:rPr>
                <w:rFonts w:hint="eastAsia" w:asciiTheme="minorEastAsia" w:hAnsiTheme="minorEastAsia" w:cstheme="minorEastAsia"/>
                <w:bCs/>
                <w:color w:val="000000"/>
                <w:sz w:val="24"/>
                <w:szCs w:val="24"/>
                <w:lang w:eastAsia="zh-CN"/>
              </w:rPr>
              <w:t>原件</w:t>
            </w:r>
            <w:r>
              <w:rPr>
                <w:rFonts w:hint="eastAsia" w:asciiTheme="minorEastAsia" w:hAnsiTheme="minorEastAsia" w:cstheme="minorEastAsia"/>
                <w:bCs/>
                <w:color w:val="000000"/>
                <w:sz w:val="24"/>
                <w:szCs w:val="24"/>
              </w:rPr>
              <w:t>，附加盖公章的复印件。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采购需求</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bCs/>
                <w:color w:val="000000"/>
                <w:sz w:val="24"/>
                <w:szCs w:val="24"/>
              </w:rPr>
            </w:pPr>
            <w:r>
              <w:rPr>
                <w:rFonts w:hint="eastAsia" w:ascii="宋体" w:hAnsi="宋体" w:eastAsia="宋体" w:cs="宋体"/>
                <w:b/>
                <w:bCs w:val="0"/>
                <w:color w:val="000000"/>
                <w:sz w:val="24"/>
                <w:szCs w:val="24"/>
              </w:rPr>
              <w:t>本项目采购的</w:t>
            </w:r>
            <w:r>
              <w:rPr>
                <w:rFonts w:hint="eastAsia" w:ascii="宋体" w:hAnsi="宋体" w:eastAsia="宋体" w:cs="宋体"/>
                <w:b/>
                <w:bCs w:val="0"/>
                <w:color w:val="000000"/>
                <w:sz w:val="24"/>
                <w:szCs w:val="24"/>
                <w:lang w:eastAsia="zh-CN"/>
              </w:rPr>
              <w:t>主要</w:t>
            </w:r>
            <w:r>
              <w:rPr>
                <w:rFonts w:hint="eastAsia" w:ascii="宋体" w:hAnsi="宋体" w:eastAsia="宋体" w:cs="宋体"/>
                <w:b/>
                <w:bCs w:val="0"/>
                <w:color w:val="000000"/>
                <w:sz w:val="24"/>
                <w:szCs w:val="24"/>
              </w:rPr>
              <w:t>产品严格按照招标人推荐品牌和配置范围进行投标。如有偏离，将作废标处理。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财务状况</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Theme="minorEastAsia" w:hAnsiTheme="minorEastAsia" w:cstheme="minorEastAsia"/>
                <w:bCs/>
                <w:color w:val="000000"/>
                <w:sz w:val="24"/>
                <w:szCs w:val="24"/>
              </w:rPr>
              <w:t>（2016-2018年）财务状况良好。提供经会计师事务所审计的审计报告，附加盖公章的复印件。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类似项目业绩</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0" w:after="0" w:line="400" w:lineRule="exact"/>
              <w:ind w:firstLine="240" w:firstLineChars="100"/>
              <w:jc w:val="left"/>
              <w:outlineLvl w:val="9"/>
              <w:rPr>
                <w:rFonts w:hint="eastAsia" w:ascii="宋体" w:hAnsi="宋体" w:eastAsia="宋体" w:cs="宋体"/>
                <w:b w:val="0"/>
                <w:bCs/>
                <w:color w:val="000000"/>
                <w:kern w:val="2"/>
                <w:sz w:val="24"/>
                <w:szCs w:val="24"/>
                <w:lang w:val="en-US" w:eastAsia="zh-CN" w:bidi="ar-SA"/>
              </w:rPr>
            </w:pPr>
            <w:r>
              <w:rPr>
                <w:rFonts w:hint="eastAsia" w:asciiTheme="minorEastAsia" w:hAnsiTheme="minorEastAsia" w:cstheme="minorEastAsia"/>
                <w:b w:val="0"/>
                <w:color w:val="000000"/>
                <w:sz w:val="24"/>
                <w:szCs w:val="24"/>
              </w:rPr>
              <w:t>设计和施工业绩规模资料说明：必须能够体现并提供证明工程名称、工程详细地址、工程建设面积、机柜数量、合同中标金额、建设单位名称、地址及联系人（手机及办公电话）等核心要素；证明材料需提供合同复印件（加盖公章）、中标通知书复印件（加盖公章）、竣工验收报告复印件（加盖公章），无法体现核心要素则须提供项目建设单位加盖公章的证明函，同时投标人所提供的业绩招标人无论何时都有进行实地考查的权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18"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信誉</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提供法人代表签字或盖章并加盖公章的承诺书</w:t>
            </w:r>
          </w:p>
          <w:p>
            <w:pPr>
              <w:spacing w:line="400" w:lineRule="exact"/>
              <w:rPr>
                <w:rFonts w:hint="eastAsia" w:ascii="宋体" w:hAnsi="宋体" w:eastAsia="宋体" w:cs="宋体"/>
                <w:bCs/>
                <w:color w:val="000000"/>
                <w:sz w:val="24"/>
                <w:szCs w:val="24"/>
              </w:rPr>
            </w:pPr>
            <w:r>
              <w:rPr>
                <w:rFonts w:hint="eastAsia" w:asciiTheme="minorEastAsia" w:hAnsiTheme="minorEastAsia" w:cstheme="minorEastAsia"/>
                <w:bCs/>
                <w:color w:val="000000"/>
                <w:sz w:val="24"/>
                <w:szCs w:val="24"/>
              </w:rPr>
              <w:t>证明材料，附加盖公章的复印件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项目经理 </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提供注册证书、安全生产考核合格证书、管理经验、业绩证明材料，附加盖公章的复印件；无在建或中标待建工程承诺函（由投标单位出具并加盖公章的无在建工程承诺书；</w:t>
            </w:r>
          </w:p>
          <w:p>
            <w:pPr>
              <w:spacing w:line="400" w:lineRule="exact"/>
              <w:rPr>
                <w:rFonts w:hint="eastAsia" w:ascii="宋体" w:hAnsi="宋体" w:eastAsia="宋体" w:cs="宋体"/>
                <w:bCs/>
                <w:color w:val="000000"/>
                <w:sz w:val="24"/>
                <w:szCs w:val="24"/>
              </w:rPr>
            </w:pPr>
            <w:r>
              <w:rPr>
                <w:rFonts w:hint="eastAsia" w:asciiTheme="minorEastAsia" w:hAnsiTheme="minorEastAsia" w:cstheme="minorEastAsia"/>
                <w:bCs/>
                <w:color w:val="000000"/>
                <w:sz w:val="24"/>
                <w:szCs w:val="24"/>
              </w:rPr>
              <w:t>近</w:t>
            </w:r>
            <w:r>
              <w:rPr>
                <w:rFonts w:hint="eastAsia" w:asciiTheme="minorEastAsia" w:hAnsiTheme="minorEastAsia" w:cstheme="minorEastAsia"/>
                <w:bCs/>
                <w:color w:val="000000"/>
                <w:sz w:val="24"/>
                <w:szCs w:val="24"/>
                <w:lang w:val="en-US" w:eastAsia="zh-CN"/>
              </w:rPr>
              <w:t>3个月</w:t>
            </w:r>
            <w:r>
              <w:rPr>
                <w:rFonts w:hint="eastAsia" w:asciiTheme="minorEastAsia" w:hAnsiTheme="minorEastAsia" w:cstheme="minorEastAsia"/>
                <w:bCs/>
                <w:color w:val="000000"/>
                <w:sz w:val="24"/>
                <w:szCs w:val="24"/>
              </w:rPr>
              <w:t>社保证明复印件加盖公章。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设计负责人</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提供人员证书，附所有证件加盖公章的复印件。社保证明，复印件加盖公章。</w:t>
            </w:r>
          </w:p>
          <w:p>
            <w:pPr>
              <w:spacing w:line="400" w:lineRule="exact"/>
              <w:rPr>
                <w:rFonts w:hint="eastAsia" w:ascii="宋体" w:hAnsi="宋体" w:eastAsia="宋体" w:cs="宋体"/>
                <w:bCs/>
                <w:color w:val="000000"/>
                <w:sz w:val="24"/>
                <w:szCs w:val="24"/>
              </w:rPr>
            </w:pPr>
            <w:r>
              <w:rPr>
                <w:rFonts w:hint="eastAsia" w:asciiTheme="minorEastAsia" w:hAnsiTheme="minorEastAsia" w:cstheme="minorEastAsia"/>
                <w:bCs/>
                <w:color w:val="000000"/>
                <w:sz w:val="24"/>
                <w:szCs w:val="24"/>
              </w:rPr>
              <w:t>个人业绩证明材料，复印件加盖公章。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施工负责人</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提供人员证书，附所有证件加盖公章的复印件。社保证明，复印件加盖公章。</w:t>
            </w:r>
          </w:p>
          <w:p>
            <w:pPr>
              <w:spacing w:line="400" w:lineRule="exact"/>
              <w:rPr>
                <w:rFonts w:hint="eastAsia" w:ascii="宋体" w:hAnsi="宋体" w:eastAsia="宋体" w:cs="宋体"/>
                <w:bCs/>
                <w:color w:val="000000"/>
                <w:sz w:val="24"/>
                <w:szCs w:val="24"/>
              </w:rPr>
            </w:pPr>
            <w:r>
              <w:rPr>
                <w:rFonts w:hint="eastAsia" w:asciiTheme="minorEastAsia" w:hAnsiTheme="minorEastAsia" w:cstheme="minorEastAsia"/>
                <w:bCs/>
                <w:color w:val="000000"/>
                <w:sz w:val="24"/>
                <w:szCs w:val="24"/>
              </w:rPr>
              <w:t>个人业绩证明材料，复印件加盖公章。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项目管理机构及人员</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Theme="minorEastAsia" w:hAnsiTheme="minorEastAsia" w:cstheme="minorEastAsia"/>
                <w:bCs/>
                <w:color w:val="FF0000"/>
                <w:sz w:val="24"/>
                <w:szCs w:val="24"/>
              </w:rPr>
              <w:t>提供相关人员证书，附所有证件加盖公章的复印件。社保证明，复印件加盖公章。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涉黑涉恶承诺书</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Theme="minorEastAsia" w:hAnsiTheme="minorEastAsia" w:cstheme="minorEastAsia"/>
                <w:bCs/>
                <w:color w:val="000000"/>
                <w:sz w:val="24"/>
                <w:szCs w:val="24"/>
              </w:rPr>
              <w:t>投标人须提供加盖单位章</w:t>
            </w:r>
            <w:r>
              <w:rPr>
                <w:rFonts w:hint="eastAsia" w:asciiTheme="minorEastAsia" w:hAnsiTheme="minorEastAsia" w:cstheme="minorEastAsia"/>
                <w:bCs/>
                <w:color w:val="000000"/>
                <w:sz w:val="24"/>
                <w:szCs w:val="24"/>
                <w:lang w:eastAsia="zh-CN"/>
              </w:rPr>
              <w:t>及</w:t>
            </w:r>
            <w:r>
              <w:rPr>
                <w:rFonts w:hint="eastAsia" w:asciiTheme="minorEastAsia" w:hAnsiTheme="minorEastAsia" w:cstheme="minorEastAsia"/>
                <w:bCs/>
                <w:color w:val="000000"/>
                <w:sz w:val="24"/>
                <w:szCs w:val="24"/>
              </w:rPr>
              <w:t>法定代表人签字的承诺书原件，投标文件内附加盖公章的复印件。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其他要求</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Theme="minorEastAsia" w:hAnsiTheme="minorEastAsia" w:cstheme="minorEastAsia"/>
                <w:bCs/>
                <w:color w:val="000000"/>
                <w:sz w:val="24"/>
                <w:szCs w:val="24"/>
              </w:rPr>
              <w:t>投标人应保证农民工工资足额发放，不得违反国务院、江西省的相关规定。投标单位法定代表人签字并加盖公章的承诺书，标书内附加盖公章的复印件。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投标人不得存在下列情形之一</w:t>
            </w:r>
          </w:p>
          <w:p>
            <w:pPr>
              <w:autoSpaceDE w:val="0"/>
              <w:autoSpaceDN w:val="0"/>
              <w:adjustRightInd w:val="0"/>
              <w:spacing w:line="400" w:lineRule="exact"/>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(1)为招标人不具有独立法人资格的附属机构(单位)；</w:t>
            </w:r>
          </w:p>
          <w:p>
            <w:pPr>
              <w:autoSpaceDE w:val="0"/>
              <w:autoSpaceDN w:val="0"/>
              <w:adjustRightInd w:val="0"/>
              <w:spacing w:line="400" w:lineRule="exact"/>
              <w:rPr>
                <w:rFonts w:asciiTheme="minorEastAsia" w:hAnsiTheme="minorEastAsia" w:cstheme="minorEastAsia"/>
                <w:bCs/>
                <w:sz w:val="24"/>
                <w:szCs w:val="24"/>
              </w:rPr>
            </w:pPr>
            <w:r>
              <w:rPr>
                <w:rFonts w:hint="eastAsia" w:asciiTheme="minorEastAsia" w:hAnsiTheme="minorEastAsia" w:cstheme="minorEastAsia"/>
                <w:bCs/>
                <w:color w:val="000000"/>
                <w:sz w:val="24"/>
                <w:szCs w:val="24"/>
              </w:rPr>
              <w:t>(2)为本项目前期准备提供设计或咨询服务的，但</w:t>
            </w:r>
            <w:r>
              <w:rPr>
                <w:rFonts w:hint="eastAsia" w:asciiTheme="minorEastAsia" w:hAnsiTheme="minorEastAsia" w:cstheme="minorEastAsia"/>
                <w:bCs/>
                <w:sz w:val="24"/>
                <w:szCs w:val="24"/>
              </w:rPr>
              <w:t>设计施工总承包的除外；</w:t>
            </w:r>
          </w:p>
          <w:p>
            <w:pPr>
              <w:autoSpaceDE w:val="0"/>
              <w:autoSpaceDN w:val="0"/>
              <w:adjustRightInd w:val="0"/>
              <w:spacing w:line="400" w:lineRule="exact"/>
              <w:rPr>
                <w:rFonts w:asciiTheme="minorEastAsia" w:hAnsiTheme="minorEastAsia" w:cstheme="minorEastAsia"/>
                <w:bCs/>
                <w:sz w:val="24"/>
                <w:szCs w:val="24"/>
              </w:rPr>
            </w:pPr>
            <w:r>
              <w:rPr>
                <w:rFonts w:hint="eastAsia" w:asciiTheme="minorEastAsia" w:hAnsiTheme="minorEastAsia" w:cstheme="minorEastAsia"/>
                <w:bCs/>
                <w:sz w:val="24"/>
                <w:szCs w:val="24"/>
              </w:rPr>
              <w:t>(3)为本项目的监理人；</w:t>
            </w:r>
          </w:p>
          <w:p>
            <w:pPr>
              <w:autoSpaceDE w:val="0"/>
              <w:autoSpaceDN w:val="0"/>
              <w:adjustRightInd w:val="0"/>
              <w:spacing w:line="400" w:lineRule="exact"/>
              <w:rPr>
                <w:rFonts w:asciiTheme="minorEastAsia" w:hAnsiTheme="minorEastAsia" w:cstheme="minorEastAsia"/>
                <w:bCs/>
                <w:sz w:val="24"/>
                <w:szCs w:val="24"/>
              </w:rPr>
            </w:pPr>
            <w:r>
              <w:rPr>
                <w:rFonts w:hint="eastAsia" w:asciiTheme="minorEastAsia" w:hAnsiTheme="minorEastAsia" w:cstheme="minorEastAsia"/>
                <w:bCs/>
                <w:sz w:val="24"/>
                <w:szCs w:val="24"/>
              </w:rPr>
              <w:t>(4)为本项目的代建人；</w:t>
            </w:r>
          </w:p>
          <w:p>
            <w:pPr>
              <w:autoSpaceDE w:val="0"/>
              <w:autoSpaceDN w:val="0"/>
              <w:adjustRightInd w:val="0"/>
              <w:spacing w:line="400" w:lineRule="exact"/>
              <w:rPr>
                <w:rFonts w:asciiTheme="minorEastAsia" w:hAnsiTheme="minorEastAsia" w:cstheme="minorEastAsia"/>
                <w:bCs/>
                <w:sz w:val="24"/>
                <w:szCs w:val="24"/>
              </w:rPr>
            </w:pPr>
            <w:r>
              <w:rPr>
                <w:rFonts w:hint="eastAsia" w:asciiTheme="minorEastAsia" w:hAnsiTheme="minorEastAsia" w:cstheme="minorEastAsia"/>
                <w:bCs/>
                <w:sz w:val="24"/>
                <w:szCs w:val="24"/>
              </w:rPr>
              <w:t>(5)为本项目提供招标代理服务的；</w:t>
            </w:r>
          </w:p>
          <w:p>
            <w:pPr>
              <w:autoSpaceDE w:val="0"/>
              <w:autoSpaceDN w:val="0"/>
              <w:adjustRightInd w:val="0"/>
              <w:spacing w:line="400" w:lineRule="exact"/>
              <w:rPr>
                <w:rFonts w:asciiTheme="minorEastAsia" w:hAnsiTheme="minorEastAsia" w:cstheme="minorEastAsia"/>
                <w:bCs/>
                <w:sz w:val="24"/>
                <w:szCs w:val="24"/>
              </w:rPr>
            </w:pPr>
            <w:r>
              <w:rPr>
                <w:rFonts w:hint="eastAsia" w:asciiTheme="minorEastAsia" w:hAnsiTheme="minorEastAsia" w:cstheme="minorEastAsia"/>
                <w:bCs/>
                <w:sz w:val="24"/>
                <w:szCs w:val="24"/>
              </w:rPr>
              <w:t>(6)与本项目的监理人或代建人或招标代理机构同为一个法定代表人的；</w:t>
            </w:r>
          </w:p>
          <w:p>
            <w:pPr>
              <w:autoSpaceDE w:val="0"/>
              <w:autoSpaceDN w:val="0"/>
              <w:adjustRightInd w:val="0"/>
              <w:spacing w:line="400" w:lineRule="exact"/>
              <w:rPr>
                <w:rFonts w:asciiTheme="minorEastAsia" w:hAnsiTheme="minorEastAsia" w:cstheme="minorEastAsia"/>
                <w:bCs/>
                <w:sz w:val="24"/>
                <w:szCs w:val="24"/>
              </w:rPr>
            </w:pPr>
            <w:r>
              <w:rPr>
                <w:rFonts w:hint="eastAsia" w:asciiTheme="minorEastAsia" w:hAnsiTheme="minorEastAsia" w:cstheme="minorEastAsia"/>
                <w:bCs/>
                <w:sz w:val="24"/>
                <w:szCs w:val="24"/>
              </w:rPr>
              <w:t>(7)与本项目的监理人或代建人或招标代理机构相互控股或参股的；</w:t>
            </w:r>
          </w:p>
          <w:p>
            <w:pPr>
              <w:autoSpaceDE w:val="0"/>
              <w:autoSpaceDN w:val="0"/>
              <w:adjustRightInd w:val="0"/>
              <w:spacing w:line="400" w:lineRule="exact"/>
              <w:rPr>
                <w:rFonts w:asciiTheme="minorEastAsia" w:hAnsiTheme="minorEastAsia" w:cstheme="minorEastAsia"/>
                <w:bCs/>
                <w:sz w:val="24"/>
                <w:szCs w:val="24"/>
              </w:rPr>
            </w:pPr>
            <w:r>
              <w:rPr>
                <w:rFonts w:hint="eastAsia" w:asciiTheme="minorEastAsia" w:hAnsiTheme="minorEastAsia" w:cstheme="minorEastAsia"/>
                <w:bCs/>
                <w:sz w:val="24"/>
                <w:szCs w:val="24"/>
              </w:rPr>
              <w:t>(8)与本项目的监理人或代建人或招标代理机构相互任职或工作的；</w:t>
            </w:r>
          </w:p>
          <w:p>
            <w:pPr>
              <w:autoSpaceDE w:val="0"/>
              <w:autoSpaceDN w:val="0"/>
              <w:adjustRightInd w:val="0"/>
              <w:spacing w:line="400" w:lineRule="exact"/>
              <w:rPr>
                <w:rFonts w:asciiTheme="minorEastAsia" w:hAnsiTheme="minorEastAsia" w:cstheme="minorEastAsia"/>
                <w:bCs/>
                <w:sz w:val="24"/>
                <w:szCs w:val="24"/>
              </w:rPr>
            </w:pPr>
            <w:r>
              <w:rPr>
                <w:rFonts w:hint="eastAsia" w:asciiTheme="minorEastAsia" w:hAnsiTheme="minorEastAsia" w:cstheme="minorEastAsia"/>
                <w:bCs/>
                <w:sz w:val="24"/>
                <w:szCs w:val="24"/>
              </w:rPr>
              <w:t>(9)被责令停业的；</w:t>
            </w:r>
          </w:p>
          <w:p>
            <w:pPr>
              <w:autoSpaceDE w:val="0"/>
              <w:autoSpaceDN w:val="0"/>
              <w:adjustRightInd w:val="0"/>
              <w:spacing w:line="400" w:lineRule="exact"/>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(10)被依法暂停或者取消投标资格；</w:t>
            </w:r>
          </w:p>
          <w:p>
            <w:pPr>
              <w:autoSpaceDE w:val="0"/>
              <w:autoSpaceDN w:val="0"/>
              <w:adjustRightInd w:val="0"/>
              <w:spacing w:line="400" w:lineRule="exact"/>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(11)被责令停产停业、暂扣或者吊销许可证、暂扣或者吊销执照；</w:t>
            </w:r>
          </w:p>
          <w:p>
            <w:pPr>
              <w:autoSpaceDE w:val="0"/>
              <w:autoSpaceDN w:val="0"/>
              <w:adjustRightInd w:val="0"/>
              <w:spacing w:line="400" w:lineRule="exact"/>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(12)进入清算程序，或被宣告破产，或其他丧失履约能力的情形；</w:t>
            </w:r>
          </w:p>
          <w:p>
            <w:pPr>
              <w:autoSpaceDE w:val="0"/>
              <w:autoSpaceDN w:val="0"/>
              <w:adjustRightInd w:val="0"/>
              <w:spacing w:line="400" w:lineRule="exact"/>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(13)在最近三年内发生重大质量问题（以相关行业主管部门的行政处罚决定或司法机关出具的有关法律文书为准）；</w:t>
            </w:r>
          </w:p>
          <w:p>
            <w:pPr>
              <w:autoSpaceDE w:val="0"/>
              <w:autoSpaceDN w:val="0"/>
              <w:adjustRightInd w:val="0"/>
              <w:spacing w:line="400" w:lineRule="exact"/>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(14)法律法规或投标人须知前附表规定的其他情形。</w:t>
            </w:r>
          </w:p>
          <w:p>
            <w:pPr>
              <w:spacing w:line="400" w:lineRule="exact"/>
              <w:jc w:val="center"/>
              <w:rPr>
                <w:rFonts w:hint="eastAsia" w:ascii="宋体" w:hAnsi="宋体" w:eastAsia="宋体" w:cs="宋体"/>
                <w:bCs/>
                <w:color w:val="000000"/>
                <w:sz w:val="24"/>
                <w:szCs w:val="24"/>
              </w:rPr>
            </w:pPr>
            <w:r>
              <w:rPr>
                <w:rFonts w:hint="eastAsia" w:asciiTheme="minorEastAsia" w:hAnsiTheme="minorEastAsia" w:cstheme="minorEastAsia"/>
                <w:bCs/>
                <w:color w:val="FF0000"/>
                <w:sz w:val="24"/>
                <w:szCs w:val="24"/>
              </w:rPr>
              <w:t>注：投标文件中</w:t>
            </w:r>
            <w:r>
              <w:rPr>
                <w:rFonts w:hint="eastAsia" w:asciiTheme="minorEastAsia" w:hAnsiTheme="minorEastAsia" w:cstheme="minorEastAsia"/>
                <w:bCs/>
                <w:color w:val="FF0000"/>
                <w:sz w:val="24"/>
                <w:szCs w:val="24"/>
                <w:lang w:eastAsia="zh-CN"/>
              </w:rPr>
              <w:t>的承诺书</w:t>
            </w:r>
            <w:r>
              <w:rPr>
                <w:rFonts w:hint="eastAsia" w:asciiTheme="minorEastAsia" w:hAnsiTheme="minorEastAsia" w:cstheme="minorEastAsia"/>
                <w:bCs/>
                <w:color w:val="FF0000"/>
                <w:sz w:val="24"/>
                <w:szCs w:val="24"/>
              </w:rPr>
              <w:t>须</w:t>
            </w:r>
            <w:r>
              <w:rPr>
                <w:rFonts w:hint="eastAsia" w:asciiTheme="minorEastAsia" w:hAnsiTheme="minorEastAsia" w:cstheme="minorEastAsia"/>
                <w:bCs/>
                <w:color w:val="FF0000"/>
                <w:sz w:val="24"/>
                <w:szCs w:val="24"/>
                <w:lang w:eastAsia="zh-CN"/>
              </w:rPr>
              <w:t>由</w:t>
            </w:r>
            <w:r>
              <w:rPr>
                <w:rFonts w:hint="eastAsia" w:asciiTheme="minorEastAsia" w:hAnsiTheme="minorEastAsia" w:cstheme="minorEastAsia"/>
                <w:bCs/>
                <w:color w:val="FF0000"/>
                <w:sz w:val="24"/>
                <w:szCs w:val="24"/>
              </w:rPr>
              <w:t>法人代表签字并加盖公章</w:t>
            </w:r>
            <w:r>
              <w:rPr>
                <w:rFonts w:hint="eastAsia" w:asciiTheme="minorEastAsia" w:hAnsiTheme="minorEastAsia" w:cstheme="minorEastAsia"/>
                <w:bCs/>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restart"/>
            <w:tcBorders>
              <w:top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p>
            <w:pPr>
              <w:spacing w:line="400" w:lineRule="exact"/>
              <w:jc w:val="center"/>
              <w:rPr>
                <w:rFonts w:hint="eastAsia" w:ascii="宋体" w:hAnsi="宋体" w:eastAsia="宋体" w:cs="宋体"/>
                <w:bCs/>
                <w:color w:val="000000"/>
                <w:sz w:val="24"/>
                <w:szCs w:val="24"/>
                <w:highlight w:val="red"/>
              </w:rPr>
            </w:pPr>
            <w:r>
              <w:rPr>
                <w:rFonts w:hint="eastAsia" w:ascii="宋体" w:hAnsi="宋体" w:eastAsia="宋体" w:cs="宋体"/>
                <w:bCs/>
                <w:color w:val="000000"/>
                <w:sz w:val="24"/>
                <w:szCs w:val="24"/>
              </w:rPr>
              <w:t>1.3</w:t>
            </w:r>
          </w:p>
        </w:tc>
        <w:tc>
          <w:tcPr>
            <w:tcW w:w="870" w:type="dxa"/>
            <w:vMerge w:val="restart"/>
            <w:tcBorders>
              <w:top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响应性评审标准</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投标报价</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Theme="minorEastAsia" w:hAnsiTheme="minorEastAsia" w:cstheme="minorEastAsia"/>
                <w:bCs/>
                <w:color w:val="000000"/>
                <w:sz w:val="24"/>
                <w:szCs w:val="24"/>
              </w:rPr>
              <w:t>本工程投标报价不得</w:t>
            </w:r>
            <w:r>
              <w:rPr>
                <w:rFonts w:hint="eastAsia" w:asciiTheme="minorEastAsia" w:hAnsiTheme="minorEastAsia" w:cstheme="minorEastAsia"/>
                <w:bCs/>
                <w:sz w:val="24"/>
                <w:szCs w:val="24"/>
              </w:rPr>
              <w:t>超过招标控制价</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rPr>
              <w:t>投标报价超过招标控制价将导致投标书被否决</w:t>
            </w:r>
            <w:r>
              <w:rPr>
                <w:rFonts w:hint="eastAsia" w:asciiTheme="minorEastAsia" w:hAnsiTheme="minorEastAsia" w:cstheme="minorEastAsia"/>
                <w:bCs/>
                <w:sz w:val="24"/>
                <w:szCs w:val="24"/>
                <w:lang w:val="en-US" w:eastAsia="zh-CN"/>
              </w:rPr>
              <w:t>,为防止恶意竞争，投标人报价明显过低时评审小组有权要求投标人提供相关证明材料（包括但不限于材料、设备发票及相关采购合同），不提供或不能提供合理的证明材料</w:t>
            </w:r>
            <w:r>
              <w:rPr>
                <w:rFonts w:hint="eastAsia" w:asciiTheme="minorEastAsia" w:hAnsiTheme="minorEastAsia" w:cstheme="minorEastAsia"/>
                <w:bCs/>
                <w:sz w:val="24"/>
                <w:szCs w:val="24"/>
              </w:rPr>
              <w:t>将导致投标书被否决。</w:t>
            </w:r>
            <w:r>
              <w:rPr>
                <w:rFonts w:hint="eastAsia" w:asciiTheme="minorEastAsia" w:hAnsiTheme="minorEastAsia" w:cstheme="minorEastAsia"/>
                <w:bCs/>
                <w:sz w:val="24"/>
                <w:szCs w:val="24"/>
                <w:lang w:val="en-US" w:eastAsia="zh-CN"/>
              </w:rPr>
              <w:t>本项目为设计施工一体化，</w:t>
            </w:r>
            <w:r>
              <w:rPr>
                <w:rFonts w:hint="eastAsia" w:asciiTheme="minorEastAsia" w:hAnsiTheme="minorEastAsia" w:cstheme="minorEastAsia"/>
                <w:b/>
                <w:bCs w:val="0"/>
                <w:sz w:val="24"/>
                <w:szCs w:val="24"/>
                <w:lang w:val="en-US" w:eastAsia="zh-CN"/>
              </w:rPr>
              <w:t>投标人采取包设备材料、包施工安装、包测试、包质量、包工期、包安全、包检测、包技术培训、包验收、包三年的免费维修保养，以固定总价包干的方式承包本工程范围的内容</w:t>
            </w:r>
            <w:r>
              <w:rPr>
                <w:rFonts w:hint="eastAsia" w:asciiTheme="minorEastAsia" w:hAnsiTheme="minorEastAsia" w:cstheme="minorEastAsia"/>
                <w:bCs/>
                <w:sz w:val="24"/>
                <w:szCs w:val="24"/>
                <w:lang w:val="en-US" w:eastAsia="zh-CN"/>
              </w:rPr>
              <w:t>，投标人报价应包括项目规定的所有内容(包干)。对于投标人设计方案有不满足招标人的预期要求，中标后施工阶段中标人有义务进行设计调整，所增加的工程及材料费用由投标人自行承担。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top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top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投标内容</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招标需求中的全部内容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工期</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满足招标文件要求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质量标准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符合现行国家有关工程施工验收规范和标准的合格工程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投标有效期</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180天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投标保证金</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heme="minorEastAsia" w:hAnsiTheme="minorEastAsia" w:cstheme="minorEastAsia"/>
                <w:bCs/>
                <w:color w:val="FF0000"/>
                <w:sz w:val="24"/>
                <w:szCs w:val="24"/>
              </w:rPr>
            </w:pPr>
            <w:r>
              <w:rPr>
                <w:rFonts w:hint="eastAsia" w:asciiTheme="minorEastAsia" w:hAnsiTheme="minorEastAsia" w:cstheme="minorEastAsia"/>
                <w:bCs/>
                <w:color w:val="FF0000"/>
                <w:sz w:val="24"/>
                <w:szCs w:val="24"/>
              </w:rPr>
              <w:t>标书内附投标保证金转款凭证复印件</w:t>
            </w:r>
          </w:p>
          <w:p>
            <w:pPr>
              <w:spacing w:line="400" w:lineRule="exact"/>
              <w:rPr>
                <w:rFonts w:hint="eastAsia" w:ascii="宋体" w:hAnsi="宋体" w:eastAsia="宋体" w:cs="宋体"/>
                <w:bCs/>
                <w:color w:val="000000"/>
                <w:sz w:val="24"/>
                <w:szCs w:val="24"/>
              </w:rPr>
            </w:pPr>
            <w:r>
              <w:rPr>
                <w:rFonts w:hint="eastAsia" w:asciiTheme="minorEastAsia" w:hAnsiTheme="minorEastAsia" w:cstheme="minorEastAsia"/>
                <w:bCs/>
                <w:color w:val="000000"/>
                <w:sz w:val="24"/>
                <w:szCs w:val="24"/>
              </w:rPr>
              <w:t>投标保证金须从投标人的基本账户转出，标书内附加盖公章的复印件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权利义务</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投标函中承诺的符合 “合同条款及格式”规定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highlight w:val="red"/>
              </w:rPr>
            </w:pPr>
          </w:p>
        </w:tc>
        <w:tc>
          <w:tcPr>
            <w:tcW w:w="870" w:type="dxa"/>
            <w:vMerge w:val="continue"/>
            <w:tcBorders>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承包人建议</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投标函中承诺的符合 “技术标准和要求”规定。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88"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条款号</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条款内容</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88"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分值构成</w:t>
            </w:r>
          </w:p>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(总分100分)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sz w:val="24"/>
                <w:szCs w:val="24"/>
              </w:rPr>
            </w:pPr>
            <w:r>
              <w:rPr>
                <w:rFonts w:hint="eastAsia" w:ascii="宋体" w:hAnsi="宋体" w:eastAsia="宋体" w:cs="宋体"/>
                <w:bCs/>
                <w:sz w:val="24"/>
                <w:szCs w:val="24"/>
              </w:rPr>
              <w:t>承包人建议书：1</w:t>
            </w:r>
            <w:r>
              <w:rPr>
                <w:rFonts w:hint="eastAsia" w:ascii="宋体" w:hAnsi="宋体" w:eastAsia="宋体" w:cs="宋体"/>
                <w:bCs/>
                <w:sz w:val="24"/>
                <w:szCs w:val="24"/>
                <w:lang w:val="en-US" w:eastAsia="zh-CN"/>
              </w:rPr>
              <w:t>5</w:t>
            </w:r>
            <w:r>
              <w:rPr>
                <w:rFonts w:hint="eastAsia" w:ascii="宋体" w:hAnsi="宋体" w:eastAsia="宋体" w:cs="宋体"/>
                <w:bCs/>
                <w:sz w:val="24"/>
                <w:szCs w:val="24"/>
              </w:rPr>
              <w:t xml:space="preserve">分 </w:t>
            </w:r>
          </w:p>
          <w:p>
            <w:pPr>
              <w:spacing w:line="400" w:lineRule="exact"/>
              <w:rPr>
                <w:rFonts w:hint="eastAsia" w:ascii="宋体" w:hAnsi="宋体" w:eastAsia="宋体" w:cs="宋体"/>
                <w:bCs/>
                <w:sz w:val="24"/>
                <w:szCs w:val="24"/>
              </w:rPr>
            </w:pPr>
            <w:r>
              <w:rPr>
                <w:rFonts w:hint="eastAsia" w:ascii="宋体" w:hAnsi="宋体" w:eastAsia="宋体" w:cs="宋体"/>
                <w:bCs/>
                <w:sz w:val="24"/>
                <w:szCs w:val="24"/>
              </w:rPr>
              <w:t>资信业绩部分：2</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w:t>
            </w:r>
          </w:p>
          <w:p>
            <w:pPr>
              <w:spacing w:line="400" w:lineRule="exact"/>
              <w:rPr>
                <w:rFonts w:hint="eastAsia" w:ascii="宋体" w:hAnsi="宋体" w:eastAsia="宋体" w:cs="宋体"/>
                <w:bCs/>
                <w:sz w:val="24"/>
                <w:szCs w:val="24"/>
              </w:rPr>
            </w:pPr>
            <w:r>
              <w:rPr>
                <w:rFonts w:hint="eastAsia" w:ascii="宋体" w:hAnsi="宋体" w:eastAsia="宋体" w:cs="宋体"/>
                <w:bCs/>
                <w:sz w:val="24"/>
                <w:szCs w:val="24"/>
              </w:rPr>
              <w:t>承包人实施方案：1</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w:t>
            </w:r>
          </w:p>
          <w:p>
            <w:pPr>
              <w:spacing w:line="400" w:lineRule="exact"/>
              <w:rPr>
                <w:rFonts w:hint="eastAsia" w:ascii="宋体" w:hAnsi="宋体" w:eastAsia="宋体" w:cs="宋体"/>
                <w:bCs/>
                <w:sz w:val="24"/>
                <w:szCs w:val="24"/>
              </w:rPr>
            </w:pPr>
            <w:r>
              <w:rPr>
                <w:rFonts w:hint="eastAsia" w:ascii="宋体" w:hAnsi="宋体" w:eastAsia="宋体" w:cs="宋体"/>
                <w:bCs/>
                <w:sz w:val="24"/>
                <w:szCs w:val="24"/>
              </w:rPr>
              <w:t>投标报价：30分</w:t>
            </w:r>
          </w:p>
          <w:p>
            <w:pPr>
              <w:spacing w:line="400" w:lineRule="exact"/>
              <w:rPr>
                <w:rFonts w:hint="eastAsia" w:ascii="宋体" w:hAnsi="宋体" w:eastAsia="宋体" w:cs="宋体"/>
                <w:bCs/>
                <w:sz w:val="24"/>
                <w:szCs w:val="24"/>
              </w:rPr>
            </w:pPr>
            <w:r>
              <w:rPr>
                <w:rFonts w:hint="eastAsia" w:ascii="宋体" w:hAnsi="宋体" w:eastAsia="宋体" w:cs="宋体"/>
                <w:bCs/>
                <w:sz w:val="24"/>
                <w:szCs w:val="24"/>
              </w:rPr>
              <w:t>技术优越性：</w:t>
            </w:r>
            <w:r>
              <w:rPr>
                <w:rFonts w:hint="eastAsia" w:ascii="宋体" w:hAnsi="宋体" w:eastAsia="宋体" w:cs="宋体"/>
                <w:bCs/>
                <w:sz w:val="24"/>
                <w:szCs w:val="24"/>
                <w:lang w:val="en-US" w:eastAsia="zh-CN"/>
              </w:rPr>
              <w:t>18</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88" w:type="dxa"/>
            <w:gridSpan w:val="2"/>
            <w:tcBorders>
              <w:top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条款号</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评分因素</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18" w:type="dxa"/>
            <w:vMerge w:val="restart"/>
            <w:tcBorders>
              <w:top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87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承包人建议书评分标准</w:t>
            </w:r>
          </w:p>
        </w:tc>
        <w:tc>
          <w:tcPr>
            <w:tcW w:w="1282" w:type="dxa"/>
            <w:vMerge w:val="restart"/>
            <w:tcBorders>
              <w:top w:val="single" w:color="auto" w:sz="4" w:space="0"/>
              <w:left w:val="single" w:color="auto" w:sz="4" w:space="0"/>
              <w:right w:val="single" w:color="auto" w:sz="4" w:space="0"/>
            </w:tcBorders>
            <w:noWrap w:val="0"/>
            <w:vAlign w:val="center"/>
          </w:tcPr>
          <w:p>
            <w:pPr>
              <w:spacing w:line="400" w:lineRule="exact"/>
              <w:jc w:val="center"/>
              <w:textAlignment w:val="center"/>
              <w:rPr>
                <w:rFonts w:hint="eastAsia" w:ascii="宋体" w:hAnsi="宋体" w:eastAsia="宋体" w:cs="宋体"/>
                <w:bCs/>
                <w:sz w:val="24"/>
                <w:szCs w:val="24"/>
              </w:rPr>
            </w:pPr>
          </w:p>
          <w:p>
            <w:pPr>
              <w:spacing w:line="400" w:lineRule="exact"/>
              <w:jc w:val="center"/>
              <w:textAlignment w:val="center"/>
              <w:rPr>
                <w:rFonts w:hint="eastAsia" w:ascii="宋体" w:hAnsi="宋体" w:eastAsia="宋体" w:cs="宋体"/>
                <w:bCs/>
                <w:sz w:val="24"/>
                <w:szCs w:val="24"/>
              </w:rPr>
            </w:pPr>
          </w:p>
          <w:p>
            <w:pPr>
              <w:spacing w:line="400" w:lineRule="exact"/>
              <w:jc w:val="center"/>
              <w:textAlignment w:val="center"/>
              <w:rPr>
                <w:rFonts w:hint="eastAsia" w:ascii="宋体" w:hAnsi="宋体" w:eastAsia="宋体" w:cs="宋体"/>
                <w:bCs/>
                <w:sz w:val="24"/>
                <w:szCs w:val="24"/>
              </w:rPr>
            </w:pPr>
            <w:r>
              <w:rPr>
                <w:rFonts w:hint="eastAsia" w:ascii="宋体" w:hAnsi="宋体" w:eastAsia="宋体" w:cs="宋体"/>
                <w:bCs/>
                <w:sz w:val="24"/>
                <w:szCs w:val="24"/>
              </w:rPr>
              <w:t>设计图纸</w:t>
            </w:r>
          </w:p>
          <w:p>
            <w:pPr>
              <w:spacing w:line="400" w:lineRule="exact"/>
              <w:jc w:val="center"/>
              <w:textAlignment w:val="center"/>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heme="minorEastAsia" w:hAnsiTheme="minorEastAsia" w:cstheme="minorEastAsia"/>
                <w:bCs/>
                <w:sz w:val="24"/>
                <w:szCs w:val="24"/>
              </w:rPr>
            </w:pPr>
            <w:r>
              <w:rPr>
                <w:rFonts w:hint="eastAsia" w:asciiTheme="minorEastAsia" w:hAnsiTheme="minorEastAsia" w:cstheme="minorEastAsia"/>
                <w:bCs/>
                <w:sz w:val="24"/>
                <w:szCs w:val="24"/>
              </w:rPr>
              <w:t>技术需求文件要求的建设内容和建设规模在设计方案中的落实情况，特别是机房动力（供电、供冷）设施布局、平面布局、机房整体工艺流程等合理性，机房工艺经验等。</w:t>
            </w:r>
          </w:p>
          <w:p>
            <w:pPr>
              <w:spacing w:line="400" w:lineRule="exact"/>
              <w:jc w:val="left"/>
              <w:rPr>
                <w:rFonts w:hint="eastAsia" w:ascii="宋体" w:hAnsi="宋体" w:eastAsia="宋体" w:cs="宋体"/>
                <w:bCs/>
                <w:sz w:val="24"/>
                <w:szCs w:val="24"/>
              </w:rPr>
            </w:pPr>
            <w:r>
              <w:rPr>
                <w:rFonts w:hint="eastAsia" w:asciiTheme="minorEastAsia" w:hAnsiTheme="minorEastAsia" w:cstheme="minorEastAsia"/>
                <w:b/>
                <w:sz w:val="24"/>
                <w:szCs w:val="24"/>
              </w:rPr>
              <w:t>分值构成：</w:t>
            </w:r>
            <w:r>
              <w:rPr>
                <w:rFonts w:hint="eastAsia" w:asciiTheme="minorEastAsia" w:hAnsiTheme="minorEastAsia" w:cstheme="minorEastAsia"/>
                <w:bCs/>
                <w:sz w:val="24"/>
                <w:szCs w:val="24"/>
              </w:rPr>
              <w:t>优：2分，一般：1分，差得0分。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rPr>
            </w:pP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heme="minorEastAsia" w:hAnsiTheme="minorEastAsia" w:cstheme="minorEastAsia"/>
                <w:bCs/>
                <w:sz w:val="24"/>
                <w:szCs w:val="24"/>
              </w:rPr>
            </w:pPr>
            <w:r>
              <w:rPr>
                <w:rFonts w:hint="eastAsia" w:asciiTheme="minorEastAsia" w:hAnsiTheme="minorEastAsia" w:cstheme="minorEastAsia"/>
                <w:bCs/>
                <w:sz w:val="24"/>
                <w:szCs w:val="24"/>
              </w:rPr>
              <w:t>设计深化图纸是否详尽完备、技术是否先进实用、是否有针对性、是否易于实施、是否能提高系统可靠性和安全性能、节能环保等。</w:t>
            </w:r>
          </w:p>
          <w:p>
            <w:pPr>
              <w:spacing w:line="400" w:lineRule="exact"/>
              <w:rPr>
                <w:rFonts w:hint="eastAsia" w:ascii="宋体" w:hAnsi="宋体" w:eastAsia="宋体" w:cs="宋体"/>
                <w:bCs/>
                <w:sz w:val="24"/>
                <w:szCs w:val="24"/>
              </w:rPr>
            </w:pPr>
            <w:r>
              <w:rPr>
                <w:rFonts w:hint="eastAsia" w:asciiTheme="minorEastAsia" w:hAnsiTheme="minorEastAsia" w:cstheme="minorEastAsia"/>
                <w:b/>
                <w:sz w:val="24"/>
                <w:szCs w:val="24"/>
              </w:rPr>
              <w:t>分值构成：</w:t>
            </w:r>
            <w:r>
              <w:rPr>
                <w:rFonts w:hint="eastAsia" w:asciiTheme="minorEastAsia" w:hAnsiTheme="minorEastAsia" w:cstheme="minorEastAsia"/>
                <w:bCs/>
                <w:sz w:val="24"/>
                <w:szCs w:val="24"/>
              </w:rPr>
              <w:t>优：1分，差得0分。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rPr>
            </w:pP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heme="minorEastAsia" w:hAnsiTheme="minorEastAsia" w:cstheme="minorEastAsia"/>
                <w:bCs/>
                <w:sz w:val="24"/>
                <w:szCs w:val="24"/>
              </w:rPr>
            </w:pPr>
            <w:r>
              <w:rPr>
                <w:rFonts w:hint="eastAsia" w:asciiTheme="minorEastAsia" w:hAnsiTheme="minorEastAsia" w:cstheme="minorEastAsia"/>
                <w:bCs/>
                <w:sz w:val="24"/>
                <w:szCs w:val="24"/>
              </w:rPr>
              <w:t>有提供机房内重点区域优化的效果图,数量、质量满足要求，有亮点。</w:t>
            </w:r>
          </w:p>
          <w:p>
            <w:pPr>
              <w:spacing w:line="400" w:lineRule="exact"/>
              <w:rPr>
                <w:rFonts w:hint="eastAsia" w:ascii="宋体" w:hAnsi="宋体" w:eastAsia="宋体" w:cs="宋体"/>
                <w:bCs/>
                <w:sz w:val="24"/>
                <w:szCs w:val="24"/>
              </w:rPr>
            </w:pPr>
            <w:r>
              <w:rPr>
                <w:rFonts w:hint="eastAsia" w:asciiTheme="minorEastAsia" w:hAnsiTheme="minorEastAsia" w:cstheme="minorEastAsia"/>
                <w:b/>
                <w:sz w:val="24"/>
                <w:szCs w:val="24"/>
              </w:rPr>
              <w:t>分值构成：</w:t>
            </w:r>
            <w:r>
              <w:rPr>
                <w:rFonts w:hint="eastAsia" w:asciiTheme="minorEastAsia" w:hAnsiTheme="minorEastAsia" w:cstheme="minorEastAsia"/>
                <w:bCs/>
                <w:sz w:val="24"/>
                <w:szCs w:val="24"/>
              </w:rPr>
              <w:t>优：1分，差得0分。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工程详细说明</w:t>
            </w:r>
          </w:p>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7</w:t>
            </w:r>
            <w:r>
              <w:rPr>
                <w:rFonts w:hint="eastAsia" w:ascii="宋体" w:hAnsi="宋体" w:eastAsia="宋体" w:cs="宋体"/>
                <w:bCs/>
                <w:sz w:val="24"/>
                <w:szCs w:val="24"/>
              </w:rPr>
              <w:t>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heme="minorEastAsia" w:hAnsiTheme="minorEastAsia" w:cstheme="minorEastAsia"/>
                <w:bCs/>
                <w:sz w:val="24"/>
                <w:szCs w:val="24"/>
              </w:rPr>
            </w:pPr>
            <w:r>
              <w:rPr>
                <w:rFonts w:hint="eastAsia" w:asciiTheme="minorEastAsia" w:hAnsiTheme="minorEastAsia" w:cstheme="minorEastAsia"/>
                <w:bCs/>
                <w:sz w:val="24"/>
                <w:szCs w:val="24"/>
              </w:rPr>
              <w:t>在确保满足招标基本条件要求下，对降低工程造价有优化的建议。</w:t>
            </w:r>
          </w:p>
          <w:p>
            <w:pPr>
              <w:spacing w:line="400" w:lineRule="exact"/>
              <w:rPr>
                <w:rFonts w:hint="eastAsia" w:ascii="宋体" w:hAnsi="宋体" w:eastAsia="宋体" w:cs="宋体"/>
                <w:bCs/>
                <w:sz w:val="24"/>
                <w:szCs w:val="24"/>
              </w:rPr>
            </w:pPr>
            <w:r>
              <w:rPr>
                <w:rFonts w:hint="eastAsia" w:asciiTheme="minorEastAsia" w:hAnsiTheme="minorEastAsia" w:cstheme="minorEastAsia"/>
                <w:b/>
                <w:sz w:val="24"/>
                <w:szCs w:val="24"/>
              </w:rPr>
              <w:t>分值构成：</w:t>
            </w:r>
            <w:r>
              <w:rPr>
                <w:rFonts w:hint="eastAsia" w:asciiTheme="minorEastAsia" w:hAnsiTheme="minorEastAsia" w:cstheme="minorEastAsia"/>
                <w:bCs/>
                <w:sz w:val="24"/>
                <w:szCs w:val="24"/>
              </w:rPr>
              <w:t>有：1分，无：得0分。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rPr>
            </w:pP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heme="minorEastAsia" w:hAnsiTheme="minorEastAsia" w:cstheme="minorEastAsia"/>
                <w:bCs/>
                <w:sz w:val="24"/>
                <w:szCs w:val="24"/>
              </w:rPr>
            </w:pPr>
            <w:r>
              <w:rPr>
                <w:rFonts w:hint="eastAsia" w:asciiTheme="minorEastAsia" w:hAnsiTheme="minorEastAsia" w:cstheme="minorEastAsia"/>
                <w:bCs/>
                <w:sz w:val="24"/>
                <w:szCs w:val="24"/>
              </w:rPr>
              <w:t>讲标能够将工程设计特点、优点、施工方案讲解清楚，重点突出，讲标时间控制在15分钟内。</w:t>
            </w:r>
          </w:p>
          <w:p>
            <w:pPr>
              <w:spacing w:line="400" w:lineRule="exact"/>
              <w:rPr>
                <w:rFonts w:hint="eastAsia" w:ascii="宋体" w:hAnsi="宋体" w:eastAsia="宋体" w:cs="宋体"/>
                <w:b/>
                <w:sz w:val="24"/>
                <w:szCs w:val="24"/>
              </w:rPr>
            </w:pPr>
            <w:r>
              <w:rPr>
                <w:rFonts w:hint="eastAsia" w:asciiTheme="minorEastAsia" w:hAnsiTheme="minorEastAsia" w:cstheme="minorEastAsia"/>
                <w:b/>
                <w:sz w:val="24"/>
                <w:szCs w:val="24"/>
              </w:rPr>
              <w:t>分值构成：</w:t>
            </w:r>
            <w:r>
              <w:rPr>
                <w:rFonts w:hint="eastAsia" w:asciiTheme="minorEastAsia" w:hAnsiTheme="minorEastAsia" w:cstheme="minorEastAsia"/>
                <w:bCs/>
                <w:sz w:val="24"/>
                <w:szCs w:val="24"/>
              </w:rPr>
              <w:t>优：4分，一般：2分，差得0分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rPr>
            </w:pP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heme="minorEastAsia" w:hAnsiTheme="minorEastAsia" w:cstheme="minorEastAsia"/>
                <w:bCs/>
                <w:sz w:val="24"/>
                <w:szCs w:val="24"/>
              </w:rPr>
            </w:pPr>
            <w:r>
              <w:rPr>
                <w:rFonts w:hint="eastAsia" w:asciiTheme="minorEastAsia" w:hAnsiTheme="minorEastAsia" w:cstheme="minorEastAsia"/>
                <w:bCs/>
                <w:sz w:val="24"/>
                <w:szCs w:val="24"/>
              </w:rPr>
              <w:t>按招标要求提供对整体技术方案和实施方案考虑，符合招标人的使用需求。</w:t>
            </w:r>
          </w:p>
          <w:p>
            <w:pPr>
              <w:spacing w:line="400" w:lineRule="exact"/>
              <w:rPr>
                <w:rFonts w:hint="eastAsia" w:ascii="宋体" w:hAnsi="宋体" w:eastAsia="宋体" w:cs="宋体"/>
                <w:bCs/>
                <w:sz w:val="24"/>
                <w:szCs w:val="24"/>
              </w:rPr>
            </w:pPr>
            <w:r>
              <w:rPr>
                <w:rFonts w:hint="eastAsia" w:asciiTheme="minorEastAsia" w:hAnsiTheme="minorEastAsia" w:cstheme="minorEastAsia"/>
                <w:b/>
                <w:sz w:val="24"/>
                <w:szCs w:val="24"/>
              </w:rPr>
              <w:t>分值构成：</w:t>
            </w:r>
            <w:r>
              <w:rPr>
                <w:rFonts w:hint="eastAsia" w:asciiTheme="minorEastAsia" w:hAnsiTheme="minorEastAsia" w:cstheme="minorEastAsia"/>
                <w:bCs/>
                <w:sz w:val="24"/>
                <w:szCs w:val="24"/>
              </w:rPr>
              <w:t>优：2分，一般：1分，差得0分。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0" w:hRule="atLeast"/>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设备方案</w:t>
            </w:r>
          </w:p>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heme="minorEastAsia" w:hAnsiTheme="minorEastAsia" w:cstheme="minorEastAsia"/>
                <w:bCs/>
                <w:sz w:val="24"/>
                <w:szCs w:val="24"/>
              </w:rPr>
            </w:pPr>
            <w:r>
              <w:rPr>
                <w:rFonts w:hint="eastAsia" w:asciiTheme="minorEastAsia" w:hAnsiTheme="minorEastAsia" w:cstheme="minorEastAsia"/>
                <w:bCs/>
                <w:sz w:val="24"/>
                <w:szCs w:val="24"/>
              </w:rPr>
              <w:t>对本项目中机房动力（UPS、精密空调）设备厂商，</w:t>
            </w:r>
            <w:r>
              <w:rPr>
                <w:rFonts w:hint="eastAsia" w:asciiTheme="minorEastAsia" w:hAnsiTheme="minorEastAsia" w:cstheme="minorEastAsia"/>
                <w:bCs/>
                <w:color w:val="auto"/>
                <w:sz w:val="24"/>
                <w:szCs w:val="24"/>
              </w:rPr>
              <w:t>如在江西省设有分公司的，并承诺提供分公司营业执照复印件及售后服务承诺</w:t>
            </w:r>
            <w:r>
              <w:rPr>
                <w:rFonts w:hint="eastAsia" w:asciiTheme="minorEastAsia" w:hAnsiTheme="minorEastAsia" w:cstheme="minorEastAsia"/>
                <w:bCs/>
                <w:sz w:val="24"/>
                <w:szCs w:val="24"/>
              </w:rPr>
              <w:t>和培训方案加盖制造商公章佐证，得</w:t>
            </w:r>
            <w:r>
              <w:rPr>
                <w:rFonts w:hint="eastAsia" w:asciiTheme="minorEastAsia" w:hAnsiTheme="minorEastAsia" w:cstheme="minorEastAsia"/>
                <w:bCs/>
                <w:sz w:val="24"/>
                <w:szCs w:val="24"/>
                <w:lang w:val="en-US" w:eastAsia="zh-CN"/>
              </w:rPr>
              <w:t>2</w:t>
            </w:r>
            <w:r>
              <w:rPr>
                <w:rFonts w:hint="eastAsia" w:asciiTheme="minorEastAsia" w:hAnsiTheme="minorEastAsia" w:cstheme="minorEastAsia"/>
                <w:bCs/>
                <w:sz w:val="24"/>
                <w:szCs w:val="24"/>
              </w:rPr>
              <w:t>分。不提供或提供不全</w:t>
            </w:r>
            <w:r>
              <w:rPr>
                <w:rFonts w:hint="eastAsia" w:asciiTheme="minorEastAsia" w:hAnsiTheme="minorEastAsia" w:cstheme="minorEastAsia"/>
                <w:bCs/>
                <w:sz w:val="24"/>
                <w:szCs w:val="24"/>
                <w:lang w:eastAsia="zh-CN"/>
              </w:rPr>
              <w:t>不得分</w:t>
            </w:r>
            <w:r>
              <w:rPr>
                <w:rFonts w:hint="eastAsia" w:asciiTheme="minorEastAsia" w:hAnsiTheme="minorEastAsia" w:cstheme="minorEastAsia"/>
                <w:bCs/>
                <w:sz w:val="24"/>
                <w:szCs w:val="24"/>
              </w:rPr>
              <w:t>。承诺在本项目实施期间，在江西省内设立分公司或办事处的，如能提供加盖公司公章的承诺函，可得1分。</w:t>
            </w:r>
          </w:p>
          <w:p>
            <w:pPr>
              <w:spacing w:line="400" w:lineRule="exact"/>
              <w:rPr>
                <w:rFonts w:hint="eastAsia" w:ascii="宋体" w:hAnsi="宋体" w:eastAsia="宋体" w:cs="宋体"/>
                <w:bCs/>
                <w:sz w:val="24"/>
                <w:szCs w:val="24"/>
                <w:highlight w:val="none"/>
              </w:rPr>
            </w:pPr>
            <w:r>
              <w:rPr>
                <w:rFonts w:hint="eastAsia" w:asciiTheme="minorEastAsia" w:hAnsiTheme="minorEastAsia" w:cstheme="minorEastAsia"/>
                <w:b/>
                <w:sz w:val="24"/>
                <w:szCs w:val="24"/>
              </w:rPr>
              <w:t>分值构成：</w:t>
            </w:r>
            <w:r>
              <w:rPr>
                <w:rFonts w:hint="eastAsia" w:asciiTheme="minorEastAsia" w:hAnsiTheme="minorEastAsia" w:cstheme="minorEastAsia"/>
                <w:bCs/>
                <w:sz w:val="24"/>
                <w:szCs w:val="24"/>
              </w:rPr>
              <w:t>不提供或提供不全</w:t>
            </w:r>
            <w:r>
              <w:rPr>
                <w:rFonts w:hint="eastAsia" w:asciiTheme="minorEastAsia" w:hAnsiTheme="minorEastAsia" w:cstheme="minorEastAsia"/>
                <w:bCs/>
                <w:sz w:val="24"/>
                <w:szCs w:val="24"/>
                <w:lang w:eastAsia="zh-CN"/>
              </w:rPr>
              <w:t>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8" w:type="dxa"/>
            <w:vMerge w:val="continue"/>
            <w:tcBorders>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现场勘察</w:t>
            </w:r>
          </w:p>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heme="minorEastAsia" w:hAnsiTheme="minorEastAsia" w:cstheme="minorEastAsia"/>
                <w:bCs/>
                <w:sz w:val="24"/>
                <w:szCs w:val="24"/>
              </w:rPr>
            </w:pPr>
            <w:r>
              <w:rPr>
                <w:rFonts w:hint="eastAsia" w:asciiTheme="minorEastAsia" w:hAnsiTheme="minorEastAsia" w:cstheme="minorEastAsia"/>
                <w:bCs/>
                <w:sz w:val="24"/>
                <w:szCs w:val="24"/>
              </w:rPr>
              <w:t>本项目为设计与施工一体化项目，为确保投标人对项目建设内容有充分的理解，保障项目设计方案和实施方案的准确性，投标人务必在</w:t>
            </w:r>
            <w:r>
              <w:rPr>
                <w:rFonts w:hint="eastAsia" w:asciiTheme="minorEastAsia" w:hAnsiTheme="minorEastAsia" w:cstheme="minorEastAsia"/>
                <w:b/>
                <w:sz w:val="24"/>
                <w:szCs w:val="24"/>
              </w:rPr>
              <w:t>投标截止时间10天前</w:t>
            </w:r>
            <w:r>
              <w:rPr>
                <w:rFonts w:hint="eastAsia" w:asciiTheme="minorEastAsia" w:hAnsiTheme="minorEastAsia" w:cstheme="minorEastAsia"/>
                <w:bCs/>
                <w:sz w:val="24"/>
                <w:szCs w:val="24"/>
              </w:rPr>
              <w:t>到南康机房现场勘察。</w:t>
            </w:r>
          </w:p>
          <w:p>
            <w:pPr>
              <w:spacing w:line="400" w:lineRule="exact"/>
              <w:rPr>
                <w:rFonts w:hint="eastAsia" w:ascii="宋体" w:hAnsi="宋体" w:eastAsia="宋体" w:cs="宋体"/>
                <w:b/>
                <w:sz w:val="24"/>
                <w:szCs w:val="24"/>
                <w:highlight w:val="none"/>
              </w:rPr>
            </w:pPr>
            <w:r>
              <w:rPr>
                <w:rFonts w:hint="eastAsia" w:asciiTheme="minorEastAsia" w:hAnsiTheme="minorEastAsia" w:cstheme="minorEastAsia"/>
                <w:b/>
                <w:sz w:val="24"/>
                <w:szCs w:val="24"/>
              </w:rPr>
              <w:t>评审依据：</w:t>
            </w:r>
            <w:r>
              <w:rPr>
                <w:rFonts w:hint="eastAsia" w:asciiTheme="minorEastAsia" w:hAnsiTheme="minorEastAsia" w:cstheme="minorEastAsia"/>
                <w:bCs/>
                <w:sz w:val="24"/>
                <w:szCs w:val="24"/>
              </w:rPr>
              <w:t>提供南康机房现场勘察确认书的(有科技部负责该项目相关人员签字，并加盖科技部公章)，得2分，没有的得0分。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6" w:hRule="atLeast"/>
          <w:jc w:val="center"/>
        </w:trPr>
        <w:tc>
          <w:tcPr>
            <w:tcW w:w="818" w:type="dxa"/>
            <w:vMerge w:val="restart"/>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870" w:type="dxa"/>
            <w:vMerge w:val="restart"/>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p>
            <w:pPr>
              <w:spacing w:line="400" w:lineRule="exact"/>
              <w:jc w:val="center"/>
              <w:rPr>
                <w:rFonts w:hint="eastAsia" w:ascii="宋体" w:hAnsi="宋体" w:eastAsia="宋体" w:cs="宋体"/>
                <w:bCs/>
                <w:color w:val="000000"/>
                <w:sz w:val="24"/>
                <w:szCs w:val="24"/>
              </w:rPr>
            </w:pPr>
          </w:p>
          <w:p>
            <w:pPr>
              <w:spacing w:line="400" w:lineRule="exact"/>
              <w:jc w:val="center"/>
              <w:rPr>
                <w:rFonts w:hint="eastAsia" w:ascii="宋体" w:hAnsi="宋体" w:eastAsia="宋体" w:cs="宋体"/>
                <w:bCs/>
                <w:color w:val="000000"/>
                <w:sz w:val="24"/>
                <w:szCs w:val="24"/>
              </w:rPr>
            </w:pPr>
          </w:p>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资信业绩评分标准</w:t>
            </w:r>
          </w:p>
        </w:tc>
        <w:tc>
          <w:tcPr>
            <w:tcW w:w="1282"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类似项目业绩</w:t>
            </w:r>
          </w:p>
          <w:p>
            <w:pPr>
              <w:spacing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（12分）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heme="minorEastAsia" w:hAnsiTheme="minorEastAsia" w:cstheme="minorEastAsia"/>
                <w:bCs/>
                <w:color w:val="000000"/>
                <w:sz w:val="24"/>
                <w:szCs w:val="24"/>
              </w:rPr>
            </w:pPr>
            <w:r>
              <w:rPr>
                <w:rFonts w:hint="eastAsia" w:asciiTheme="minorEastAsia" w:hAnsiTheme="minorEastAsia" w:cstheme="minorEastAsia"/>
                <w:b/>
                <w:sz w:val="24"/>
                <w:szCs w:val="24"/>
              </w:rPr>
              <w:t>分值构成：</w:t>
            </w:r>
            <w:r>
              <w:rPr>
                <w:rFonts w:hint="eastAsia" w:asciiTheme="minorEastAsia" w:hAnsiTheme="minorEastAsia" w:cstheme="minorEastAsia"/>
                <w:bCs/>
                <w:color w:val="000000"/>
                <w:sz w:val="24"/>
                <w:szCs w:val="24"/>
              </w:rPr>
              <w:t>满足招标要求条件，具有类似规模设计和施工总承包能力，提供近2015年至今，单个合同金额至少1000(含)万金融行业数据中心机房建设项目业绩。设计与施工一体的非分包业绩共</w:t>
            </w:r>
            <w:r>
              <w:rPr>
                <w:rFonts w:hint="eastAsia" w:asciiTheme="minorEastAsia" w:hAnsiTheme="minorEastAsia" w:cstheme="minorEastAsia"/>
                <w:bCs/>
                <w:color w:val="000000"/>
                <w:sz w:val="24"/>
                <w:szCs w:val="24"/>
                <w:lang w:val="en-US" w:eastAsia="zh-CN"/>
              </w:rPr>
              <w:t>2</w:t>
            </w:r>
            <w:r>
              <w:rPr>
                <w:rFonts w:hint="eastAsia" w:asciiTheme="minorEastAsia" w:hAnsiTheme="minorEastAsia" w:cstheme="minorEastAsia"/>
                <w:bCs/>
                <w:color w:val="000000"/>
                <w:sz w:val="24"/>
                <w:szCs w:val="24"/>
              </w:rPr>
              <w:t>个，每个业绩得3分，没有业绩得0分。施工业绩(非分包)共3个，每个业绩得2分，没有业绩得0分。</w:t>
            </w:r>
          </w:p>
          <w:p>
            <w:pPr>
              <w:spacing w:line="400" w:lineRule="exact"/>
              <w:jc w:val="left"/>
              <w:rPr>
                <w:rFonts w:hint="eastAsia" w:ascii="宋体" w:hAnsi="宋体" w:eastAsia="宋体" w:cs="宋体"/>
                <w:b/>
                <w:bCs w:val="0"/>
                <w:color w:val="auto"/>
                <w:sz w:val="24"/>
                <w:szCs w:val="24"/>
                <w:lang w:eastAsia="zh-CN"/>
              </w:rPr>
            </w:pPr>
            <w:r>
              <w:rPr>
                <w:rFonts w:hint="eastAsia" w:asciiTheme="minorEastAsia" w:hAnsiTheme="minorEastAsia" w:cstheme="minorEastAsia"/>
                <w:b/>
                <w:color w:val="000000"/>
                <w:sz w:val="24"/>
                <w:szCs w:val="24"/>
              </w:rPr>
              <w:t>评审依据：</w:t>
            </w:r>
            <w:r>
              <w:rPr>
                <w:rFonts w:hint="eastAsia" w:asciiTheme="minorEastAsia" w:hAnsiTheme="minorEastAsia" w:cstheme="minorEastAsia"/>
                <w:bCs/>
                <w:color w:val="000000"/>
                <w:sz w:val="24"/>
                <w:szCs w:val="24"/>
              </w:rPr>
              <w:t>提供业绩的合同和竣工报告。合同主体、合同清单和深化设计图纸，三者任意一项要有“设计”的佐证材料。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818" w:type="dxa"/>
            <w:vMerge w:val="continue"/>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项目经理业绩</w:t>
            </w:r>
          </w:p>
          <w:p>
            <w:pPr>
              <w:spacing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bCs/>
                <w:color w:val="auto"/>
                <w:sz w:val="24"/>
                <w:szCs w:val="24"/>
              </w:rPr>
            </w:pPr>
            <w:r>
              <w:rPr>
                <w:rFonts w:hint="eastAsia" w:asciiTheme="minorEastAsia" w:hAnsiTheme="minorEastAsia" w:cstheme="minorEastAsia"/>
                <w:b/>
                <w:sz w:val="24"/>
                <w:szCs w:val="24"/>
              </w:rPr>
              <w:t>分值构成：</w:t>
            </w:r>
            <w:r>
              <w:rPr>
                <w:rFonts w:hint="eastAsia" w:asciiTheme="minorEastAsia" w:hAnsiTheme="minorEastAsia" w:cstheme="minorEastAsia"/>
                <w:bCs/>
                <w:sz w:val="24"/>
                <w:szCs w:val="24"/>
              </w:rPr>
              <w:t>满足招标要求条件，具有类似规模项目现场管理经验，提供近三年合同额</w:t>
            </w:r>
            <w:r>
              <w:rPr>
                <w:rFonts w:hint="eastAsia" w:asciiTheme="minorEastAsia" w:hAnsiTheme="minorEastAsia" w:cstheme="minorEastAsia"/>
                <w:bCs/>
                <w:color w:val="000000"/>
                <w:sz w:val="24"/>
                <w:szCs w:val="24"/>
              </w:rPr>
              <w:t>至少1000(含)万</w:t>
            </w:r>
            <w:r>
              <w:rPr>
                <w:rFonts w:hint="eastAsia" w:asciiTheme="minorEastAsia" w:hAnsiTheme="minorEastAsia" w:cstheme="minorEastAsia"/>
                <w:bCs/>
                <w:sz w:val="24"/>
                <w:szCs w:val="24"/>
              </w:rPr>
              <w:t>金融行业数据中心机房施工业绩</w:t>
            </w:r>
            <w:r>
              <w:rPr>
                <w:rFonts w:hint="eastAsia" w:asciiTheme="minorEastAsia" w:hAnsiTheme="minorEastAsia" w:cstheme="minorEastAsia"/>
                <w:b/>
                <w:sz w:val="24"/>
                <w:szCs w:val="24"/>
              </w:rPr>
              <w:t>(含分包)，</w:t>
            </w:r>
            <w:r>
              <w:rPr>
                <w:rFonts w:hint="eastAsia" w:asciiTheme="minorEastAsia" w:hAnsiTheme="minorEastAsia" w:cstheme="minorEastAsia"/>
                <w:bCs/>
                <w:sz w:val="24"/>
                <w:szCs w:val="24"/>
                <w:lang w:eastAsia="zh-CN"/>
              </w:rPr>
              <w:t>达到</w:t>
            </w:r>
            <w:r>
              <w:rPr>
                <w:rFonts w:hint="eastAsia" w:asciiTheme="minorEastAsia" w:hAnsiTheme="minorEastAsia" w:cstheme="minorEastAsia"/>
                <w:bCs/>
                <w:sz w:val="24"/>
                <w:szCs w:val="24"/>
                <w:lang w:val="en-US" w:eastAsia="zh-CN"/>
              </w:rPr>
              <w:t>2个得</w:t>
            </w:r>
            <w:r>
              <w:rPr>
                <w:rFonts w:hint="eastAsia" w:asciiTheme="minorEastAsia" w:hAnsiTheme="minorEastAsia" w:cstheme="minorEastAsia"/>
                <w:bCs/>
                <w:sz w:val="24"/>
                <w:szCs w:val="24"/>
              </w:rPr>
              <w:t>2分，</w:t>
            </w:r>
            <w:r>
              <w:rPr>
                <w:rFonts w:hint="eastAsia" w:asciiTheme="minorEastAsia" w:hAnsiTheme="minorEastAsia" w:cstheme="minorEastAsia"/>
                <w:bCs/>
                <w:sz w:val="24"/>
                <w:szCs w:val="24"/>
                <w:lang w:val="en-US" w:eastAsia="zh-CN"/>
              </w:rPr>
              <w:t>3个及以上得</w:t>
            </w:r>
            <w:r>
              <w:rPr>
                <w:rFonts w:hint="eastAsia" w:asciiTheme="minorEastAsia" w:hAnsiTheme="minorEastAsia" w:cstheme="minorEastAsia"/>
                <w:bCs/>
                <w:sz w:val="24"/>
                <w:szCs w:val="24"/>
              </w:rPr>
              <w:t>4分。（需提供项目合同或竣工验收材料等相关证明材料）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818" w:type="dxa"/>
            <w:vMerge w:val="continue"/>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设计负责人业绩（2分）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bCs/>
                <w:color w:val="000000"/>
                <w:sz w:val="24"/>
                <w:szCs w:val="24"/>
              </w:rPr>
            </w:pPr>
            <w:r>
              <w:rPr>
                <w:rFonts w:hint="eastAsia" w:asciiTheme="minorEastAsia" w:hAnsiTheme="minorEastAsia" w:cstheme="minorEastAsia"/>
                <w:b/>
                <w:color w:val="000000"/>
                <w:sz w:val="24"/>
                <w:szCs w:val="24"/>
              </w:rPr>
              <w:t>分值构成：</w:t>
            </w:r>
            <w:r>
              <w:rPr>
                <w:rFonts w:hint="eastAsia" w:asciiTheme="minorEastAsia" w:hAnsiTheme="minorEastAsia" w:cstheme="minorEastAsia"/>
                <w:bCs/>
                <w:color w:val="000000"/>
                <w:sz w:val="24"/>
                <w:szCs w:val="24"/>
              </w:rPr>
              <w:t>满足招标要求条件，具有类似规模设计经验，提供近三</w:t>
            </w:r>
            <w:r>
              <w:rPr>
                <w:rFonts w:hint="eastAsia" w:asciiTheme="minorEastAsia" w:hAnsiTheme="minorEastAsia" w:cstheme="minorEastAsia"/>
                <w:bCs/>
                <w:sz w:val="24"/>
                <w:szCs w:val="24"/>
              </w:rPr>
              <w:t>年合同额</w:t>
            </w:r>
            <w:r>
              <w:rPr>
                <w:rFonts w:hint="eastAsia" w:asciiTheme="minorEastAsia" w:hAnsiTheme="minorEastAsia" w:cstheme="minorEastAsia"/>
                <w:bCs/>
                <w:color w:val="000000"/>
                <w:sz w:val="24"/>
                <w:szCs w:val="24"/>
              </w:rPr>
              <w:t>至少1000(含)万</w:t>
            </w:r>
            <w:r>
              <w:rPr>
                <w:rFonts w:hint="eastAsia" w:asciiTheme="minorEastAsia" w:hAnsiTheme="minorEastAsia" w:cstheme="minorEastAsia"/>
                <w:bCs/>
                <w:sz w:val="24"/>
                <w:szCs w:val="24"/>
              </w:rPr>
              <w:t>金融行业数据中心机房业绩(含分包)，每个1分，总分2分。（需提供竣工设计图纸等相关证明材料）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818" w:type="dxa"/>
            <w:vMerge w:val="continue"/>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auto"/>
                <w:sz w:val="24"/>
                <w:szCs w:val="24"/>
              </w:rPr>
              <w:t>技术负责人（5</w:t>
            </w:r>
            <w:r>
              <w:rPr>
                <w:rFonts w:hint="eastAsia" w:ascii="宋体" w:hAnsi="宋体" w:eastAsia="宋体" w:cs="宋体"/>
                <w:bCs/>
                <w:color w:val="000000"/>
                <w:sz w:val="24"/>
                <w:szCs w:val="24"/>
              </w:rPr>
              <w:t>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bCs/>
                <w:color w:val="000000"/>
                <w:sz w:val="24"/>
                <w:szCs w:val="24"/>
              </w:rPr>
            </w:pPr>
            <w:r>
              <w:rPr>
                <w:rFonts w:hint="eastAsia" w:asciiTheme="minorEastAsia" w:hAnsiTheme="minorEastAsia" w:cstheme="minorEastAsia"/>
                <w:b/>
                <w:color w:val="000000"/>
                <w:sz w:val="24"/>
                <w:szCs w:val="24"/>
              </w:rPr>
              <w:t>分值构成：</w:t>
            </w:r>
            <w:r>
              <w:rPr>
                <w:rFonts w:hint="eastAsia" w:asciiTheme="minorEastAsia" w:hAnsiTheme="minorEastAsia" w:cstheme="minorEastAsia"/>
                <w:bCs/>
                <w:color w:val="000000"/>
                <w:sz w:val="24"/>
                <w:szCs w:val="24"/>
              </w:rPr>
              <w:t>满足招标</w:t>
            </w:r>
            <w:r>
              <w:rPr>
                <w:rFonts w:hint="eastAsia" w:asciiTheme="minorEastAsia" w:hAnsiTheme="minorEastAsia" w:cstheme="minorEastAsia"/>
                <w:bCs/>
                <w:sz w:val="24"/>
                <w:szCs w:val="24"/>
              </w:rPr>
              <w:t>要求条件，具有类似规模项目现场管理经验，提供近三年合同额</w:t>
            </w:r>
            <w:r>
              <w:rPr>
                <w:rFonts w:hint="eastAsia" w:asciiTheme="minorEastAsia" w:hAnsiTheme="minorEastAsia" w:cstheme="minorEastAsia"/>
                <w:bCs/>
                <w:color w:val="000000"/>
                <w:sz w:val="24"/>
                <w:szCs w:val="24"/>
              </w:rPr>
              <w:t>至少1000(含)万</w:t>
            </w:r>
            <w:r>
              <w:rPr>
                <w:rFonts w:hint="eastAsia" w:asciiTheme="minorEastAsia" w:hAnsiTheme="minorEastAsia" w:cstheme="minorEastAsia"/>
                <w:bCs/>
                <w:sz w:val="24"/>
                <w:szCs w:val="24"/>
              </w:rPr>
              <w:t>金融行业数据中心机房施工业绩(含分包)每个2分(</w:t>
            </w:r>
            <w:r>
              <w:rPr>
                <w:rFonts w:hint="eastAsia" w:asciiTheme="minorEastAsia" w:hAnsiTheme="minorEastAsia" w:cstheme="minorEastAsia"/>
                <w:bCs/>
                <w:sz w:val="24"/>
                <w:szCs w:val="24"/>
                <w:lang w:eastAsia="zh-CN"/>
              </w:rPr>
              <w:t>共</w:t>
            </w:r>
            <w:r>
              <w:rPr>
                <w:rFonts w:hint="eastAsia" w:asciiTheme="minorEastAsia" w:hAnsiTheme="minorEastAsia" w:cstheme="minorEastAsia"/>
                <w:bCs/>
                <w:sz w:val="24"/>
                <w:szCs w:val="24"/>
                <w:lang w:val="en-US" w:eastAsia="zh-CN"/>
              </w:rPr>
              <w:t>4</w:t>
            </w:r>
            <w:r>
              <w:rPr>
                <w:rFonts w:hint="eastAsia" w:asciiTheme="minorEastAsia" w:hAnsiTheme="minorEastAsia" w:cstheme="minorEastAsia"/>
                <w:bCs/>
                <w:sz w:val="24"/>
                <w:szCs w:val="24"/>
              </w:rPr>
              <w:t>分）；技术负责人具有建设主管部门颁发的壹级注册建造师执业资格证书（建筑工程或机电工程专业），得1分，项目经理和技术负责人为同一人的，不重复计分，总分5分。（需提供项目合同或竣工验收材料等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818" w:type="dxa"/>
            <w:vMerge w:val="continue"/>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其他主要人员业绩（2分）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0" w:after="0" w:line="400" w:lineRule="exact"/>
              <w:jc w:val="left"/>
              <w:outlineLvl w:val="9"/>
              <w:rPr>
                <w:rFonts w:hint="eastAsia" w:ascii="宋体" w:hAnsi="宋体" w:eastAsia="宋体" w:cs="宋体"/>
                <w:b w:val="0"/>
                <w:bCs/>
                <w:color w:val="000000"/>
                <w:kern w:val="2"/>
                <w:sz w:val="24"/>
                <w:szCs w:val="24"/>
                <w:lang w:val="en-US" w:eastAsia="zh-CN" w:bidi="ar-SA"/>
              </w:rPr>
            </w:pPr>
            <w:r>
              <w:rPr>
                <w:rFonts w:hint="eastAsia" w:asciiTheme="minorEastAsia" w:hAnsiTheme="minorEastAsia" w:cstheme="minorEastAsia"/>
                <w:bCs w:val="0"/>
                <w:color w:val="000000"/>
                <w:sz w:val="24"/>
                <w:szCs w:val="24"/>
              </w:rPr>
              <w:t>分值构成：</w:t>
            </w:r>
            <w:r>
              <w:rPr>
                <w:rFonts w:hint="eastAsia" w:asciiTheme="minorEastAsia" w:hAnsiTheme="minorEastAsia" w:cstheme="minorEastAsia"/>
                <w:b w:val="0"/>
                <w:color w:val="000000"/>
                <w:sz w:val="24"/>
                <w:szCs w:val="24"/>
              </w:rPr>
              <w:t>能充分满足本项目实施需要，从人员的履历、工作经历、工作经验、资格等对整个项目管理团队进行综合评比。优：2分；一般：1分，差得0分。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18" w:type="dxa"/>
            <w:vMerge w:val="restart"/>
            <w:tcBorders>
              <w:top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870" w:type="dxa"/>
            <w:vMerge w:val="restart"/>
            <w:tcBorders>
              <w:top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承包人实施方案评分标准</w:t>
            </w:r>
          </w:p>
        </w:tc>
        <w:tc>
          <w:tcPr>
            <w:tcW w:w="1282"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总体实施方案</w:t>
            </w:r>
          </w:p>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sz w:val="24"/>
                <w:szCs w:val="24"/>
              </w:rPr>
            </w:pPr>
            <w:r>
              <w:rPr>
                <w:rFonts w:hint="eastAsia" w:asciiTheme="minorEastAsia" w:hAnsiTheme="minorEastAsia" w:cstheme="minorEastAsia"/>
                <w:b/>
                <w:sz w:val="24"/>
                <w:szCs w:val="24"/>
              </w:rPr>
              <w:t>分值构成：</w:t>
            </w:r>
            <w:r>
              <w:rPr>
                <w:rFonts w:hint="eastAsia" w:asciiTheme="minorEastAsia" w:hAnsiTheme="minorEastAsia" w:cstheme="minorEastAsia"/>
                <w:bCs/>
                <w:sz w:val="24"/>
                <w:szCs w:val="24"/>
              </w:rPr>
              <w:t>有完整全面的施工组织设计方案，方案的编写采用图表，统一格式，内容全面，阅读清晰，简单明了。优：1分；一般：0分。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rPr>
            </w:pP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sz w:val="24"/>
                <w:szCs w:val="24"/>
              </w:rPr>
            </w:pPr>
            <w:r>
              <w:rPr>
                <w:rFonts w:hint="eastAsia" w:asciiTheme="minorEastAsia" w:hAnsiTheme="minorEastAsia" w:cstheme="minorEastAsia"/>
                <w:b/>
                <w:sz w:val="24"/>
                <w:szCs w:val="24"/>
              </w:rPr>
              <w:t>分值构成：</w:t>
            </w:r>
            <w:r>
              <w:rPr>
                <w:rFonts w:hint="eastAsia" w:asciiTheme="minorEastAsia" w:hAnsiTheme="minorEastAsia" w:cstheme="minorEastAsia"/>
                <w:bCs/>
                <w:sz w:val="24"/>
                <w:szCs w:val="24"/>
              </w:rPr>
              <w:t>有为保证项目实施时间及工期而采取的保障措施，对进度规划合理性、关键路径规划、劳动力计划、设备及材料到场计划、进度管理和控制措施等综合打分。优：1分；一般：得0分。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rPr>
            </w:pP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sz w:val="24"/>
                <w:szCs w:val="24"/>
              </w:rPr>
            </w:pPr>
            <w:r>
              <w:rPr>
                <w:rFonts w:hint="eastAsia" w:asciiTheme="minorEastAsia" w:hAnsiTheme="minorEastAsia" w:cstheme="minorEastAsia"/>
                <w:b/>
                <w:sz w:val="24"/>
                <w:szCs w:val="24"/>
              </w:rPr>
              <w:t>分值构成：</w:t>
            </w:r>
            <w:r>
              <w:rPr>
                <w:rFonts w:hint="eastAsia" w:asciiTheme="minorEastAsia" w:hAnsiTheme="minorEastAsia" w:cstheme="minorEastAsia"/>
                <w:bCs/>
                <w:sz w:val="24"/>
                <w:szCs w:val="24"/>
              </w:rPr>
              <w:t>有为保证项目实施质量而采取的保障措施，结合工程特点提出切实可行的工程质量管理体系和措施、技术和工艺方案、质量监督和管理措施。有安全文明施工管理体系与环保措施，完整、科学、合理、可行等综合打分。优：2分；一般：1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项目实施要点</w:t>
            </w:r>
          </w:p>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（2分）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sz w:val="24"/>
                <w:szCs w:val="24"/>
              </w:rPr>
            </w:pPr>
            <w:r>
              <w:rPr>
                <w:rFonts w:hint="eastAsia" w:asciiTheme="minorEastAsia" w:hAnsiTheme="minorEastAsia" w:cstheme="minorEastAsia"/>
                <w:b/>
                <w:sz w:val="24"/>
                <w:szCs w:val="24"/>
              </w:rPr>
              <w:t>分值构成</w:t>
            </w:r>
            <w:r>
              <w:rPr>
                <w:rFonts w:hint="eastAsia" w:asciiTheme="minorEastAsia" w:hAnsiTheme="minorEastAsia" w:cstheme="minorEastAsia"/>
                <w:bCs/>
                <w:sz w:val="24"/>
                <w:szCs w:val="24"/>
              </w:rPr>
              <w:t>：有项目整体的重点难点分析和相应的技术措施，对关键工序、复杂环节等综合打分。优：2分；一般：1分，差得0分。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项目管理要点</w:t>
            </w:r>
          </w:p>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（2分）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sz w:val="24"/>
                <w:szCs w:val="24"/>
              </w:rPr>
            </w:pPr>
            <w:r>
              <w:rPr>
                <w:rFonts w:hint="eastAsia" w:asciiTheme="minorEastAsia" w:hAnsiTheme="minorEastAsia" w:cstheme="minorEastAsia"/>
                <w:b/>
                <w:sz w:val="24"/>
                <w:szCs w:val="24"/>
              </w:rPr>
              <w:t>分值构成</w:t>
            </w:r>
            <w:r>
              <w:rPr>
                <w:rFonts w:hint="eastAsia" w:asciiTheme="minorEastAsia" w:hAnsiTheme="minorEastAsia" w:cstheme="minorEastAsia"/>
                <w:bCs/>
                <w:sz w:val="24"/>
                <w:szCs w:val="24"/>
              </w:rPr>
              <w:t>：有施工集成配合措施，施工管理严谨，考虑全面，服从监理公司和甲方人员的协调，配合措施明确、合理，有针对性，有详细的工程总集成措施，适合本工程特点，满足招标文件要求、配置完整无漏项等。优：2分；一般：1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售后服务响应条件（4分）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76" w:lineRule="auto"/>
              <w:contextualSpacing/>
              <w:jc w:val="left"/>
              <w:rPr>
                <w:rFonts w:hint="eastAsia" w:ascii="宋体" w:hAnsi="宋体" w:eastAsia="宋体" w:cs="宋体"/>
                <w:b/>
                <w:sz w:val="24"/>
                <w:szCs w:val="24"/>
              </w:rPr>
            </w:pPr>
            <w:r>
              <w:rPr>
                <w:rFonts w:hint="eastAsia" w:asciiTheme="minorEastAsia" w:hAnsiTheme="minorEastAsia" w:cstheme="minorEastAsia"/>
                <w:b/>
                <w:sz w:val="24"/>
                <w:szCs w:val="24"/>
              </w:rPr>
              <w:t>分值构成：</w:t>
            </w:r>
            <w:r>
              <w:rPr>
                <w:rFonts w:hint="eastAsia" w:asciiTheme="minorEastAsia" w:hAnsiTheme="minorEastAsia" w:cstheme="minorEastAsia"/>
                <w:bCs/>
                <w:sz w:val="24"/>
                <w:szCs w:val="24"/>
              </w:rPr>
              <w:t>企业售后服务体系完善，保修期内定人、定期巡检机制成熟，有完善的故障解决方案和巡检方案，保修期后的优惠措施合理。优：2分；一般：1分，差得0分。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818"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vMerge w:val="continue"/>
            <w:tcBorders>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rPr>
            </w:pPr>
          </w:p>
        </w:tc>
        <w:tc>
          <w:tcPr>
            <w:tcW w:w="60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pacing w:line="360" w:lineRule="atLeast"/>
              <w:jc w:val="left"/>
              <w:textAlignment w:val="baseline"/>
              <w:rPr>
                <w:rFonts w:hint="eastAsia" w:ascii="宋体" w:hAnsi="宋体" w:eastAsia="宋体" w:cs="宋体"/>
                <w:b/>
                <w:kern w:val="0"/>
                <w:sz w:val="24"/>
                <w:szCs w:val="24"/>
                <w:lang w:val="en-US" w:eastAsia="zh-CN" w:bidi="ar-SA"/>
              </w:rPr>
            </w:pPr>
            <w:r>
              <w:rPr>
                <w:rFonts w:hint="eastAsia" w:asciiTheme="minorEastAsia" w:hAnsiTheme="minorEastAsia" w:cstheme="minorEastAsia"/>
                <w:b/>
                <w:sz w:val="24"/>
                <w:szCs w:val="24"/>
              </w:rPr>
              <w:t>分值构成：</w:t>
            </w:r>
            <w:r>
              <w:rPr>
                <w:rFonts w:hint="eastAsia" w:asciiTheme="minorEastAsia" w:hAnsiTheme="minorEastAsia" w:cstheme="minorEastAsia"/>
                <w:bCs/>
                <w:color w:val="FF0000"/>
                <w:sz w:val="24"/>
                <w:szCs w:val="24"/>
              </w:rPr>
              <w:t>已在江西省内设立分公司</w:t>
            </w:r>
            <w:r>
              <w:rPr>
                <w:rFonts w:hint="eastAsia" w:asciiTheme="minorEastAsia" w:hAnsiTheme="minorEastAsia" w:cstheme="minorEastAsia"/>
                <w:bCs/>
                <w:sz w:val="24"/>
                <w:szCs w:val="24"/>
              </w:rPr>
              <w:t>（以工商注册执照为准）或办事处（以维修工程师在江西的租房合同为准，并有投标公司为此维修工程师三个月内缴纳社保的证明文件）。能提供上述佐证材料得2分。承诺在本项目实施期间，在江西省内设立分公司或办事处的，如能提供加盖公司公章的承诺函，可得1分。如上述两种情况都不能提供得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投标报价评分标准</w:t>
            </w:r>
          </w:p>
          <w:p>
            <w:pPr>
              <w:spacing w:line="400" w:lineRule="exact"/>
              <w:jc w:val="center"/>
              <w:rPr>
                <w:rFonts w:hint="eastAsia" w:ascii="宋体" w:hAnsi="宋体" w:eastAsia="宋体" w:cs="宋体"/>
                <w:bCs/>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价格（30分）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Cs/>
                <w:sz w:val="24"/>
                <w:szCs w:val="24"/>
              </w:rPr>
            </w:pPr>
            <w:r>
              <w:rPr>
                <w:rFonts w:hint="eastAsia" w:asciiTheme="minorEastAsia" w:hAnsiTheme="minorEastAsia" w:cstheme="minorEastAsia"/>
                <w:bCs/>
                <w:sz w:val="24"/>
                <w:szCs w:val="24"/>
              </w:rPr>
              <w:t>价格分的计算</w:t>
            </w:r>
            <w:r>
              <w:rPr>
                <w:rFonts w:hint="eastAsia" w:asciiTheme="minorEastAsia" w:hAnsiTheme="minorEastAsia" w:cstheme="minorEastAsia"/>
                <w:bCs/>
                <w:sz w:val="24"/>
                <w:szCs w:val="24"/>
              </w:rPr>
              <w:br w:type="textWrapping"/>
            </w:r>
            <w:r>
              <w:rPr>
                <w:rFonts w:hint="eastAsia" w:asciiTheme="minorEastAsia" w:hAnsiTheme="minorEastAsia" w:cstheme="minorEastAsia"/>
                <w:bCs/>
                <w:sz w:val="24"/>
                <w:szCs w:val="24"/>
              </w:rPr>
              <w:t>报价得分=（评标基准价/投标报价）×0.3×100（四舍五入后保留小数点两位）。</w:t>
            </w:r>
            <w:r>
              <w:rPr>
                <w:rFonts w:hint="eastAsia" w:asciiTheme="minorEastAsia" w:hAnsiTheme="minorEastAsia" w:cstheme="minorEastAsia"/>
                <w:bCs/>
                <w:sz w:val="24"/>
                <w:szCs w:val="24"/>
              </w:rPr>
              <w:br w:type="textWrapping"/>
            </w:r>
            <w:r>
              <w:rPr>
                <w:rFonts w:hint="eastAsia" w:asciiTheme="minorEastAsia" w:hAnsiTheme="minorEastAsia" w:cstheme="minorEastAsia"/>
                <w:bCs/>
                <w:sz w:val="24"/>
                <w:szCs w:val="24"/>
              </w:rPr>
              <w:t>满足招标文件要求且投标价格最低的投标报价为评标基准价，其价格分为满分。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6" w:hRule="atLeast"/>
          <w:jc w:val="center"/>
        </w:trPr>
        <w:tc>
          <w:tcPr>
            <w:tcW w:w="818"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（5）</w:t>
            </w:r>
          </w:p>
        </w:tc>
        <w:tc>
          <w:tcPr>
            <w:tcW w:w="870"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Cs/>
                <w:sz w:val="24"/>
                <w:szCs w:val="24"/>
              </w:rPr>
            </w:pPr>
          </w:p>
          <w:p>
            <w:pPr>
              <w:spacing w:line="400" w:lineRule="exact"/>
              <w:jc w:val="center"/>
              <w:rPr>
                <w:rFonts w:hint="eastAsia" w:ascii="宋体" w:hAnsi="宋体" w:eastAsia="宋体" w:cs="宋体"/>
                <w:bCs/>
                <w:sz w:val="24"/>
                <w:szCs w:val="24"/>
              </w:rPr>
            </w:pPr>
          </w:p>
          <w:p>
            <w:pPr>
              <w:spacing w:line="400" w:lineRule="exact"/>
              <w:jc w:val="center"/>
              <w:rPr>
                <w:rFonts w:hint="eastAsia" w:ascii="宋体" w:hAnsi="宋体" w:eastAsia="宋体" w:cs="宋体"/>
                <w:bCs/>
                <w:sz w:val="24"/>
                <w:szCs w:val="24"/>
              </w:rPr>
            </w:pPr>
          </w:p>
          <w:p>
            <w:pPr>
              <w:spacing w:line="400" w:lineRule="exact"/>
              <w:jc w:val="center"/>
              <w:rPr>
                <w:rFonts w:hint="eastAsia" w:ascii="宋体" w:hAnsi="宋体" w:eastAsia="宋体" w:cs="宋体"/>
                <w:bCs/>
                <w:sz w:val="24"/>
                <w:szCs w:val="24"/>
              </w:rPr>
            </w:pPr>
          </w:p>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产品技术优越性</w:t>
            </w:r>
          </w:p>
          <w:p>
            <w:pPr>
              <w:spacing w:line="400" w:lineRule="exact"/>
              <w:jc w:val="center"/>
              <w:rPr>
                <w:rFonts w:hint="eastAsia" w:ascii="宋体" w:hAnsi="宋体" w:eastAsia="宋体" w:cs="宋体"/>
                <w:bCs/>
                <w:color w:val="000000"/>
                <w:sz w:val="24"/>
                <w:szCs w:val="24"/>
              </w:rPr>
            </w:pPr>
          </w:p>
        </w:tc>
        <w:tc>
          <w:tcPr>
            <w:tcW w:w="1282"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bCs/>
                <w:color w:val="FF0000"/>
                <w:sz w:val="24"/>
                <w:szCs w:val="24"/>
                <w:highlight w:val="cyan"/>
              </w:rPr>
            </w:pPr>
          </w:p>
          <w:p>
            <w:pPr>
              <w:spacing w:line="400" w:lineRule="exact"/>
              <w:jc w:val="center"/>
              <w:rPr>
                <w:rFonts w:hint="eastAsia" w:ascii="宋体" w:hAnsi="宋体" w:eastAsia="宋体" w:cs="宋体"/>
                <w:bCs/>
                <w:color w:val="FF0000"/>
                <w:sz w:val="24"/>
                <w:szCs w:val="24"/>
                <w:highlight w:val="cyan"/>
              </w:rPr>
            </w:pPr>
          </w:p>
          <w:p>
            <w:pPr>
              <w:spacing w:line="400" w:lineRule="exact"/>
              <w:jc w:val="center"/>
              <w:rPr>
                <w:rFonts w:hint="eastAsia" w:ascii="宋体" w:hAnsi="宋体" w:eastAsia="宋体" w:cs="宋体"/>
                <w:bCs/>
                <w:color w:val="FF0000"/>
                <w:sz w:val="24"/>
                <w:szCs w:val="24"/>
                <w:highlight w:val="cyan"/>
              </w:rPr>
            </w:pPr>
          </w:p>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产品技术优越性</w:t>
            </w:r>
          </w:p>
          <w:p>
            <w:pPr>
              <w:spacing w:line="400" w:lineRule="exact"/>
              <w:jc w:val="center"/>
              <w:rPr>
                <w:rFonts w:hint="eastAsia" w:ascii="宋体" w:hAnsi="宋体" w:eastAsia="宋体" w:cs="宋体"/>
                <w:bCs/>
                <w:color w:val="FF0000"/>
                <w:sz w:val="24"/>
                <w:szCs w:val="24"/>
                <w:highlight w:val="cyan"/>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18</w:t>
            </w:r>
            <w:r>
              <w:rPr>
                <w:rFonts w:hint="eastAsia" w:ascii="宋体" w:hAnsi="宋体" w:eastAsia="宋体" w:cs="宋体"/>
                <w:bCs/>
                <w:sz w:val="24"/>
                <w:szCs w:val="24"/>
              </w:rPr>
              <w:t>分）</w:t>
            </w:r>
          </w:p>
        </w:tc>
        <w:tc>
          <w:tcPr>
            <w:tcW w:w="60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76" w:lineRule="auto"/>
              <w:contextualSpacing/>
              <w:jc w:val="left"/>
              <w:rPr>
                <w:rFonts w:asciiTheme="minorEastAsia" w:hAnsiTheme="minorEastAsia" w:cstheme="minorEastAsia"/>
                <w:b/>
                <w:sz w:val="24"/>
                <w:szCs w:val="24"/>
              </w:rPr>
            </w:pPr>
            <w:r>
              <w:rPr>
                <w:rFonts w:hint="eastAsia" w:asciiTheme="minorEastAsia" w:hAnsiTheme="minorEastAsia" w:cstheme="minorEastAsia"/>
                <w:b/>
                <w:sz w:val="24"/>
                <w:szCs w:val="24"/>
              </w:rPr>
              <w:t>UPS部分：</w:t>
            </w:r>
          </w:p>
          <w:p>
            <w:pPr>
              <w:widowControl/>
              <w:snapToGrid w:val="0"/>
              <w:spacing w:line="276" w:lineRule="auto"/>
              <w:contextualSpacing/>
              <w:jc w:val="left"/>
              <w:rPr>
                <w:rFonts w:asciiTheme="minorEastAsia" w:hAnsiTheme="minorEastAsia" w:cstheme="minorEastAsia"/>
                <w:bCs/>
                <w:sz w:val="24"/>
                <w:szCs w:val="24"/>
              </w:rPr>
            </w:pPr>
            <w:r>
              <w:rPr>
                <w:rFonts w:hint="eastAsia" w:asciiTheme="minorEastAsia" w:hAnsiTheme="minorEastAsia" w:cstheme="minorEastAsia"/>
                <w:bCs/>
                <w:sz w:val="24"/>
                <w:szCs w:val="24"/>
              </w:rPr>
              <w:t>1、UPS额定输出功率因数为1，满载时系统效率：≥96.5％，50%负载时系统效率： ≥96.8％。</w:t>
            </w:r>
          </w:p>
          <w:p>
            <w:pPr>
              <w:widowControl/>
              <w:snapToGrid w:val="0"/>
              <w:spacing w:line="276" w:lineRule="auto"/>
              <w:contextualSpacing/>
              <w:jc w:val="left"/>
              <w:rPr>
                <w:rFonts w:asciiTheme="minorEastAsia" w:hAnsiTheme="minorEastAsia" w:cstheme="minorEastAsia"/>
                <w:bCs/>
                <w:sz w:val="24"/>
                <w:szCs w:val="24"/>
              </w:rPr>
            </w:pPr>
            <w:r>
              <w:rPr>
                <w:rFonts w:hint="eastAsia" w:asciiTheme="minorEastAsia" w:hAnsiTheme="minorEastAsia" w:cstheme="minorEastAsia"/>
                <w:b/>
                <w:bCs/>
                <w:sz w:val="24"/>
                <w:szCs w:val="24"/>
              </w:rPr>
              <w:t>评审依据：</w:t>
            </w:r>
            <w:r>
              <w:rPr>
                <w:rFonts w:hint="eastAsia" w:asciiTheme="minorEastAsia" w:hAnsiTheme="minorEastAsia" w:cstheme="minorEastAsia"/>
                <w:b/>
                <w:sz w:val="24"/>
                <w:szCs w:val="24"/>
              </w:rPr>
              <w:t>提供</w:t>
            </w:r>
            <w:r>
              <w:rPr>
                <w:rFonts w:hint="eastAsia" w:asciiTheme="minorEastAsia" w:hAnsiTheme="minorEastAsia" w:cstheme="minorEastAsia"/>
                <w:b/>
                <w:color w:val="FF0000"/>
                <w:sz w:val="24"/>
                <w:szCs w:val="24"/>
                <w:lang w:eastAsia="zh-CN"/>
              </w:rPr>
              <w:t>第三方权威机构的</w:t>
            </w:r>
            <w:r>
              <w:rPr>
                <w:rFonts w:hint="eastAsia" w:asciiTheme="minorEastAsia" w:hAnsiTheme="minorEastAsia" w:cstheme="minorEastAsia"/>
                <w:b/>
                <w:sz w:val="24"/>
                <w:szCs w:val="24"/>
              </w:rPr>
              <w:t>检测报告数据证明。满足得2分；不满足得0分。</w:t>
            </w:r>
          </w:p>
          <w:p>
            <w:pPr>
              <w:widowControl/>
              <w:snapToGrid w:val="0"/>
              <w:spacing w:line="276" w:lineRule="auto"/>
              <w:contextualSpacing/>
              <w:jc w:val="left"/>
              <w:rPr>
                <w:rFonts w:asciiTheme="minorEastAsia" w:hAnsiTheme="minorEastAsia" w:cstheme="minorEastAsia"/>
                <w:bCs/>
                <w:sz w:val="24"/>
                <w:szCs w:val="24"/>
              </w:rPr>
            </w:pPr>
            <w:r>
              <w:rPr>
                <w:rFonts w:hint="eastAsia" w:asciiTheme="minorEastAsia" w:hAnsiTheme="minorEastAsia" w:cstheme="minorEastAsia"/>
                <w:bCs/>
                <w:sz w:val="24"/>
                <w:szCs w:val="24"/>
              </w:rPr>
              <w:t>2、制造商需通过能源管理体系《ISO50001》认证，且范围覆盖“交流不间断电源”。</w:t>
            </w:r>
          </w:p>
          <w:p>
            <w:pPr>
              <w:widowControl/>
              <w:snapToGrid w:val="0"/>
              <w:spacing w:line="276" w:lineRule="auto"/>
              <w:contextualSpacing/>
              <w:jc w:val="left"/>
              <w:rPr>
                <w:rFonts w:asciiTheme="minorEastAsia" w:hAnsiTheme="minorEastAsia" w:cstheme="minorEastAsia"/>
                <w:b/>
                <w:sz w:val="24"/>
                <w:szCs w:val="24"/>
              </w:rPr>
            </w:pPr>
            <w:r>
              <w:rPr>
                <w:rFonts w:hint="eastAsia" w:asciiTheme="minorEastAsia" w:hAnsiTheme="minorEastAsia" w:cstheme="minorEastAsia"/>
                <w:b/>
                <w:bCs/>
                <w:sz w:val="24"/>
                <w:szCs w:val="24"/>
              </w:rPr>
              <w:t>评审依据：</w:t>
            </w:r>
            <w:r>
              <w:rPr>
                <w:rFonts w:hint="eastAsia" w:asciiTheme="minorEastAsia" w:hAnsiTheme="minorEastAsia" w:cstheme="minorEastAsia"/>
                <w:b/>
                <w:sz w:val="24"/>
                <w:szCs w:val="24"/>
              </w:rPr>
              <w:t>提供资质证书复印件加盖制造商公章佐证。满足得2分；不满足得0分。</w:t>
            </w:r>
          </w:p>
          <w:p>
            <w:pPr>
              <w:widowControl/>
              <w:snapToGrid w:val="0"/>
              <w:spacing w:line="276" w:lineRule="auto"/>
              <w:contextualSpacing/>
              <w:jc w:val="left"/>
              <w:rPr>
                <w:rFonts w:asciiTheme="minorEastAsia" w:hAnsiTheme="minorEastAsia" w:cstheme="minorEastAsia"/>
                <w:bCs/>
                <w:sz w:val="24"/>
                <w:szCs w:val="24"/>
              </w:rPr>
            </w:pPr>
            <w:r>
              <w:rPr>
                <w:rFonts w:hint="eastAsia" w:asciiTheme="minorEastAsia" w:hAnsiTheme="minorEastAsia" w:cstheme="minorEastAsia"/>
                <w:bCs/>
                <w:sz w:val="24"/>
                <w:szCs w:val="24"/>
              </w:rPr>
              <w:t>3、UPS主机支持后出风和上出风，并且UPS可支持靠墙摆放及列间摆放两种安装方式。</w:t>
            </w:r>
          </w:p>
          <w:p>
            <w:pPr>
              <w:widowControl/>
              <w:numPr>
                <w:ilvl w:val="0"/>
                <w:numId w:val="0"/>
              </w:numPr>
              <w:snapToGrid w:val="0"/>
              <w:spacing w:line="276" w:lineRule="auto"/>
              <w:contextualSpacing/>
              <w:jc w:val="left"/>
              <w:rPr>
                <w:rFonts w:hint="eastAsia" w:ascii="宋体" w:hAnsi="宋体" w:eastAsia="宋体" w:cs="宋体"/>
                <w:bCs/>
                <w:sz w:val="24"/>
                <w:szCs w:val="24"/>
              </w:rPr>
            </w:pPr>
            <w:r>
              <w:rPr>
                <w:rFonts w:hint="eastAsia" w:asciiTheme="minorEastAsia" w:hAnsiTheme="minorEastAsia" w:cstheme="minorEastAsia"/>
                <w:b/>
                <w:bCs/>
                <w:sz w:val="24"/>
                <w:szCs w:val="24"/>
              </w:rPr>
              <w:t>评审依据：</w:t>
            </w:r>
            <w:r>
              <w:rPr>
                <w:rFonts w:hint="eastAsia" w:asciiTheme="minorEastAsia" w:hAnsiTheme="minorEastAsia" w:cstheme="minorEastAsia"/>
                <w:b/>
                <w:sz w:val="24"/>
                <w:szCs w:val="24"/>
              </w:rPr>
              <w:t>需提供制造商出具的技术参数确认函及靠墙摆放列间摆放图片加盖原厂公章为依据。满足得2分；不满足得0分。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6" w:hRule="atLeast"/>
          <w:jc w:val="center"/>
        </w:trPr>
        <w:tc>
          <w:tcPr>
            <w:tcW w:w="818"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Cs/>
                <w:color w:val="FF0000"/>
                <w:sz w:val="24"/>
                <w:szCs w:val="24"/>
                <w:highlight w:val="cyan"/>
              </w:rPr>
            </w:pPr>
          </w:p>
        </w:tc>
        <w:tc>
          <w:tcPr>
            <w:tcW w:w="60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76" w:lineRule="auto"/>
              <w:contextualSpacing/>
              <w:jc w:val="left"/>
              <w:rPr>
                <w:rFonts w:asciiTheme="minorEastAsia" w:hAnsiTheme="minorEastAsia" w:cstheme="minorEastAsia"/>
                <w:b/>
                <w:sz w:val="24"/>
                <w:szCs w:val="24"/>
              </w:rPr>
            </w:pPr>
            <w:r>
              <w:rPr>
                <w:rFonts w:hint="eastAsia" w:asciiTheme="minorEastAsia" w:hAnsiTheme="minorEastAsia" w:cstheme="minorEastAsia"/>
                <w:b/>
                <w:sz w:val="24"/>
                <w:szCs w:val="24"/>
              </w:rPr>
              <w:t>精密空调部分：</w:t>
            </w:r>
          </w:p>
          <w:p>
            <w:pPr>
              <w:widowControl/>
              <w:snapToGrid w:val="0"/>
              <w:spacing w:line="276" w:lineRule="auto"/>
              <w:contextualSpacing/>
              <w:jc w:val="left"/>
              <w:rPr>
                <w:rFonts w:asciiTheme="minorEastAsia" w:hAnsiTheme="minorEastAsia" w:cstheme="minorEastAsia"/>
                <w:bCs/>
                <w:sz w:val="24"/>
                <w:szCs w:val="24"/>
              </w:rPr>
            </w:pPr>
            <w:r>
              <w:rPr>
                <w:rFonts w:hint="eastAsia" w:asciiTheme="minorEastAsia" w:hAnsiTheme="minorEastAsia" w:cstheme="minorEastAsia"/>
                <w:bCs/>
                <w:sz w:val="24"/>
                <w:szCs w:val="24"/>
              </w:rPr>
              <w:t>1、精密空调机组传感器检测温度精度应不低于0.3℃，</w:t>
            </w:r>
            <w:r>
              <w:rPr>
                <w:rFonts w:hint="eastAsia" w:asciiTheme="minorEastAsia" w:hAnsiTheme="minorEastAsia" w:cstheme="minorEastAsia"/>
                <w:b/>
                <w:bCs/>
                <w:sz w:val="24"/>
                <w:szCs w:val="24"/>
              </w:rPr>
              <w:t>并可提供第三方权威检测报告。</w:t>
            </w:r>
            <w:r>
              <w:rPr>
                <w:rFonts w:hint="eastAsia" w:asciiTheme="minorEastAsia" w:hAnsiTheme="minorEastAsia" w:cstheme="minorEastAsia"/>
                <w:b/>
                <w:sz w:val="24"/>
                <w:szCs w:val="24"/>
              </w:rPr>
              <w:t>满足得3分；不满足得0分。</w:t>
            </w:r>
          </w:p>
          <w:p>
            <w:pPr>
              <w:widowControl/>
              <w:snapToGrid w:val="0"/>
              <w:spacing w:line="276" w:lineRule="auto"/>
              <w:contextualSpacing/>
              <w:jc w:val="left"/>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2、机房专用湿膜加湿器应能应解决机房的加湿需求，同时实现大幅的节能，湿功比（每小时加湿量/整机功率）不低于35, </w:t>
            </w:r>
          </w:p>
          <w:p>
            <w:pPr>
              <w:widowControl/>
              <w:snapToGrid w:val="0"/>
              <w:spacing w:line="276" w:lineRule="auto"/>
              <w:contextualSpacing/>
              <w:jc w:val="left"/>
              <w:rPr>
                <w:rFonts w:asciiTheme="minorEastAsia" w:hAnsiTheme="minorEastAsia" w:cstheme="minorEastAsia"/>
                <w:b/>
                <w:sz w:val="24"/>
                <w:szCs w:val="24"/>
              </w:rPr>
            </w:pPr>
            <w:r>
              <w:rPr>
                <w:rFonts w:hint="eastAsia" w:asciiTheme="minorEastAsia" w:hAnsiTheme="minorEastAsia" w:cstheme="minorEastAsia"/>
                <w:b/>
                <w:bCs/>
                <w:sz w:val="24"/>
                <w:szCs w:val="24"/>
              </w:rPr>
              <w:t>评审依据：提供机组CMA或CNAS认可的第三方权威机构测试报告加盖制造商公章证明，</w:t>
            </w:r>
            <w:r>
              <w:rPr>
                <w:rFonts w:hint="eastAsia" w:asciiTheme="minorEastAsia" w:hAnsiTheme="minorEastAsia" w:cstheme="minorEastAsia"/>
                <w:b/>
                <w:sz w:val="24"/>
                <w:szCs w:val="24"/>
              </w:rPr>
              <w:t>满足得3分；不满足得0分。</w:t>
            </w:r>
          </w:p>
          <w:p>
            <w:pPr>
              <w:widowControl/>
              <w:snapToGrid w:val="0"/>
              <w:spacing w:line="276" w:lineRule="auto"/>
              <w:contextualSpacing/>
              <w:jc w:val="left"/>
              <w:rPr>
                <w:rFonts w:asciiTheme="minorEastAsia" w:hAnsiTheme="minorEastAsia" w:cstheme="minorEastAsia"/>
                <w:bCs/>
                <w:sz w:val="24"/>
                <w:szCs w:val="24"/>
              </w:rPr>
            </w:pPr>
            <w:r>
              <w:rPr>
                <w:rFonts w:hint="eastAsia" w:asciiTheme="minorEastAsia" w:hAnsiTheme="minorEastAsia" w:cstheme="minorEastAsia"/>
                <w:bCs/>
                <w:sz w:val="24"/>
                <w:szCs w:val="24"/>
              </w:rPr>
              <w:t>3、精密空调机组面板需配置紧急总开关，</w:t>
            </w:r>
            <w:r>
              <w:rPr>
                <w:rFonts w:hint="eastAsia" w:asciiTheme="minorEastAsia" w:hAnsiTheme="minorEastAsia" w:cstheme="minorEastAsia"/>
                <w:b/>
                <w:sz w:val="24"/>
                <w:szCs w:val="24"/>
              </w:rPr>
              <w:t>满足得2分；不满足得0分。</w:t>
            </w:r>
          </w:p>
          <w:p>
            <w:pPr>
              <w:widowControl/>
              <w:snapToGrid w:val="0"/>
              <w:spacing w:line="276" w:lineRule="auto"/>
              <w:ind w:firstLine="240" w:firstLineChars="100"/>
              <w:contextualSpacing/>
              <w:jc w:val="left"/>
              <w:rPr>
                <w:rFonts w:hint="eastAsia" w:ascii="宋体" w:hAnsi="宋体" w:eastAsia="宋体" w:cs="宋体"/>
                <w:bCs/>
                <w:sz w:val="24"/>
                <w:szCs w:val="24"/>
                <w:highlight w:val="none"/>
                <w:lang w:val="en-US" w:eastAsia="zh-CN"/>
              </w:rPr>
            </w:pPr>
            <w:r>
              <w:rPr>
                <w:rFonts w:hint="eastAsia" w:asciiTheme="minorEastAsia" w:hAnsiTheme="minorEastAsia" w:cstheme="minorEastAsia"/>
                <w:bCs/>
                <w:sz w:val="24"/>
                <w:szCs w:val="24"/>
              </w:rPr>
              <w:t>评审依据：提供同型号精密空调内照片。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6" w:hRule="atLeast"/>
          <w:jc w:val="center"/>
        </w:trPr>
        <w:tc>
          <w:tcPr>
            <w:tcW w:w="81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870"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4"/>
                <w:szCs w:val="24"/>
              </w:rPr>
            </w:pPr>
          </w:p>
        </w:tc>
        <w:tc>
          <w:tcPr>
            <w:tcW w:w="1282"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FF0000"/>
                <w:sz w:val="24"/>
                <w:szCs w:val="24"/>
                <w:highlight w:val="cyan"/>
              </w:rPr>
            </w:pPr>
          </w:p>
        </w:tc>
        <w:tc>
          <w:tcPr>
            <w:tcW w:w="60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76" w:lineRule="auto"/>
              <w:contextualSpacing/>
              <w:jc w:val="left"/>
              <w:rPr>
                <w:rFonts w:asciiTheme="minorEastAsia" w:hAnsiTheme="minorEastAsia" w:cstheme="minorEastAsia"/>
                <w:b/>
                <w:sz w:val="24"/>
                <w:szCs w:val="24"/>
              </w:rPr>
            </w:pPr>
            <w:r>
              <w:rPr>
                <w:rFonts w:hint="eastAsia" w:asciiTheme="minorEastAsia" w:hAnsiTheme="minorEastAsia" w:cstheme="minorEastAsia"/>
                <w:b/>
                <w:sz w:val="24"/>
                <w:szCs w:val="24"/>
              </w:rPr>
              <w:t>机柜及封闭冷通道部分：</w:t>
            </w:r>
          </w:p>
          <w:p>
            <w:pPr>
              <w:widowControl/>
              <w:snapToGrid w:val="0"/>
              <w:spacing w:line="276" w:lineRule="auto"/>
              <w:contextualSpacing/>
              <w:jc w:val="left"/>
              <w:rPr>
                <w:rFonts w:asciiTheme="minorEastAsia" w:hAnsiTheme="minorEastAsia" w:cstheme="minorEastAsia"/>
                <w:bCs/>
                <w:sz w:val="24"/>
                <w:szCs w:val="24"/>
              </w:rPr>
            </w:pPr>
            <w:r>
              <w:rPr>
                <w:rFonts w:hint="eastAsia" w:asciiTheme="minorEastAsia" w:hAnsiTheme="minorEastAsia" w:cstheme="minorEastAsia"/>
                <w:bCs/>
                <w:sz w:val="24"/>
                <w:szCs w:val="24"/>
              </w:rPr>
              <w:t>提供覆盖机柜、封闭冷通道，以及PDU的整体解决方案，至少五个案例，所有产品同一个厂商品牌的，具备完整和高效的监控体系。</w:t>
            </w:r>
          </w:p>
          <w:p>
            <w:pPr>
              <w:widowControl/>
              <w:snapToGrid w:val="0"/>
              <w:spacing w:line="276" w:lineRule="auto"/>
              <w:contextualSpacing/>
              <w:jc w:val="left"/>
              <w:rPr>
                <w:rFonts w:hint="eastAsia" w:ascii="宋体" w:hAnsi="宋体" w:eastAsia="宋体" w:cs="宋体"/>
                <w:bCs/>
                <w:sz w:val="24"/>
                <w:szCs w:val="24"/>
              </w:rPr>
            </w:pPr>
            <w:r>
              <w:rPr>
                <w:rFonts w:hint="eastAsia" w:asciiTheme="minorEastAsia" w:hAnsiTheme="minorEastAsia" w:cstheme="minorEastAsia"/>
                <w:b/>
                <w:bCs/>
                <w:sz w:val="24"/>
                <w:szCs w:val="24"/>
              </w:rPr>
              <w:t>评审依据：</w:t>
            </w:r>
            <w:r>
              <w:rPr>
                <w:rFonts w:hint="eastAsia" w:asciiTheme="minorEastAsia" w:hAnsiTheme="minorEastAsia" w:cstheme="minorEastAsia"/>
                <w:b/>
                <w:bCs/>
                <w:color w:val="FF0000"/>
                <w:sz w:val="24"/>
                <w:szCs w:val="24"/>
              </w:rPr>
              <w:t>提供至少五个金融行业数据中心机房案例合同</w:t>
            </w:r>
            <w:r>
              <w:rPr>
                <w:rFonts w:hint="eastAsia" w:asciiTheme="minorEastAsia" w:hAnsiTheme="minorEastAsia" w:cstheme="minorEastAsia"/>
                <w:b/>
                <w:bCs/>
                <w:sz w:val="24"/>
                <w:szCs w:val="24"/>
              </w:rPr>
              <w:t>。</w:t>
            </w:r>
            <w:r>
              <w:rPr>
                <w:rFonts w:hint="eastAsia" w:asciiTheme="minorEastAsia" w:hAnsiTheme="minorEastAsia" w:cstheme="minorEastAsia"/>
                <w:b/>
                <w:sz w:val="24"/>
                <w:szCs w:val="24"/>
              </w:rPr>
              <w:t>满足得4分；不满足得0分</w:t>
            </w:r>
            <w:r>
              <w:rPr>
                <w:rFonts w:hint="eastAsia" w:asciiTheme="minorEastAsia" w:hAnsiTheme="minorEastAsia" w:cstheme="minorEastAsia"/>
                <w:b/>
                <w:bCs/>
                <w:sz w:val="24"/>
                <w:szCs w:val="24"/>
              </w:rPr>
              <w:t>。</w:t>
            </w:r>
          </w:p>
        </w:tc>
      </w:tr>
    </w:tbl>
    <w:p>
      <w:pPr>
        <w:spacing w:line="400" w:lineRule="exact"/>
        <w:ind w:firstLine="480" w:firstLineChars="200"/>
        <w:rPr>
          <w:rFonts w:asciiTheme="minorEastAsia" w:hAnsiTheme="minorEastAsia" w:cstheme="minorEastAsia"/>
          <w:bCs/>
          <w:color w:val="FF0000"/>
          <w:sz w:val="24"/>
          <w:szCs w:val="24"/>
        </w:rPr>
      </w:pPr>
      <w:r>
        <w:rPr>
          <w:rFonts w:hint="eastAsia" w:asciiTheme="minorEastAsia" w:hAnsiTheme="minorEastAsia" w:cstheme="minorEastAsia"/>
          <w:color w:val="FF0000"/>
          <w:sz w:val="24"/>
          <w:szCs w:val="24"/>
        </w:rPr>
        <w:t>注：投标单位需提供本单位为项目经理、设计负责人、技术</w:t>
      </w:r>
      <w:r>
        <w:rPr>
          <w:rFonts w:hint="eastAsia" w:asciiTheme="minorEastAsia" w:hAnsiTheme="minorEastAsia" w:cstheme="minorEastAsia"/>
          <w:color w:val="FF0000"/>
          <w:sz w:val="24"/>
          <w:szCs w:val="24"/>
          <w:lang w:eastAsia="zh-CN"/>
        </w:rPr>
        <w:t>负责人</w:t>
      </w:r>
      <w:r>
        <w:rPr>
          <w:rFonts w:hint="eastAsia" w:asciiTheme="minorEastAsia" w:hAnsiTheme="minorEastAsia" w:cstheme="minorEastAsia"/>
          <w:color w:val="FF0000"/>
          <w:sz w:val="24"/>
          <w:szCs w:val="24"/>
        </w:rPr>
        <w:t>所缴纳最近连续3个月社保证明。</w:t>
      </w:r>
    </w:p>
    <w:p>
      <w:pPr>
        <w:spacing w:line="400" w:lineRule="exact"/>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评分说明：评标专家组根据招标文件对各投标人的投标文件中产品技术响应情况、商务与服务响应情况进行评审和综合评估并打分；评标专家组成员打分时不得协商，应独立完成。未满足招标文件要求的投标文件不予打分；招标代理机构按照确定的评分细则计算价格得分，评标专家组复核后给予确认。根据评标专家组的综合打分结果，得出预中标人排序。</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25.2  审查的主要事项为：营业执照、税务登记证、组织机构代码证、法定代表人身份证或法定代表人授权书和投标代理人身份证、投标文件的报价准确性、响应性和有效性。</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26.评标内容的保密：</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 26.1  公开开标后，直到宣布授予中标人合同为止，凡属于审查、澄清、评价和比较投标的所有资料，有关授予合同的信息都不应向投标人或与评标无关的其他人泄露。</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26.2  在投标文件的审查、澄清、评价和比较以及授予合同的过程中，投标人对招标代理机构和评标委员会成员施加影响的任何行为，都将取消其中标资格。</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26.3  在评标期间，招标代理机构将通过指定联络人与投标人进行联系。</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26.4  评标委员会不向落标人解释原因。</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27.投标文件的初审：</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27.1 投标文件的初审分为：</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27.1.1 资格性检查。依据法律法规和招标文件的规定，对投标文件中的资格证明进行审查，以确定投标供应商是否具备投标资格。投标人不符合招标文件规定的资格要求和投标条件的为无效投标。</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27.1.2   符合性检查。依据招标文件的规定，从投标文件的有效性、完整性和对招标文件的响应程度、有无计算错误进行审查，以确定是否对招标文件的实质性要求作出响应。</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27.1.3   初审中，算术计算错误将按以下方法更正：</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27.1.3.1 开标时，投标文件中开标一览表内容与投标文件明细表内容不一致的，以开标一览表为准；</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27.1.3.2  投标文件的大写金额和小写金额不一致的，以大写金额为准；</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27.1.3.3  总价金额与按单价汇总金额不一致的，以单价金额计算结果为准；</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27.1.3.4  单价金额小数点有明显错位的，应以总价为准，并修改单价；</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27.1.3.5  如果投标人不同意对其错误的更正，其投标将作无效投标处理。</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27.2  评标委员会可以允许投标文件中存在不构成实质性偏差的不正规、不一致或不规范，但不能损害或影响任何投标人的相对排序。</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27.3  实质上没有响应招标文件要求的投标被视为无效投标，投标人不得通过修正或撤消不合要求的偏离或保留从而使投标成为实质上响应的投标，如发生下列情况之一的，其投标将被视为无效投标：</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27.3.1  未提交投标书的；</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27.3.2  未提交投标一览标、明细表或明细表中未列出分项报价的；</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27.3.3  提交了可调整报价的；</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27.3.4  超出经营范围投标的；</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27.3.5  资格证明文件不全的；</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27.3.6  投标文件没有投标人签章的，法人代表授权书无法定代表人签字（签章）或签字（签章）人无法定代表人有效委托的；</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27.3.7  投标有效期不足的；</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27.3.8  技术文件技术规格中的响应与事实不符或虚假投标的；</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27.3.9招标文件规定的其他无效投标情形的。</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27.4  评标委员会决定投标的响应性只根据投标本身的真实无误的内容，而不依据外部的证据，但投标有不真实不正确的内容时除外。</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28. 投标的澄清：</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28.1  为了有助于对投标文件进行审查、评估和比较，在评标期间，招标代理机构有权就向投标人或澄清。评标委员会可对投标人其投标文件中含混之处提出询问或要求投标人进行澄清。</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28.2  投标人对投标文件的澄清不得改变投标的价格（校核时发现的算术错误除外）及实质内容。</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28.3  有关澄清的要求和答复均应以书面形式提交，投标人的澄清、说明书面材料，由其授权的代表签字。并将作为投标内容的一部分 </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29.废标：</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29.1   在招标过程中，出现下列情况之一的，应予废标：</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29.1.1 符合专业条件的供应商或者对招标文件作实质响应的供应商不足三家的；</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29.1.2 出现影响采购公正的违法、违规行为的；</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29.1.3 投标人的报价不得超过采购预算，否则作为废标；</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29.1.4 因重大变故，采购任务取消的；</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29.2   废标后，招标代理机构将把废标的理由通知所有投标人。</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30.投标的评价与比较：</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30.1  经初审合格的投标文件，评标委员会将根据招标文件确定的评标标准和方法，对其技术部分和商务部分作进一步的比较和评价。</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30.2  评标严格按照招标文件的要求和条件进行。比较报价，同时考虑以下因素：</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（1）商务条款有无偏离；</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（2）技术规格有无偏离；</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（3）设计方案先进、合理；</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（4）产品的性能、互换性及标准；</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（5）产品的先进性、可靠性；</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（6）产品的寿命、经营成本；</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（7）维修服务、备件供应；</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（8）运输条件、交货时间和安装竣工时间；</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（9）经营信誉、售后服务和质量保证等。</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30.3  本次招标采用综合评分法。即指在最大限度地满足招标文件实质性要求的前提下，按照招标文件中规定的各项因素进行综合评审后，以评标总得分最高的投标人作为中标候选供应商或中标供应商的评标方法。</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六、确定中标</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bookmarkStart w:id="39" w:name="_Ref467307010"/>
      <w:bookmarkStart w:id="40" w:name="_Toc314063831"/>
      <w:bookmarkStart w:id="41" w:name="_Toc520356170"/>
      <w:r>
        <w:rPr>
          <w:rFonts w:hint="eastAsia" w:ascii="宋体" w:hAnsi="宋体" w:cs="宋体"/>
          <w:bCs/>
          <w:color w:val="000000" w:themeColor="text1"/>
          <w:sz w:val="24"/>
          <w:szCs w:val="24"/>
          <w:lang w:val="zh-CN"/>
          <w14:textFill>
            <w14:solidFill>
              <w14:schemeClr w14:val="tx1"/>
            </w14:solidFill>
          </w14:textFill>
        </w:rPr>
        <w:t>31．中标候选人的确定</w:t>
      </w:r>
      <w:bookmarkEnd w:id="39"/>
      <w:bookmarkEnd w:id="40"/>
      <w:bookmarkEnd w:id="41"/>
      <w:r>
        <w:rPr>
          <w:rFonts w:hint="eastAsia" w:ascii="宋体" w:hAnsi="宋体" w:cs="宋体"/>
          <w:bCs/>
          <w:color w:val="000000" w:themeColor="text1"/>
          <w:sz w:val="24"/>
          <w:szCs w:val="24"/>
          <w:lang w:val="zh-CN"/>
          <w14:textFill>
            <w14:solidFill>
              <w14:schemeClr w14:val="tx1"/>
            </w14:solidFill>
          </w14:textFill>
        </w:rPr>
        <w:t>及中标公告</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31.1  本次招标采用综合评分法。即指在最大限度地满足招标文件实质性要求的前提下，按照招标文件中规定的各项因素进行综合评审后，以评标总得分最高的投标人作为第一名。推荐评标排序前三名的投标人为中标候选人。</w:t>
      </w:r>
      <w:bookmarkStart w:id="42" w:name="_Toc520356171"/>
      <w:bookmarkStart w:id="43" w:name="_Toc314063832"/>
    </w:p>
    <w:bookmarkEnd w:id="42"/>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31.2  确定中标人</w:t>
      </w:r>
      <w:bookmarkEnd w:id="43"/>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31.2.1 由评标专家组按照招标文件的要求和条件，对投标人的投标文件就价格、技术要求、商务与服务等进行评议，同时考虑投标人的信誉、业绩、质量保证等等做出结论；</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31.2.2  中标人不允许转包； </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31.2.3  采购人根据评标专家组推荐的评标总得分最高投标人为中标人。</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31.2.4  预中标供应商不能提供投标文件中的原件审查的或不能履约等情形，采购人保留与其他候选供应商签订合同的权利。</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31.3  中标结果公告：中标公告期限为1个工作日。</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31.4  评标委员会有权评定中标人。同时，为维护国家利益，招标人在授予合同之前仍有选择或拒绝投标的权力，且无须向受影响的投标人承担任何责任。</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32.合同授予标准：</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32.1  招标代理机构将把合同授予其投标文件在实质上响应招标文件要求和按本须知规定评选出的中标人。确定为中标人的必须具有实施本合同的能力和资源。</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32.2  在合同签订之前，招标代理机构有权对中标人的履约能力进行最后审查，审查方式包括询问、调查和实地考察，如发现中标人提供的材料虚假或对标书所要求说明的情况故意隐瞒或虚报，则招标代理机构有权取消其签约资格，不予退还其投标保证金，并在标书有效期内另行评定中标者。</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33.中标通知书：</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33.1  中标结果公告期满后，招标代理机构将向中标供应商发出中标通知书。中标供应商在领取中标通知书时，须向招标代理机构缴纳“投标须知前附表”规定的采购代理服务费。</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33.2  中标通知书是合同的一个组成部分。</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33.3  招标人对未中标单位不承担解释未中标原因的义务。</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34.合同的签订：</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34.1  中标人收到中标通知书后，按中标通知书中规定的时间和地点，由法定代表人或授权委托人与采购人代表签订合同。否则按开标后撤回投标处理。</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34.2  合同签订后7天内，由中标人交一份至招标代理机构存档。</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34.3  招标文件、中标人的投标文件及其澄清文件等，均为签订合同的依据。</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34.3  合同履行中，采购人需追加与合同标的相同的货物、工程或者服务的，在不改变合同其他条款的前提下，可以与供应商协商签订补充合同，但所有补充合同的采购金额不得超过原合同采购金额的百分之十。</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35.中标服务费：</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35.1  招标代理机构向中标人收取中标服务费。收费标准：按照国家发展计划委员会《招标代理服务收费管理暂行办法》（2002）1980号标准的4折收取招标代理服务费，一次性足额支付至招标代理机构</w:t>
      </w:r>
      <w:r>
        <w:rPr>
          <w:rFonts w:hint="eastAsia" w:ascii="宋体" w:hAnsi="宋体"/>
          <w:color w:val="000000" w:themeColor="text1"/>
          <w:sz w:val="24"/>
          <w:szCs w:val="24"/>
          <w14:textFill>
            <w14:solidFill>
              <w14:schemeClr w14:val="tx1"/>
            </w14:solidFill>
          </w14:textFill>
        </w:rPr>
        <w:t>。</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35.2  招标代理服务费只以现金、电汇、转账的方式进行收取。中标供应商须一次性足额支付至招标代理机构。</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35.3  中标人如果未按规定缴纳中标服务等费用的,招标代理机构将不予退还其投标保证金,并保留诉讼的权利。</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36.监督和公证：</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36.1  采购单位相关监督部门将对招投标全过程进行监督。</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36.2  招标代理机构的招标过程将通过公证机关进行公证。</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37. 中、小、微企业 </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37.1 本次投标供应商如为中、小、微企业的，在参加本次采购项目时，必须提供《中小企业声明函》以及企业所在地的县级以上中小企业主管部门出具的中、小、微企业认定有效证明。 </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37.2 本次投标供应商如为中、小、微企业的，在参加本次采购项目时，提供其他中小企业制造货物的，必须同时提供货物制造企业的《中小企业声明函》以及企业所在地的县级以上中小企业主管部门出具的中、小、微企业认定有效证明。 </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37.3 小型、微型企业提供中型企业制造的货物的，视同为中型企业。 </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37.4 对小型和微型企业产品的价格给予 6%的扣除，用扣除后的价格参与评审。 </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37.5 监狱企业参加采购项目投标时，必须提供省级以上监狱管理局、戒毒管理局（含新疆生产建设兵团）出具的属于监狱企业证明文件。 </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37.6 监狱企业及残疾人福利性单位视同小型、微型企业，享受评审中价格扣除等政府促进中小企业发展的采购政策。 </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37.7 符合条件的残疾人福利性单位，应当提供《残疾人福利性单位声明函》证明文件，残疾人福利性单位属于小型、微型企业的，不重复享受政策。</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38. 节能、环保产品 </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38.1 节能产品是指列入《节能产品政府采购清单》的产品； </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38.2 环保产品是指列入《环境标志产品政府采购清单》的产品； </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38.3 《节能产品政府采购清单》《环境标志产品政府采购清单》以《中国政府采购网》发布的最新一期为准； </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38.4、 如属节能、环保产品需提供所在清单页的复印件或截图； </w:t>
      </w:r>
    </w:p>
    <w:p>
      <w:pPr>
        <w:autoSpaceDE w:val="0"/>
        <w:autoSpaceDN w:val="0"/>
        <w:adjustRightInd w:val="0"/>
        <w:spacing w:line="400" w:lineRule="exact"/>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38.5、优先采购节能、环保产品。</w:t>
      </w:r>
    </w:p>
    <w:p>
      <w:pPr>
        <w:autoSpaceDE w:val="0"/>
        <w:autoSpaceDN w:val="0"/>
        <w:adjustRightInd w:val="0"/>
        <w:spacing w:line="400" w:lineRule="exact"/>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39.未尽事宜：按相关法律法规的规定执行。</w:t>
      </w:r>
    </w:p>
    <w:p>
      <w:pPr>
        <w:pStyle w:val="14"/>
      </w:pPr>
    </w:p>
    <w:p>
      <w:pPr>
        <w:widowControl/>
        <w:spacing w:line="560" w:lineRule="exact"/>
        <w:ind w:firstLine="880" w:firstLineChars="200"/>
        <w:jc w:val="center"/>
        <w:rPr>
          <w:rFonts w:hint="eastAsia" w:ascii="黑体" w:hAnsi="宋体" w:eastAsia="黑体" w:cs="Times New Roman"/>
          <w:bCs/>
          <w:color w:val="000000" w:themeColor="text1"/>
          <w:sz w:val="44"/>
          <w:szCs w:val="44"/>
          <w:lang w:eastAsia="zh-CN"/>
          <w14:textFill>
            <w14:solidFill>
              <w14:schemeClr w14:val="tx1"/>
            </w14:solidFill>
          </w14:textFill>
        </w:rPr>
      </w:pPr>
    </w:p>
    <w:p>
      <w:pPr>
        <w:widowControl/>
        <w:spacing w:line="560" w:lineRule="exact"/>
        <w:ind w:firstLine="880" w:firstLineChars="200"/>
        <w:jc w:val="center"/>
        <w:rPr>
          <w:rFonts w:hint="eastAsia" w:ascii="黑体" w:hAnsi="宋体" w:eastAsia="黑体" w:cs="Times New Roman"/>
          <w:bCs/>
          <w:color w:val="000000" w:themeColor="text1"/>
          <w:sz w:val="44"/>
          <w:szCs w:val="44"/>
          <w:lang w:eastAsia="zh-CN"/>
          <w14:textFill>
            <w14:solidFill>
              <w14:schemeClr w14:val="tx1"/>
            </w14:solidFill>
          </w14:textFill>
        </w:rPr>
      </w:pPr>
    </w:p>
    <w:p>
      <w:pPr>
        <w:widowControl/>
        <w:spacing w:line="560" w:lineRule="exact"/>
        <w:jc w:val="both"/>
        <w:rPr>
          <w:rFonts w:hint="eastAsia" w:ascii="黑体" w:hAnsi="宋体" w:eastAsia="黑体" w:cs="Times New Roman"/>
          <w:bCs/>
          <w:color w:val="000000" w:themeColor="text1"/>
          <w:sz w:val="44"/>
          <w:szCs w:val="44"/>
          <w:lang w:eastAsia="zh-CN"/>
          <w14:textFill>
            <w14:solidFill>
              <w14:schemeClr w14:val="tx1"/>
            </w14:solidFill>
          </w14:textFill>
        </w:rPr>
      </w:pPr>
    </w:p>
    <w:p>
      <w:pPr>
        <w:pStyle w:val="2"/>
        <w:rPr>
          <w:rFonts w:hint="eastAsia" w:ascii="黑体" w:hAnsi="宋体" w:eastAsia="黑体" w:cs="Times New Roman"/>
          <w:bCs/>
          <w:color w:val="000000" w:themeColor="text1"/>
          <w:sz w:val="44"/>
          <w:szCs w:val="44"/>
          <w:lang w:eastAsia="zh-CN"/>
          <w14:textFill>
            <w14:solidFill>
              <w14:schemeClr w14:val="tx1"/>
            </w14:solidFill>
          </w14:textFill>
        </w:rPr>
      </w:pPr>
    </w:p>
    <w:p>
      <w:pPr>
        <w:rPr>
          <w:rFonts w:hint="eastAsia"/>
          <w:lang w:eastAsia="zh-CN"/>
        </w:rPr>
      </w:pPr>
    </w:p>
    <w:p>
      <w:pPr>
        <w:widowControl/>
        <w:spacing w:line="560" w:lineRule="exact"/>
        <w:ind w:firstLine="880" w:firstLineChars="200"/>
        <w:jc w:val="center"/>
        <w:rPr>
          <w:rFonts w:hint="eastAsia" w:ascii="仿宋" w:hAnsi="仿宋" w:eastAsia="仿宋" w:cs="仿宋"/>
          <w:b/>
          <w:bCs/>
          <w:sz w:val="28"/>
          <w:szCs w:val="28"/>
          <w:lang w:val="zh-CN"/>
        </w:rPr>
      </w:pPr>
      <w:r>
        <w:rPr>
          <w:rFonts w:hint="eastAsia" w:ascii="黑体" w:hAnsi="宋体" w:eastAsia="黑体" w:cs="Times New Roman"/>
          <w:bCs/>
          <w:color w:val="000000" w:themeColor="text1"/>
          <w:sz w:val="44"/>
          <w:szCs w:val="44"/>
          <w:lang w:eastAsia="zh-CN"/>
          <w14:textFill>
            <w14:solidFill>
              <w14:schemeClr w14:val="tx1"/>
            </w14:solidFill>
          </w14:textFill>
        </w:rPr>
        <w:t>第三章</w:t>
      </w:r>
      <w:r>
        <w:rPr>
          <w:rFonts w:hint="eastAsia" w:ascii="黑体" w:hAnsi="宋体" w:eastAsia="黑体" w:cs="Times New Roman"/>
          <w:bCs/>
          <w:color w:val="000000" w:themeColor="text1"/>
          <w:sz w:val="44"/>
          <w:szCs w:val="44"/>
          <w:lang w:val="en-US" w:eastAsia="zh-CN"/>
          <w14:textFill>
            <w14:solidFill>
              <w14:schemeClr w14:val="tx1"/>
            </w14:solidFill>
          </w14:textFill>
        </w:rPr>
        <w:t xml:space="preserve"> </w:t>
      </w:r>
      <w:r>
        <w:rPr>
          <w:rFonts w:hint="eastAsia" w:ascii="黑体" w:hAnsi="宋体" w:eastAsia="黑体" w:cs="Times New Roman"/>
          <w:bCs/>
          <w:color w:val="000000" w:themeColor="text1"/>
          <w:sz w:val="44"/>
          <w:szCs w:val="44"/>
          <w14:textFill>
            <w14:solidFill>
              <w14:schemeClr w14:val="tx1"/>
            </w14:solidFill>
          </w14:textFill>
        </w:rPr>
        <w:t>采购需求及技术</w:t>
      </w:r>
      <w:r>
        <w:rPr>
          <w:rFonts w:hint="eastAsia" w:ascii="黑体" w:hAnsi="Calibri" w:eastAsia="黑体" w:cs="Times New Roman"/>
          <w:bCs/>
          <w:color w:val="000000" w:themeColor="text1"/>
          <w:sz w:val="44"/>
          <w:szCs w:val="44"/>
          <w14:textFill>
            <w14:solidFill>
              <w14:schemeClr w14:val="tx1"/>
            </w14:solidFill>
          </w14:textFill>
        </w:rPr>
        <w:t>参数</w:t>
      </w:r>
      <w:r>
        <w:rPr>
          <w:rFonts w:hint="eastAsia" w:ascii="黑体" w:hAnsi="宋体" w:eastAsia="黑体" w:cs="Times New Roman"/>
          <w:bCs/>
          <w:color w:val="000000" w:themeColor="text1"/>
          <w:sz w:val="44"/>
          <w:szCs w:val="44"/>
          <w14:textFill>
            <w14:solidFill>
              <w14:schemeClr w14:val="tx1"/>
            </w14:solidFill>
          </w14:textFill>
        </w:rPr>
        <w:t>要求</w:t>
      </w:r>
    </w:p>
    <w:p>
      <w:pPr>
        <w:widowControl/>
        <w:spacing w:line="560" w:lineRule="exact"/>
        <w:jc w:val="center"/>
        <w:rPr>
          <w:rFonts w:hint="eastAsia" w:ascii="仿宋" w:hAnsi="仿宋" w:eastAsia="仿宋" w:cs="仿宋"/>
          <w:b/>
          <w:bCs/>
          <w:sz w:val="48"/>
          <w:szCs w:val="48"/>
        </w:rPr>
      </w:pPr>
    </w:p>
    <w:p>
      <w:pPr>
        <w:widowControl/>
        <w:spacing w:line="560" w:lineRule="exact"/>
        <w:jc w:val="center"/>
        <w:rPr>
          <w:rFonts w:hint="eastAsia" w:ascii="仿宋" w:hAnsi="仿宋" w:eastAsia="仿宋" w:cs="仿宋"/>
          <w:b/>
          <w:bCs/>
          <w:sz w:val="48"/>
          <w:szCs w:val="48"/>
          <w:lang w:val="zh-CN"/>
        </w:rPr>
      </w:pPr>
      <w:r>
        <w:rPr>
          <w:rFonts w:hint="eastAsia" w:ascii="仿宋" w:hAnsi="仿宋" w:eastAsia="仿宋" w:cs="仿宋"/>
          <w:b/>
          <w:bCs/>
          <w:sz w:val="48"/>
          <w:szCs w:val="48"/>
        </w:rPr>
        <w:t>赣州银行南康灾备</w:t>
      </w:r>
      <w:r>
        <w:rPr>
          <w:rFonts w:hint="eastAsia" w:ascii="仿宋" w:hAnsi="仿宋" w:eastAsia="仿宋" w:cs="仿宋"/>
          <w:b/>
          <w:bCs/>
          <w:sz w:val="48"/>
          <w:szCs w:val="48"/>
          <w:lang w:val="zh-CN"/>
        </w:rPr>
        <w:t>数据中心</w:t>
      </w:r>
    </w:p>
    <w:p>
      <w:pPr>
        <w:widowControl/>
        <w:spacing w:line="560" w:lineRule="exact"/>
        <w:jc w:val="center"/>
        <w:rPr>
          <w:rFonts w:hint="eastAsia" w:ascii="仿宋" w:hAnsi="仿宋" w:eastAsia="仿宋" w:cs="仿宋"/>
          <w:b/>
          <w:bCs/>
          <w:sz w:val="48"/>
          <w:szCs w:val="48"/>
          <w:lang w:val="zh-CN"/>
        </w:rPr>
      </w:pPr>
      <w:r>
        <w:rPr>
          <w:rFonts w:hint="eastAsia" w:ascii="仿宋" w:hAnsi="仿宋" w:eastAsia="仿宋" w:cs="仿宋"/>
          <w:b/>
          <w:bCs/>
          <w:sz w:val="48"/>
          <w:szCs w:val="48"/>
          <w:lang w:val="zh-CN"/>
        </w:rPr>
        <w:t>设计及施工一体化</w:t>
      </w:r>
    </w:p>
    <w:p>
      <w:pPr>
        <w:widowControl/>
        <w:spacing w:line="560" w:lineRule="exact"/>
        <w:jc w:val="center"/>
        <w:rPr>
          <w:rFonts w:hint="eastAsia" w:ascii="仿宋" w:hAnsi="仿宋" w:eastAsia="仿宋" w:cs="仿宋"/>
          <w:b/>
          <w:bCs/>
          <w:sz w:val="48"/>
          <w:szCs w:val="48"/>
          <w:lang w:val="zh-CN"/>
        </w:rPr>
      </w:pPr>
      <w:r>
        <w:rPr>
          <w:rFonts w:hint="eastAsia" w:ascii="仿宋" w:hAnsi="仿宋" w:eastAsia="仿宋" w:cs="仿宋"/>
          <w:b/>
          <w:bCs/>
          <w:sz w:val="48"/>
          <w:szCs w:val="48"/>
          <w:lang w:val="zh-CN"/>
        </w:rPr>
        <w:t>总承包工程</w:t>
      </w:r>
      <w:r>
        <w:rPr>
          <w:rFonts w:hint="eastAsia" w:ascii="仿宋" w:hAnsi="仿宋" w:eastAsia="仿宋" w:cs="仿宋"/>
          <w:b/>
          <w:bCs/>
          <w:sz w:val="48"/>
          <w:szCs w:val="48"/>
        </w:rPr>
        <w:t xml:space="preserve">  </w:t>
      </w:r>
      <w:r>
        <w:rPr>
          <w:rFonts w:hint="eastAsia" w:ascii="仿宋" w:hAnsi="仿宋" w:eastAsia="仿宋" w:cs="仿宋"/>
          <w:b/>
          <w:bCs/>
          <w:sz w:val="44"/>
          <w:szCs w:val="44"/>
        </w:rPr>
        <w:t xml:space="preserve"> </w:t>
      </w:r>
      <w:r>
        <w:rPr>
          <w:rFonts w:hint="eastAsia" w:ascii="仿宋" w:hAnsi="仿宋" w:eastAsia="仿宋" w:cs="仿宋"/>
          <w:b/>
          <w:bCs/>
          <w:sz w:val="48"/>
          <w:szCs w:val="48"/>
        </w:rPr>
        <w:t xml:space="preserve"> </w:t>
      </w:r>
      <w:r>
        <w:rPr>
          <w:rFonts w:hint="eastAsia" w:ascii="仿宋" w:hAnsi="仿宋" w:eastAsia="仿宋" w:cs="仿宋"/>
          <w:b/>
          <w:bCs/>
          <w:sz w:val="36"/>
          <w:szCs w:val="36"/>
        </w:rPr>
        <w:t xml:space="preserve">  </w:t>
      </w:r>
      <w:r>
        <w:rPr>
          <w:rFonts w:hint="eastAsia" w:ascii="仿宋" w:hAnsi="仿宋" w:eastAsia="仿宋" w:cs="仿宋"/>
          <w:b/>
          <w:sz w:val="36"/>
          <w:szCs w:val="36"/>
        </w:rPr>
        <w:t xml:space="preserve">         </w:t>
      </w:r>
    </w:p>
    <w:p>
      <w:pPr>
        <w:widowControl/>
        <w:spacing w:line="560" w:lineRule="exact"/>
        <w:ind w:firstLine="883"/>
        <w:jc w:val="center"/>
        <w:rPr>
          <w:rFonts w:hint="eastAsia" w:ascii="仿宋" w:hAnsi="仿宋" w:eastAsia="仿宋" w:cs="仿宋"/>
          <w:b/>
          <w:sz w:val="36"/>
          <w:szCs w:val="36"/>
        </w:rPr>
      </w:pPr>
    </w:p>
    <w:p>
      <w:pPr>
        <w:widowControl/>
        <w:spacing w:line="560" w:lineRule="exact"/>
        <w:ind w:firstLine="883"/>
        <w:jc w:val="center"/>
        <w:rPr>
          <w:rFonts w:hint="eastAsia" w:ascii="仿宋" w:hAnsi="仿宋" w:eastAsia="仿宋" w:cs="仿宋"/>
          <w:b/>
          <w:sz w:val="36"/>
          <w:szCs w:val="36"/>
        </w:rPr>
      </w:pPr>
    </w:p>
    <w:p>
      <w:pPr>
        <w:widowControl/>
        <w:spacing w:line="560" w:lineRule="exact"/>
        <w:ind w:firstLine="883"/>
        <w:jc w:val="center"/>
        <w:rPr>
          <w:rFonts w:hint="eastAsia" w:ascii="仿宋" w:hAnsi="仿宋" w:eastAsia="仿宋" w:cs="仿宋"/>
          <w:b/>
          <w:sz w:val="36"/>
          <w:szCs w:val="36"/>
        </w:rPr>
      </w:pPr>
    </w:p>
    <w:p>
      <w:pPr>
        <w:widowControl/>
        <w:spacing w:line="560" w:lineRule="exact"/>
        <w:jc w:val="center"/>
        <w:rPr>
          <w:rFonts w:hint="eastAsia" w:ascii="仿宋" w:hAnsi="仿宋" w:eastAsia="仿宋" w:cs="仿宋"/>
          <w:bCs/>
          <w:sz w:val="36"/>
          <w:szCs w:val="36"/>
        </w:rPr>
      </w:pPr>
      <w:r>
        <w:rPr>
          <w:rFonts w:hint="eastAsia" w:ascii="仿宋" w:hAnsi="仿宋" w:eastAsia="仿宋" w:cs="仿宋"/>
          <w:b/>
          <w:bCs/>
          <w:sz w:val="40"/>
          <w:szCs w:val="40"/>
        </w:rPr>
        <w:t>技术需求</w:t>
      </w:r>
      <w:r>
        <w:rPr>
          <w:rFonts w:hint="eastAsia" w:ascii="仿宋" w:hAnsi="仿宋" w:eastAsia="仿宋" w:cs="仿宋"/>
          <w:sz w:val="36"/>
          <w:szCs w:val="36"/>
        </w:rPr>
        <w:t xml:space="preserve">                        </w:t>
      </w:r>
    </w:p>
    <w:p>
      <w:pPr>
        <w:widowControl/>
        <w:spacing w:line="560" w:lineRule="exact"/>
        <w:ind w:right="1688" w:rightChars="804"/>
        <w:textAlignment w:val="top"/>
        <w:rPr>
          <w:rFonts w:hint="eastAsia" w:ascii="仿宋" w:hAnsi="仿宋" w:eastAsia="仿宋" w:cs="仿宋"/>
          <w:sz w:val="28"/>
          <w:szCs w:val="28"/>
        </w:rPr>
      </w:pPr>
    </w:p>
    <w:p>
      <w:pPr>
        <w:widowControl/>
        <w:spacing w:line="560" w:lineRule="exact"/>
        <w:ind w:right="1688" w:rightChars="804"/>
        <w:textAlignment w:val="top"/>
        <w:rPr>
          <w:rFonts w:hint="eastAsia" w:ascii="仿宋" w:hAnsi="仿宋" w:eastAsia="仿宋" w:cs="仿宋"/>
          <w:sz w:val="28"/>
          <w:szCs w:val="28"/>
        </w:rPr>
      </w:pPr>
    </w:p>
    <w:p>
      <w:pPr>
        <w:widowControl/>
        <w:spacing w:line="560" w:lineRule="exact"/>
        <w:ind w:right="1688" w:rightChars="804"/>
        <w:textAlignment w:val="top"/>
        <w:rPr>
          <w:rFonts w:hint="eastAsia" w:ascii="仿宋" w:hAnsi="仿宋" w:eastAsia="仿宋" w:cs="仿宋"/>
          <w:sz w:val="28"/>
          <w:szCs w:val="28"/>
        </w:rPr>
      </w:pPr>
    </w:p>
    <w:p>
      <w:pPr>
        <w:widowControl/>
        <w:spacing w:line="560" w:lineRule="exact"/>
        <w:ind w:right="1688" w:rightChars="804"/>
        <w:textAlignment w:val="top"/>
        <w:rPr>
          <w:rFonts w:hint="eastAsia" w:ascii="仿宋" w:hAnsi="仿宋" w:eastAsia="仿宋" w:cs="仿宋"/>
          <w:sz w:val="28"/>
          <w:szCs w:val="28"/>
        </w:rPr>
      </w:pPr>
    </w:p>
    <w:p>
      <w:pPr>
        <w:widowControl/>
        <w:spacing w:line="560" w:lineRule="exact"/>
        <w:ind w:right="1688" w:rightChars="804"/>
        <w:textAlignment w:val="top"/>
        <w:rPr>
          <w:rFonts w:hint="eastAsia" w:ascii="仿宋" w:hAnsi="仿宋" w:eastAsia="仿宋" w:cs="仿宋"/>
          <w:sz w:val="28"/>
          <w:szCs w:val="28"/>
        </w:rPr>
      </w:pPr>
    </w:p>
    <w:p>
      <w:pPr>
        <w:widowControl/>
        <w:spacing w:line="560" w:lineRule="exact"/>
        <w:ind w:right="1688" w:rightChars="804"/>
        <w:textAlignment w:val="top"/>
        <w:rPr>
          <w:rFonts w:hint="eastAsia" w:ascii="仿宋" w:hAnsi="仿宋" w:eastAsia="仿宋" w:cs="仿宋"/>
          <w:sz w:val="28"/>
          <w:szCs w:val="28"/>
        </w:rPr>
      </w:pPr>
    </w:p>
    <w:p>
      <w:pPr>
        <w:widowControl/>
        <w:spacing w:line="560" w:lineRule="exact"/>
        <w:jc w:val="center"/>
        <w:textAlignment w:val="top"/>
        <w:rPr>
          <w:rFonts w:hint="eastAsia" w:ascii="仿宋" w:hAnsi="仿宋" w:eastAsia="仿宋" w:cs="仿宋"/>
          <w:b/>
          <w:sz w:val="28"/>
          <w:szCs w:val="28"/>
        </w:rPr>
      </w:pPr>
      <w:r>
        <w:rPr>
          <w:rFonts w:hint="eastAsia" w:ascii="仿宋" w:hAnsi="仿宋" w:eastAsia="仿宋" w:cs="仿宋"/>
          <w:b/>
          <w:sz w:val="28"/>
          <w:szCs w:val="28"/>
          <w:lang w:val="zh-CN"/>
        </w:rPr>
        <w:t>招标人：赣州银行股份</w:t>
      </w:r>
      <w:r>
        <w:rPr>
          <w:rFonts w:hint="eastAsia" w:ascii="仿宋" w:hAnsi="仿宋" w:eastAsia="仿宋" w:cs="仿宋"/>
          <w:b/>
          <w:sz w:val="28"/>
          <w:szCs w:val="28"/>
        </w:rPr>
        <w:t>有限公司</w:t>
      </w:r>
    </w:p>
    <w:p>
      <w:pPr>
        <w:spacing w:line="560" w:lineRule="exact"/>
        <w:jc w:val="center"/>
        <w:textAlignment w:val="top"/>
        <w:rPr>
          <w:rFonts w:hint="eastAsia" w:ascii="仿宋" w:hAnsi="仿宋" w:cs="仿宋"/>
          <w:b/>
          <w:szCs w:val="28"/>
        </w:rPr>
        <w:sectPr>
          <w:footerReference r:id="rId4" w:type="first"/>
          <w:footerReference r:id="rId3" w:type="default"/>
          <w:pgSz w:w="11906" w:h="16838"/>
          <w:pgMar w:top="1440" w:right="1800" w:bottom="1440" w:left="1800" w:header="851" w:footer="992" w:gutter="0"/>
          <w:pgNumType w:fmt="decimal" w:start="1"/>
          <w:cols w:space="720" w:num="1"/>
          <w:titlePg/>
          <w:docGrid w:type="lines" w:linePitch="381" w:charSpace="0"/>
        </w:sectPr>
      </w:pPr>
      <w:r>
        <w:rPr>
          <w:rFonts w:hint="eastAsia" w:ascii="仿宋" w:hAnsi="仿宋" w:eastAsia="仿宋" w:cs="仿宋"/>
          <w:b/>
          <w:sz w:val="28"/>
          <w:szCs w:val="28"/>
        </w:rPr>
        <w:t>日  期： 2020</w:t>
      </w:r>
      <w:r>
        <w:rPr>
          <w:rFonts w:hint="eastAsia" w:ascii="仿宋" w:hAnsi="仿宋" w:eastAsia="仿宋" w:cs="仿宋"/>
          <w:b/>
          <w:sz w:val="28"/>
          <w:szCs w:val="28"/>
          <w:lang w:val="zh-CN"/>
        </w:rPr>
        <w:t>年</w:t>
      </w:r>
      <w:r>
        <w:rPr>
          <w:rFonts w:hint="eastAsia" w:ascii="仿宋" w:hAnsi="仿宋" w:eastAsia="仿宋" w:cs="仿宋"/>
          <w:b/>
          <w:sz w:val="28"/>
          <w:szCs w:val="28"/>
          <w:lang w:val="en-US" w:eastAsia="zh-CN"/>
        </w:rPr>
        <w:t>8</w:t>
      </w:r>
      <w:r>
        <w:rPr>
          <w:rFonts w:hint="eastAsia" w:ascii="仿宋" w:hAnsi="仿宋" w:eastAsia="仿宋" w:cs="仿宋"/>
          <w:b/>
          <w:sz w:val="28"/>
          <w:szCs w:val="28"/>
        </w:rPr>
        <w:t>月</w:t>
      </w:r>
    </w:p>
    <w:p>
      <w:pPr>
        <w:widowControl/>
        <w:numPr>
          <w:ilvl w:val="0"/>
          <w:numId w:val="0"/>
        </w:numPr>
        <w:spacing w:before="10" w:beforeLines="0" w:after="0" w:afterLines="0" w:line="360" w:lineRule="auto"/>
        <w:jc w:val="center"/>
        <w:textAlignment w:val="baseline"/>
        <w:outlineLvl w:val="9"/>
        <w:rPr>
          <w:rFonts w:hint="eastAsia" w:ascii="仿宋" w:hAnsi="仿宋" w:eastAsia="仿宋" w:cs="Times New Roman"/>
          <w:b/>
          <w:color w:val="auto"/>
          <w:kern w:val="0"/>
          <w:sz w:val="28"/>
          <w:szCs w:val="28"/>
          <w:lang w:val="zh-CN" w:eastAsia="zh-CN" w:bidi="ar-SA"/>
        </w:rPr>
      </w:pPr>
      <w:bookmarkStart w:id="44" w:name="_Toc11386"/>
      <w:bookmarkStart w:id="45" w:name="_Toc10315"/>
      <w:bookmarkStart w:id="46" w:name="_Toc7476"/>
      <w:bookmarkStart w:id="47" w:name="_Toc25257"/>
      <w:bookmarkStart w:id="48" w:name="_Toc25840"/>
      <w:r>
        <w:rPr>
          <w:rFonts w:hint="eastAsia" w:ascii="仿宋" w:hAnsi="仿宋" w:eastAsia="仿宋" w:cs="Times New Roman"/>
          <w:b/>
          <w:color w:val="auto"/>
          <w:kern w:val="0"/>
          <w:sz w:val="28"/>
          <w:szCs w:val="28"/>
          <w:lang w:val="zh-CN" w:eastAsia="zh-CN" w:bidi="ar-SA"/>
        </w:rPr>
        <w:t>目</w:t>
      </w:r>
      <w:r>
        <w:rPr>
          <w:rFonts w:hint="eastAsia" w:ascii="仿宋" w:hAnsi="仿宋" w:eastAsia="仿宋" w:cs="Times New Roman"/>
          <w:b/>
          <w:color w:val="auto"/>
          <w:kern w:val="0"/>
          <w:sz w:val="28"/>
          <w:szCs w:val="28"/>
          <w:lang w:val="en-US" w:eastAsia="zh-CN" w:bidi="ar-SA"/>
        </w:rPr>
        <w:t xml:space="preserve">        </w:t>
      </w:r>
      <w:r>
        <w:rPr>
          <w:rFonts w:hint="eastAsia" w:ascii="仿宋" w:hAnsi="仿宋" w:eastAsia="仿宋" w:cs="Times New Roman"/>
          <w:b/>
          <w:color w:val="auto"/>
          <w:kern w:val="0"/>
          <w:sz w:val="28"/>
          <w:szCs w:val="28"/>
          <w:lang w:val="zh-CN" w:eastAsia="zh-CN" w:bidi="ar-SA"/>
        </w:rPr>
        <w:t>录</w:t>
      </w:r>
      <w:bookmarkEnd w:id="44"/>
      <w:bookmarkEnd w:id="45"/>
      <w:bookmarkEnd w:id="46"/>
      <w:bookmarkEnd w:id="47"/>
      <w:bookmarkEnd w:id="48"/>
    </w:p>
    <w:p>
      <w:pPr>
        <w:tabs>
          <w:tab w:val="right" w:leader="dot" w:pos="8306"/>
        </w:tabs>
        <w:jc w:val="both"/>
        <w:rPr>
          <w:rFonts w:ascii="Calibri" w:hAnsi="Calibri" w:eastAsia="仿宋" w:cs="Times New Roman"/>
          <w:kern w:val="2"/>
          <w:sz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TOC \o "1-3" \h  \u </w:instrText>
      </w:r>
      <w:r>
        <w:rPr>
          <w:rFonts w:hint="eastAsia" w:ascii="仿宋" w:hAnsi="仿宋" w:eastAsia="仿宋" w:cs="仿宋"/>
          <w:kern w:val="2"/>
          <w:sz w:val="28"/>
          <w:szCs w:val="28"/>
          <w:lang w:val="en-US" w:eastAsia="zh-CN" w:bidi="ar-SA"/>
        </w:rPr>
        <w:fldChar w:fldCharType="separate"/>
      </w:r>
    </w:p>
    <w:p>
      <w:pPr>
        <w:tabs>
          <w:tab w:val="right" w:leader="dot" w:pos="8306"/>
        </w:tabs>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_Toc8493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30"/>
          <w:lang w:val="en-US" w:eastAsia="zh-CN" w:bidi="ar-SA"/>
        </w:rPr>
        <w:t xml:space="preserve">第一章 </w:t>
      </w:r>
      <w:r>
        <w:rPr>
          <w:rFonts w:hint="eastAsia" w:ascii="Calibri" w:hAnsi="Calibri" w:eastAsia="仿宋" w:cs="Times New Roman"/>
          <w:kern w:val="2"/>
          <w:sz w:val="28"/>
          <w:szCs w:val="30"/>
          <w:lang w:val="en-US" w:eastAsia="zh-CN" w:bidi="ar-SA"/>
        </w:rPr>
        <w:t>项目概述</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840" w:leftChars="400"/>
        <w:jc w:val="both"/>
        <w:rPr>
          <w:rFonts w:ascii="Calibri" w:hAnsi="Calibri" w:eastAsia="仿宋" w:cs="Times New Roman"/>
          <w:kern w:val="2"/>
          <w:sz w:val="28"/>
          <w:lang w:val="en-US" w:eastAsia="zh-CN" w:bidi="ar-SA"/>
        </w:rPr>
      </w:pPr>
    </w:p>
    <w:p>
      <w:pPr>
        <w:tabs>
          <w:tab w:val="right" w:leader="dot" w:pos="8306"/>
        </w:tabs>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_Toc24514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lang w:val="en-US" w:eastAsia="zh-CN" w:bidi="ar-SA"/>
        </w:rPr>
        <w:t xml:space="preserve">第二章 </w:t>
      </w:r>
      <w:r>
        <w:rPr>
          <w:rFonts w:hint="eastAsia" w:ascii="Calibri" w:hAnsi="Calibri" w:eastAsia="仿宋" w:cs="Times New Roman"/>
          <w:kern w:val="2"/>
          <w:sz w:val="28"/>
          <w:szCs w:val="30"/>
          <w:lang w:val="en-US" w:eastAsia="zh-CN" w:bidi="ar-SA"/>
        </w:rPr>
        <w:t>建设依据</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p>
    <w:p>
      <w:pPr>
        <w:tabs>
          <w:tab w:val="right" w:leader="dot" w:pos="8306"/>
        </w:tabs>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_Toc30117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30"/>
          <w:lang w:val="en-US" w:eastAsia="zh-CN" w:bidi="ar-SA"/>
        </w:rPr>
        <w:t xml:space="preserve">第三章 </w:t>
      </w:r>
      <w:r>
        <w:rPr>
          <w:rFonts w:hint="eastAsia" w:ascii="Calibri" w:hAnsi="Calibri" w:eastAsia="仿宋" w:cs="Times New Roman"/>
          <w:kern w:val="2"/>
          <w:sz w:val="28"/>
          <w:szCs w:val="30"/>
          <w:lang w:val="en-US" w:eastAsia="zh-CN" w:bidi="ar-SA"/>
        </w:rPr>
        <w:t>建设分期与工程范围</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840" w:leftChars="400"/>
        <w:jc w:val="both"/>
        <w:rPr>
          <w:rFonts w:ascii="Calibri" w:hAnsi="Calibri" w:eastAsia="仿宋" w:cs="Times New Roman"/>
          <w:kern w:val="2"/>
          <w:sz w:val="28"/>
          <w:lang w:val="en-US" w:eastAsia="zh-CN" w:bidi="ar-SA"/>
        </w:rPr>
      </w:pPr>
    </w:p>
    <w:p>
      <w:pPr>
        <w:tabs>
          <w:tab w:val="right" w:leader="dot" w:pos="8306"/>
        </w:tabs>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_Toc29802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30"/>
          <w:lang w:val="en-US" w:eastAsia="zh-CN" w:bidi="ar-SA"/>
        </w:rPr>
        <w:t xml:space="preserve">第四章 </w:t>
      </w:r>
      <w:r>
        <w:rPr>
          <w:rFonts w:hint="eastAsia" w:ascii="Calibri" w:hAnsi="Calibri" w:eastAsia="仿宋" w:cs="Times New Roman"/>
          <w:kern w:val="2"/>
          <w:sz w:val="28"/>
          <w:szCs w:val="30"/>
          <w:lang w:val="en-US" w:eastAsia="zh-CN" w:bidi="ar-SA"/>
        </w:rPr>
        <w:t>总体规划设计说明</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p>
    <w:p>
      <w:pPr>
        <w:tabs>
          <w:tab w:val="right" w:leader="dot" w:pos="8306"/>
        </w:tabs>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_Toc28982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30"/>
          <w:lang w:val="en-US" w:eastAsia="zh-CN" w:bidi="ar-SA"/>
        </w:rPr>
        <w:t xml:space="preserve">第五章 </w:t>
      </w:r>
      <w:r>
        <w:rPr>
          <w:rFonts w:hint="eastAsia" w:ascii="Calibri" w:hAnsi="Calibri" w:eastAsia="仿宋" w:cs="Times New Roman"/>
          <w:kern w:val="2"/>
          <w:sz w:val="28"/>
          <w:szCs w:val="30"/>
          <w:lang w:val="en-US" w:eastAsia="zh-CN" w:bidi="ar-SA"/>
        </w:rPr>
        <w:t>各专业设计与施工要求</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_Toc2698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一 </w:t>
      </w:r>
      <w:r>
        <w:rPr>
          <w:rFonts w:hint="eastAsia" w:ascii="Calibri" w:hAnsi="Calibri" w:eastAsia="仿宋" w:cs="Times New Roman"/>
          <w:kern w:val="2"/>
          <w:sz w:val="28"/>
          <w:szCs w:val="28"/>
          <w:lang w:val="en-US" w:eastAsia="zh-CN" w:bidi="ar-SA"/>
        </w:rPr>
        <w:t>装饰装修系统</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_Toc9536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二 </w:t>
      </w:r>
      <w:r>
        <w:rPr>
          <w:rFonts w:hint="eastAsia" w:ascii="Calibri" w:hAnsi="Calibri" w:eastAsia="仿宋" w:cs="Times New Roman"/>
          <w:kern w:val="2"/>
          <w:sz w:val="28"/>
          <w:szCs w:val="28"/>
          <w:lang w:val="en-US" w:eastAsia="zh-CN" w:bidi="ar-SA"/>
        </w:rPr>
        <w:t>电气系统</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hint="eastAsia"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_Toc13449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三 </w:t>
      </w:r>
      <w:r>
        <w:rPr>
          <w:rFonts w:hint="eastAsia" w:ascii="Calibri" w:hAnsi="Calibri" w:eastAsia="仿宋" w:cs="Times New Roman"/>
          <w:kern w:val="2"/>
          <w:sz w:val="28"/>
          <w:szCs w:val="28"/>
          <w:lang w:val="en-US" w:eastAsia="zh-CN" w:bidi="ar-SA"/>
        </w:rPr>
        <w:t>暖通系统</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_Toc6284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四 </w:t>
      </w:r>
      <w:r>
        <w:rPr>
          <w:rFonts w:hint="eastAsia" w:ascii="Calibri" w:hAnsi="Calibri" w:eastAsia="仿宋" w:cs="Times New Roman"/>
          <w:kern w:val="2"/>
          <w:sz w:val="28"/>
          <w:szCs w:val="28"/>
          <w:lang w:val="en-US" w:eastAsia="zh-CN" w:bidi="ar-SA"/>
        </w:rPr>
        <w:t>给排水系统</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_Toc6437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五 </w:t>
      </w:r>
      <w:r>
        <w:rPr>
          <w:rFonts w:hint="eastAsia" w:ascii="Calibri" w:hAnsi="Calibri" w:eastAsia="仿宋" w:cs="Times New Roman"/>
          <w:kern w:val="2"/>
          <w:sz w:val="28"/>
          <w:szCs w:val="28"/>
          <w:lang w:val="en-US" w:eastAsia="zh-CN" w:bidi="ar-SA"/>
        </w:rPr>
        <w:t>智能化系统工程</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_Toc30676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六 </w:t>
      </w:r>
      <w:r>
        <w:rPr>
          <w:rFonts w:hint="eastAsia" w:ascii="Calibri" w:hAnsi="Calibri" w:eastAsia="仿宋" w:cs="Times New Roman"/>
          <w:kern w:val="2"/>
          <w:sz w:val="28"/>
          <w:szCs w:val="28"/>
          <w:lang w:val="en-US" w:eastAsia="zh-CN" w:bidi="ar-SA"/>
        </w:rPr>
        <w:t>网络与布线系统工程</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_Toc26834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七 </w:t>
      </w:r>
      <w:r>
        <w:rPr>
          <w:rFonts w:hint="eastAsia" w:ascii="Calibri" w:hAnsi="Calibri" w:eastAsia="仿宋" w:cs="Times New Roman"/>
          <w:kern w:val="2"/>
          <w:sz w:val="28"/>
          <w:szCs w:val="28"/>
          <w:lang w:val="en-US" w:eastAsia="zh-CN" w:bidi="ar-SA"/>
        </w:rPr>
        <w:t>消防系统</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_Toc4801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八 </w:t>
      </w:r>
      <w:r>
        <w:rPr>
          <w:rFonts w:hint="eastAsia" w:ascii="Calibri" w:hAnsi="Calibri" w:eastAsia="仿宋" w:cs="Times New Roman"/>
          <w:kern w:val="2"/>
          <w:sz w:val="28"/>
          <w:szCs w:val="28"/>
          <w:lang w:val="en-US" w:eastAsia="zh-CN" w:bidi="ar-SA"/>
        </w:rPr>
        <w:t>其他工程</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_Toc29321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lang w:val="en-US" w:eastAsia="zh-CN" w:bidi="ar-SA"/>
        </w:rPr>
        <w:t xml:space="preserve">第六章 </w:t>
      </w:r>
      <w:r>
        <w:rPr>
          <w:rFonts w:hint="eastAsia" w:ascii="Calibri" w:hAnsi="Calibri" w:eastAsia="仿宋" w:cs="Times New Roman"/>
          <w:kern w:val="2"/>
          <w:sz w:val="28"/>
          <w:szCs w:val="30"/>
          <w:lang w:val="en-US" w:eastAsia="zh-CN" w:bidi="ar-SA"/>
        </w:rPr>
        <w:t>各专招标人主要设备材料技术要求</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_Toc11705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一 </w:t>
      </w:r>
      <w:r>
        <w:rPr>
          <w:rFonts w:hint="eastAsia" w:ascii="Calibri" w:hAnsi="Calibri" w:eastAsia="仿宋" w:cs="Times New Roman"/>
          <w:kern w:val="2"/>
          <w:sz w:val="28"/>
          <w:szCs w:val="28"/>
          <w:lang w:val="en-US" w:eastAsia="zh-CN" w:bidi="ar-SA"/>
        </w:rPr>
        <w:t>装饰装修系统</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hint="eastAsia"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_Toc16148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二 </w:t>
      </w:r>
      <w:r>
        <w:rPr>
          <w:rFonts w:hint="eastAsia" w:ascii="Calibri" w:hAnsi="Calibri" w:eastAsia="仿宋" w:cs="Times New Roman"/>
          <w:kern w:val="2"/>
          <w:sz w:val="28"/>
          <w:szCs w:val="28"/>
          <w:lang w:val="en-US" w:eastAsia="zh-CN" w:bidi="ar-SA"/>
        </w:rPr>
        <w:t>电气系统</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_Toc12989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三 </w:t>
      </w:r>
      <w:r>
        <w:rPr>
          <w:rFonts w:hint="eastAsia" w:ascii="Calibri" w:hAnsi="Calibri" w:eastAsia="仿宋" w:cs="Times New Roman"/>
          <w:kern w:val="2"/>
          <w:sz w:val="28"/>
          <w:szCs w:val="28"/>
          <w:lang w:val="en-US" w:eastAsia="zh-CN" w:bidi="ar-SA"/>
        </w:rPr>
        <w:t>暖通系统</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_Toc8618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四 </w:t>
      </w:r>
      <w:r>
        <w:rPr>
          <w:rFonts w:hint="eastAsia" w:ascii="Calibri" w:hAnsi="Calibri" w:eastAsia="仿宋" w:cs="Times New Roman"/>
          <w:kern w:val="2"/>
          <w:sz w:val="28"/>
          <w:szCs w:val="28"/>
          <w:lang w:val="en-US" w:eastAsia="zh-CN" w:bidi="ar-SA"/>
        </w:rPr>
        <w:t>智能化系统工程</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_Toc22917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五 </w:t>
      </w:r>
      <w:r>
        <w:rPr>
          <w:rFonts w:hint="eastAsia" w:ascii="Calibri" w:hAnsi="Calibri" w:eastAsia="仿宋" w:cs="Times New Roman"/>
          <w:kern w:val="2"/>
          <w:sz w:val="28"/>
          <w:szCs w:val="28"/>
          <w:lang w:val="en-US" w:eastAsia="zh-CN" w:bidi="ar-SA"/>
        </w:rPr>
        <w:t>综合布线子系统</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_Toc17587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30"/>
          <w:lang w:val="en-US" w:eastAsia="zh-CN" w:bidi="ar-SA"/>
        </w:rPr>
        <w:t xml:space="preserve">第七章 </w:t>
      </w:r>
      <w:r>
        <w:rPr>
          <w:rFonts w:hint="eastAsia" w:ascii="Calibri" w:hAnsi="Calibri" w:eastAsia="仿宋" w:cs="Times New Roman"/>
          <w:kern w:val="2"/>
          <w:sz w:val="28"/>
          <w:szCs w:val="30"/>
          <w:lang w:val="en-US" w:eastAsia="zh-CN" w:bidi="ar-SA"/>
        </w:rPr>
        <w:t>工程实施与管理要求</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_Toc8069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一 </w:t>
      </w:r>
      <w:r>
        <w:rPr>
          <w:rFonts w:hint="eastAsia" w:ascii="Calibri" w:hAnsi="Calibri" w:eastAsia="仿宋" w:cs="Times New Roman"/>
          <w:kern w:val="2"/>
          <w:sz w:val="28"/>
          <w:szCs w:val="28"/>
          <w:lang w:val="en-US" w:eastAsia="zh-CN" w:bidi="ar-SA"/>
        </w:rPr>
        <w:t>总则</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_Toc3741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二 </w:t>
      </w:r>
      <w:r>
        <w:rPr>
          <w:rFonts w:hint="eastAsia" w:ascii="Calibri" w:hAnsi="Calibri" w:eastAsia="仿宋" w:cs="Times New Roman"/>
          <w:kern w:val="2"/>
          <w:sz w:val="28"/>
          <w:szCs w:val="28"/>
          <w:lang w:val="en-US" w:eastAsia="zh-CN" w:bidi="ar-SA"/>
        </w:rPr>
        <w:t>深化设计阶段</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_Toc31500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三 </w:t>
      </w:r>
      <w:r>
        <w:rPr>
          <w:rFonts w:hint="eastAsia" w:ascii="Calibri" w:hAnsi="Calibri" w:eastAsia="仿宋" w:cs="Times New Roman"/>
          <w:kern w:val="2"/>
          <w:sz w:val="28"/>
          <w:szCs w:val="28"/>
          <w:lang w:val="en-US" w:eastAsia="zh-CN" w:bidi="ar-SA"/>
        </w:rPr>
        <w:t>施工阶段</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_Toc3163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四 </w:t>
      </w:r>
      <w:r>
        <w:rPr>
          <w:rFonts w:hint="eastAsia" w:ascii="Calibri" w:hAnsi="Calibri" w:eastAsia="仿宋" w:cs="Times New Roman"/>
          <w:kern w:val="2"/>
          <w:sz w:val="28"/>
          <w:szCs w:val="28"/>
          <w:lang w:val="en-US" w:eastAsia="zh-CN" w:bidi="ar-SA"/>
        </w:rPr>
        <w:t>其它技术文档</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_Toc13898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lang w:val="en-US" w:eastAsia="zh-CN" w:bidi="ar-SA"/>
        </w:rPr>
        <w:t xml:space="preserve">第八章 </w:t>
      </w:r>
      <w:r>
        <w:rPr>
          <w:rFonts w:hint="eastAsia" w:ascii="Calibri" w:hAnsi="Calibri" w:eastAsia="仿宋" w:cs="Times New Roman"/>
          <w:kern w:val="2"/>
          <w:sz w:val="28"/>
          <w:lang w:val="en-US" w:eastAsia="zh-CN" w:bidi="ar-SA"/>
        </w:rPr>
        <w:t>投标提交交付物要求</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_Toc12367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一 </w:t>
      </w:r>
      <w:r>
        <w:rPr>
          <w:rFonts w:hint="eastAsia" w:ascii="Calibri" w:hAnsi="Calibri" w:eastAsia="仿宋" w:cs="Times New Roman"/>
          <w:kern w:val="2"/>
          <w:sz w:val="28"/>
          <w:szCs w:val="28"/>
          <w:lang w:val="en-US" w:eastAsia="zh-CN" w:bidi="ar-SA"/>
        </w:rPr>
        <w:t>图纸部分</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_Toc8608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二 </w:t>
      </w:r>
      <w:r>
        <w:rPr>
          <w:rFonts w:hint="eastAsia" w:ascii="Calibri" w:hAnsi="Calibri" w:eastAsia="仿宋" w:cs="Times New Roman"/>
          <w:kern w:val="2"/>
          <w:sz w:val="28"/>
          <w:szCs w:val="28"/>
          <w:lang w:val="en-US" w:eastAsia="zh-CN" w:bidi="ar-SA"/>
        </w:rPr>
        <w:t>工程量清单明细及报价</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tabs>
          <w:tab w:val="right" w:leader="dot" w:pos="8306"/>
        </w:tabs>
        <w:ind w:left="420" w:leftChars="200"/>
        <w:jc w:val="both"/>
        <w:rPr>
          <w:rFonts w:hint="eastAsia" w:ascii="仿宋" w:hAnsi="仿宋"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_Toc9859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szCs w:val="28"/>
          <w:lang w:val="en-US" w:eastAsia="zh-CN" w:bidi="ar-SA"/>
        </w:rPr>
        <w:t xml:space="preserve">三 </w:t>
      </w:r>
      <w:r>
        <w:rPr>
          <w:rFonts w:hint="eastAsia" w:ascii="Calibri" w:hAnsi="Calibri" w:eastAsia="仿宋" w:cs="Times New Roman"/>
          <w:kern w:val="2"/>
          <w:sz w:val="28"/>
          <w:szCs w:val="28"/>
          <w:lang w:val="en-US" w:eastAsia="zh-CN" w:bidi="ar-SA"/>
        </w:rPr>
        <w:t>其它技术档</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widowControl/>
        <w:rPr>
          <w:rFonts w:ascii="Calibri" w:hAnsi="Calibri" w:eastAsia="仿宋" w:cs="Times New Roman"/>
          <w:sz w:val="28"/>
          <w:szCs w:val="20"/>
        </w:rPr>
      </w:pPr>
    </w:p>
    <w:p>
      <w:pPr>
        <w:tabs>
          <w:tab w:val="right" w:leader="dot" w:pos="8306"/>
        </w:tabs>
        <w:jc w:val="both"/>
        <w:rPr>
          <w:rFonts w:ascii="Calibri" w:hAnsi="Calibri" w:eastAsia="仿宋" w:cs="Times New Roman"/>
          <w:kern w:val="2"/>
          <w:sz w:val="28"/>
          <w:lang w:val="en-US" w:eastAsia="zh-CN" w:bidi="ar-SA"/>
        </w:rPr>
      </w:pPr>
      <w:r>
        <w:rPr>
          <w:rFonts w:hint="eastAsia" w:ascii="仿宋" w:hAnsi="仿宋" w:eastAsia="仿宋" w:cs="Times New Roman"/>
          <w:kern w:val="2"/>
          <w:sz w:val="28"/>
          <w:lang w:val="en-US" w:eastAsia="zh-CN" w:bidi="ar-SA"/>
        </w:rPr>
        <w:fldChar w:fldCharType="begin"/>
      </w:r>
      <w:r>
        <w:rPr>
          <w:rFonts w:hint="eastAsia" w:ascii="仿宋" w:hAnsi="仿宋" w:eastAsia="仿宋" w:cs="Times New Roman"/>
          <w:kern w:val="2"/>
          <w:sz w:val="28"/>
          <w:lang w:val="en-US" w:eastAsia="zh-CN" w:bidi="ar-SA"/>
        </w:rPr>
        <w:instrText xml:space="preserve"> HYPERLINK \l _Toc2372 </w:instrText>
      </w:r>
      <w:r>
        <w:rPr>
          <w:rFonts w:hint="eastAsia" w:ascii="仿宋" w:hAnsi="仿宋" w:eastAsia="仿宋" w:cs="Times New Roman"/>
          <w:kern w:val="2"/>
          <w:sz w:val="28"/>
          <w:lang w:val="en-US" w:eastAsia="zh-CN" w:bidi="ar-SA"/>
        </w:rPr>
        <w:fldChar w:fldCharType="separate"/>
      </w:r>
      <w:r>
        <w:rPr>
          <w:rFonts w:hint="eastAsia" w:ascii="Calibri" w:hAnsi="Calibri" w:eastAsia="仿宋" w:cs="Times New Roman"/>
          <w:bCs/>
          <w:i w:val="0"/>
          <w:kern w:val="2"/>
          <w:sz w:val="28"/>
          <w:lang w:val="en-US" w:eastAsia="zh-CN" w:bidi="ar-SA"/>
        </w:rPr>
        <w:t xml:space="preserve">第九章 </w:t>
      </w:r>
      <w:r>
        <w:rPr>
          <w:rFonts w:hint="eastAsia" w:ascii="Calibri" w:hAnsi="Calibri" w:eastAsia="仿宋" w:cs="Times New Roman"/>
          <w:kern w:val="2"/>
          <w:sz w:val="28"/>
          <w:lang w:val="en-US" w:eastAsia="zh-CN" w:bidi="ar-SA"/>
        </w:rPr>
        <w:t>机房运维辅助设备</w:t>
      </w:r>
      <w:r>
        <w:rPr>
          <w:rFonts w:ascii="Calibri" w:hAnsi="Calibri" w:eastAsia="仿宋" w:cs="Times New Roman"/>
          <w:kern w:val="2"/>
          <w:sz w:val="28"/>
          <w:lang w:val="en-US" w:eastAsia="zh-CN" w:bidi="ar-SA"/>
        </w:rPr>
        <w:tab/>
      </w:r>
      <w:r>
        <w:rPr>
          <w:rFonts w:hint="eastAsia" w:ascii="仿宋" w:hAnsi="仿宋" w:eastAsia="仿宋" w:cs="Times New Roman"/>
          <w:kern w:val="2"/>
          <w:sz w:val="28"/>
          <w:lang w:val="en-US" w:eastAsia="zh-CN" w:bidi="ar-SA"/>
        </w:rPr>
        <w:fldChar w:fldCharType="end"/>
      </w:r>
    </w:p>
    <w:p>
      <w:pPr>
        <w:spacing w:line="560" w:lineRule="exact"/>
        <w:rPr>
          <w:rFonts w:hint="eastAsia"/>
          <w:sz w:val="30"/>
          <w:szCs w:val="30"/>
        </w:rPr>
        <w:sectPr>
          <w:footerReference r:id="rId6" w:type="first"/>
          <w:footerReference r:id="rId5" w:type="default"/>
          <w:pgSz w:w="11906" w:h="16838"/>
          <w:pgMar w:top="1440" w:right="1800" w:bottom="1440" w:left="1800" w:header="851" w:footer="992" w:gutter="0"/>
          <w:pgNumType w:fmt="decimal"/>
          <w:cols w:space="720" w:num="1"/>
          <w:titlePg/>
          <w:docGrid w:type="lines" w:linePitch="381" w:charSpace="0"/>
        </w:sectPr>
      </w:pPr>
      <w:r>
        <w:rPr>
          <w:rFonts w:hint="eastAsia" w:ascii="仿宋" w:hAnsi="仿宋" w:eastAsia="仿宋" w:cs="Times New Roman"/>
          <w:sz w:val="28"/>
          <w:szCs w:val="20"/>
        </w:rPr>
        <w:fldChar w:fldCharType="end"/>
      </w:r>
    </w:p>
    <w:p>
      <w:pPr>
        <w:numPr>
          <w:ilvl w:val="0"/>
          <w:numId w:val="2"/>
        </w:numPr>
        <w:spacing w:line="560" w:lineRule="exact"/>
        <w:jc w:val="center"/>
        <w:textAlignment w:val="baseline"/>
        <w:outlineLvl w:val="0"/>
        <w:rPr>
          <w:rFonts w:hint="eastAsia" w:ascii="仿宋" w:hAnsi="仿宋" w:eastAsia="仿宋" w:cs="仿宋"/>
          <w:b/>
          <w:color w:val="000000"/>
          <w:kern w:val="2"/>
          <w:sz w:val="30"/>
          <w:szCs w:val="30"/>
          <w:lang w:val="en-US" w:eastAsia="zh-CN" w:bidi="ar-SA"/>
        </w:rPr>
      </w:pPr>
      <w:bookmarkStart w:id="49" w:name="_Toc8493"/>
      <w:r>
        <w:rPr>
          <w:rFonts w:hint="eastAsia" w:ascii="仿宋" w:hAnsi="仿宋" w:eastAsia="仿宋" w:cs="仿宋"/>
          <w:b/>
          <w:color w:val="000000"/>
          <w:kern w:val="2"/>
          <w:sz w:val="30"/>
          <w:szCs w:val="30"/>
          <w:lang w:val="en-US" w:eastAsia="zh-CN" w:bidi="ar-SA"/>
        </w:rPr>
        <w:t>项目概述</w:t>
      </w:r>
      <w:bookmarkEnd w:id="49"/>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50" w:name="_Toc23864"/>
      <w:bookmarkStart w:id="51" w:name="_Toc348944785"/>
      <w:bookmarkStart w:id="52" w:name="_Toc354155871"/>
      <w:r>
        <w:rPr>
          <w:rFonts w:hint="eastAsia" w:ascii="仿宋" w:hAnsi="仿宋" w:eastAsia="仿宋" w:cs="仿宋"/>
          <w:b/>
          <w:bCs/>
          <w:kern w:val="2"/>
          <w:sz w:val="28"/>
          <w:szCs w:val="28"/>
          <w:lang w:val="en-US" w:eastAsia="zh-CN" w:bidi="ar-SA"/>
        </w:rPr>
        <w:t>项目综述</w:t>
      </w:r>
      <w:bookmarkEnd w:id="50"/>
      <w:bookmarkEnd w:id="51"/>
      <w:bookmarkEnd w:id="52"/>
    </w:p>
    <w:p>
      <w:pPr>
        <w:widowControl/>
        <w:numPr>
          <w:ilvl w:val="0"/>
          <w:numId w:val="3"/>
        </w:numPr>
        <w:spacing w:line="560" w:lineRule="exact"/>
        <w:ind w:left="0" w:firstLine="0"/>
        <w:rPr>
          <w:rFonts w:hint="eastAsia" w:ascii="仿宋" w:hAnsi="仿宋" w:eastAsia="仿宋" w:cs="仿宋"/>
          <w:sz w:val="28"/>
          <w:szCs w:val="28"/>
        </w:rPr>
      </w:pPr>
      <w:bookmarkStart w:id="53" w:name="_Toc348944786"/>
      <w:r>
        <w:rPr>
          <w:rFonts w:hint="eastAsia" w:ascii="仿宋" w:hAnsi="仿宋" w:eastAsia="仿宋" w:cs="仿宋"/>
          <w:sz w:val="28"/>
          <w:szCs w:val="28"/>
        </w:rPr>
        <w:t>项目名称：</w:t>
      </w:r>
      <w:bookmarkEnd w:id="53"/>
      <w:r>
        <w:rPr>
          <w:rFonts w:hint="eastAsia" w:ascii="仿宋" w:hAnsi="仿宋" w:eastAsia="仿宋" w:cs="仿宋"/>
          <w:sz w:val="28"/>
          <w:szCs w:val="28"/>
        </w:rPr>
        <w:t>赣州银行南康同城灾备数据中心设计及施工一体化总承包工程；</w:t>
      </w:r>
    </w:p>
    <w:p>
      <w:pPr>
        <w:widowControl/>
        <w:numPr>
          <w:ilvl w:val="0"/>
          <w:numId w:val="3"/>
        </w:numPr>
        <w:spacing w:line="560" w:lineRule="exact"/>
        <w:ind w:left="0" w:firstLine="0"/>
        <w:jc w:val="left"/>
        <w:rPr>
          <w:rFonts w:ascii="仿宋" w:hAnsi="仿宋" w:eastAsia="仿宋" w:cs="仿宋"/>
          <w:sz w:val="28"/>
          <w:szCs w:val="28"/>
        </w:rPr>
      </w:pPr>
      <w:bookmarkStart w:id="54" w:name="_Toc348944787"/>
      <w:r>
        <w:rPr>
          <w:rFonts w:hint="eastAsia" w:ascii="仿宋" w:hAnsi="仿宋" w:eastAsia="仿宋" w:cs="仿宋"/>
          <w:sz w:val="28"/>
          <w:szCs w:val="28"/>
        </w:rPr>
        <w:t>建设地点：</w:t>
      </w:r>
      <w:bookmarkEnd w:id="54"/>
      <w:bookmarkStart w:id="55" w:name="_Toc263785019"/>
      <w:r>
        <w:rPr>
          <w:rFonts w:hint="eastAsia" w:ascii="Calibri" w:hAnsi="Calibri" w:eastAsia="仿宋" w:cs="Times New Roman"/>
          <w:sz w:val="28"/>
          <w:szCs w:val="28"/>
        </w:rPr>
        <w:t>项目位于江西省赣州市南康区</w:t>
      </w:r>
      <w:r>
        <w:rPr>
          <w:rFonts w:hint="eastAsia" w:ascii="Calibri" w:hAnsi="Calibri" w:eastAsia="仿宋" w:cs="Times New Roman"/>
          <w:sz w:val="28"/>
          <w:szCs w:val="28"/>
          <w:u w:val="single"/>
        </w:rPr>
        <w:t>金融中心7#楼3层</w:t>
      </w:r>
      <w:r>
        <w:rPr>
          <w:rFonts w:hint="eastAsia" w:ascii="Calibri" w:hAnsi="Calibri" w:eastAsia="仿宋" w:cs="Times New Roman"/>
          <w:sz w:val="28"/>
          <w:szCs w:val="28"/>
        </w:rPr>
        <w:t xml:space="preserve">，建筑物共 </w:t>
      </w:r>
      <w:r>
        <w:rPr>
          <w:rFonts w:ascii="Calibri" w:hAnsi="Calibri" w:eastAsia="仿宋" w:cs="Times New Roman"/>
          <w:sz w:val="28"/>
          <w:szCs w:val="28"/>
          <w:u w:val="single"/>
        </w:rPr>
        <w:t>13</w:t>
      </w:r>
      <w:r>
        <w:rPr>
          <w:rFonts w:hint="eastAsia" w:ascii="Calibri" w:hAnsi="Calibri" w:eastAsia="仿宋" w:cs="Times New Roman"/>
          <w:sz w:val="28"/>
          <w:szCs w:val="28"/>
        </w:rPr>
        <w:t>层，机房高度</w:t>
      </w:r>
      <w:r>
        <w:rPr>
          <w:rFonts w:ascii="Calibri" w:hAnsi="Calibri" w:eastAsia="仿宋" w:cs="Times New Roman"/>
          <w:sz w:val="28"/>
          <w:szCs w:val="28"/>
          <w:u w:val="single"/>
        </w:rPr>
        <w:t>4.8</w:t>
      </w:r>
      <w:r>
        <w:rPr>
          <w:rFonts w:hint="eastAsia" w:ascii="Calibri" w:hAnsi="Calibri" w:eastAsia="仿宋" w:cs="Times New Roman"/>
          <w:sz w:val="28"/>
          <w:szCs w:val="28"/>
        </w:rPr>
        <w:t>m，梁下</w:t>
      </w:r>
      <w:r>
        <w:rPr>
          <w:rFonts w:hint="eastAsia" w:ascii="Calibri" w:hAnsi="Calibri" w:eastAsia="仿宋" w:cs="Times New Roman"/>
          <w:sz w:val="28"/>
          <w:szCs w:val="28"/>
          <w:u w:val="single"/>
        </w:rPr>
        <w:t>4</w:t>
      </w:r>
      <w:r>
        <w:rPr>
          <w:rFonts w:ascii="Calibri" w:hAnsi="Calibri" w:eastAsia="仿宋" w:cs="Times New Roman"/>
          <w:sz w:val="28"/>
          <w:szCs w:val="28"/>
          <w:u w:val="single"/>
        </w:rPr>
        <w:t>.0</w:t>
      </w:r>
      <w:r>
        <w:rPr>
          <w:rFonts w:ascii="Calibri" w:hAnsi="Calibri" w:eastAsia="仿宋" w:cs="Times New Roman"/>
          <w:sz w:val="28"/>
          <w:szCs w:val="28"/>
        </w:rPr>
        <w:t>m</w:t>
      </w:r>
      <w:r>
        <w:rPr>
          <w:rFonts w:hint="eastAsia" w:ascii="Calibri" w:hAnsi="Calibri" w:eastAsia="仿宋" w:cs="Times New Roman"/>
          <w:sz w:val="28"/>
          <w:szCs w:val="28"/>
        </w:rPr>
        <w:t>。建筑耐火等级二级，建筑抗震设防类别为</w:t>
      </w:r>
      <w:r>
        <w:rPr>
          <w:rFonts w:hint="eastAsia" w:ascii="Calibri" w:hAnsi="Calibri" w:eastAsia="仿宋" w:cs="Times New Roman"/>
          <w:sz w:val="28"/>
          <w:szCs w:val="28"/>
          <w:u w:val="single"/>
        </w:rPr>
        <w:t>丙类</w:t>
      </w:r>
      <w:r>
        <w:rPr>
          <w:rFonts w:hint="eastAsia" w:ascii="Calibri" w:hAnsi="Calibri" w:eastAsia="仿宋" w:cs="Times New Roman"/>
          <w:sz w:val="28"/>
          <w:szCs w:val="28"/>
        </w:rPr>
        <w:t>，建筑荷载</w:t>
      </w:r>
      <w:r>
        <w:rPr>
          <w:rFonts w:ascii="Calibri" w:hAnsi="Calibri" w:eastAsia="仿宋" w:cs="Times New Roman"/>
          <w:sz w:val="28"/>
          <w:szCs w:val="28"/>
        </w:rPr>
        <w:t>7.0kn/M</w:t>
      </w:r>
      <w:r>
        <w:rPr>
          <w:rFonts w:ascii="Calibri" w:hAnsi="Calibri" w:eastAsia="仿宋" w:cs="Times New Roman"/>
          <w:sz w:val="28"/>
          <w:szCs w:val="28"/>
          <w:vertAlign w:val="superscript"/>
        </w:rPr>
        <w:t>2</w:t>
      </w:r>
      <w:r>
        <w:rPr>
          <w:rFonts w:hint="eastAsia" w:ascii="Calibri" w:hAnsi="Calibri" w:eastAsia="仿宋" w:cs="Times New Roman"/>
          <w:sz w:val="28"/>
          <w:szCs w:val="28"/>
        </w:rPr>
        <w:t>（具体请建筑图纸为准）。</w:t>
      </w:r>
    </w:p>
    <w:p>
      <w:pPr>
        <w:widowControl/>
        <w:numPr>
          <w:ilvl w:val="0"/>
          <w:numId w:val="3"/>
        </w:numPr>
        <w:spacing w:line="560" w:lineRule="exact"/>
        <w:ind w:left="0" w:firstLine="0"/>
        <w:rPr>
          <w:rFonts w:ascii="仿宋" w:hAnsi="仿宋" w:eastAsia="仿宋" w:cs="仿宋"/>
          <w:sz w:val="28"/>
          <w:szCs w:val="28"/>
        </w:rPr>
      </w:pPr>
      <w:r>
        <w:rPr>
          <w:rFonts w:hint="eastAsia" w:ascii="Calibri" w:hAnsi="Calibri" w:eastAsia="仿宋" w:cs="Times New Roman"/>
          <w:sz w:val="28"/>
          <w:szCs w:val="28"/>
        </w:rPr>
        <w:t>设计和施工建设区域（7#楼）：</w:t>
      </w:r>
    </w:p>
    <w:p>
      <w:pPr>
        <w:widowControl/>
        <w:numPr>
          <w:ilvl w:val="1"/>
          <w:numId w:val="3"/>
        </w:numPr>
        <w:spacing w:line="560" w:lineRule="exact"/>
        <w:ind w:left="840" w:hanging="420"/>
        <w:rPr>
          <w:rFonts w:ascii="仿宋" w:hAnsi="仿宋" w:eastAsia="仿宋" w:cs="仿宋"/>
          <w:sz w:val="28"/>
          <w:szCs w:val="28"/>
        </w:rPr>
      </w:pPr>
      <w:r>
        <w:rPr>
          <w:rFonts w:hint="eastAsia" w:ascii="Calibri" w:hAnsi="Calibri" w:eastAsia="仿宋" w:cs="Times New Roman"/>
          <w:sz w:val="28"/>
          <w:szCs w:val="20"/>
        </w:rPr>
        <w:t>负责</w:t>
      </w:r>
      <w:r>
        <w:rPr>
          <w:rFonts w:hint="eastAsia" w:ascii="Calibri" w:hAnsi="Calibri" w:eastAsia="仿宋" w:cs="Times New Roman"/>
          <w:sz w:val="28"/>
          <w:szCs w:val="28"/>
        </w:rPr>
        <w:t>地下负一层原大楼配电室内供低压配电供电与安全防范改造，包括不限于增加市电切换、母排防火保护、气灭分区局部调整等关联工作。</w:t>
      </w:r>
    </w:p>
    <w:p>
      <w:pPr>
        <w:widowControl/>
        <w:numPr>
          <w:ilvl w:val="1"/>
          <w:numId w:val="3"/>
        </w:numPr>
        <w:spacing w:line="560" w:lineRule="exact"/>
        <w:ind w:left="840" w:hanging="420"/>
        <w:rPr>
          <w:rFonts w:ascii="仿宋" w:hAnsi="仿宋" w:eastAsia="仿宋" w:cs="仿宋"/>
          <w:sz w:val="28"/>
          <w:szCs w:val="28"/>
        </w:rPr>
      </w:pPr>
      <w:r>
        <w:rPr>
          <w:rFonts w:hint="eastAsia" w:ascii="Calibri" w:hAnsi="Calibri" w:eastAsia="仿宋" w:cs="Times New Roman"/>
          <w:sz w:val="28"/>
          <w:szCs w:val="20"/>
        </w:rPr>
        <w:t>负责三层和室外平台的设计与实施，包括不限于荷载加固，以满足规范要求。</w:t>
      </w:r>
    </w:p>
    <w:p>
      <w:pPr>
        <w:widowControl/>
        <w:numPr>
          <w:ilvl w:val="1"/>
          <w:numId w:val="3"/>
        </w:numPr>
        <w:spacing w:line="560" w:lineRule="exact"/>
        <w:ind w:left="840" w:hanging="420"/>
        <w:rPr>
          <w:rFonts w:ascii="仿宋" w:hAnsi="仿宋" w:eastAsia="仿宋" w:cs="仿宋"/>
          <w:sz w:val="28"/>
          <w:szCs w:val="28"/>
        </w:rPr>
      </w:pPr>
      <w:r>
        <w:rPr>
          <w:rFonts w:hint="eastAsia" w:ascii="Calibri" w:hAnsi="Calibri" w:eastAsia="仿宋" w:cs="Times New Roman"/>
          <w:sz w:val="28"/>
          <w:szCs w:val="20"/>
        </w:rPr>
        <w:t>负责对</w:t>
      </w:r>
      <w:r>
        <w:rPr>
          <w:rFonts w:hint="eastAsia" w:ascii="仿宋" w:hAnsi="仿宋" w:eastAsia="仿宋" w:cs="仿宋"/>
          <w:sz w:val="28"/>
          <w:szCs w:val="20"/>
        </w:rPr>
        <w:t>金融大厦的主生产中心监控室局部区域改造</w:t>
      </w:r>
      <w:r>
        <w:rPr>
          <w:rFonts w:hint="eastAsia" w:ascii="Calibri" w:hAnsi="Calibri" w:eastAsia="仿宋" w:cs="Times New Roman"/>
          <w:sz w:val="28"/>
          <w:szCs w:val="20"/>
        </w:rPr>
        <w:t>。</w:t>
      </w:r>
    </w:p>
    <w:p>
      <w:pPr>
        <w:widowControl/>
        <w:numPr>
          <w:ilvl w:val="1"/>
          <w:numId w:val="3"/>
        </w:numPr>
        <w:spacing w:line="560" w:lineRule="exact"/>
        <w:ind w:left="840" w:hanging="420"/>
        <w:rPr>
          <w:rFonts w:ascii="仿宋" w:hAnsi="仿宋" w:eastAsia="仿宋" w:cs="仿宋"/>
          <w:sz w:val="28"/>
          <w:szCs w:val="28"/>
        </w:rPr>
      </w:pPr>
      <w:r>
        <w:rPr>
          <w:rFonts w:hint="eastAsia" w:ascii="Calibri" w:hAnsi="Calibri" w:eastAsia="仿宋" w:cs="Times New Roman"/>
          <w:sz w:val="28"/>
          <w:szCs w:val="20"/>
        </w:rPr>
        <w:t>具体详见后文需求</w:t>
      </w:r>
      <w:r>
        <w:rPr>
          <w:rFonts w:hint="eastAsia" w:ascii="Calibri" w:hAnsi="Calibri" w:eastAsia="仿宋" w:cs="Times New Roman"/>
          <w:sz w:val="28"/>
          <w:szCs w:val="28"/>
        </w:rPr>
        <w:t>。</w:t>
      </w:r>
    </w:p>
    <w:p>
      <w:pPr>
        <w:widowControl/>
        <w:numPr>
          <w:ilvl w:val="0"/>
          <w:numId w:val="3"/>
        </w:numPr>
        <w:spacing w:line="560" w:lineRule="exact"/>
        <w:ind w:left="0" w:firstLine="0"/>
        <w:rPr>
          <w:rFonts w:hint="eastAsia" w:ascii="仿宋" w:hAnsi="仿宋" w:eastAsia="仿宋" w:cs="仿宋"/>
          <w:sz w:val="28"/>
          <w:szCs w:val="28"/>
        </w:rPr>
      </w:pPr>
      <w:bookmarkStart w:id="56" w:name="_Toc348944788"/>
      <w:r>
        <w:rPr>
          <w:rFonts w:hint="eastAsia" w:ascii="仿宋" w:hAnsi="仿宋" w:eastAsia="仿宋" w:cs="仿宋"/>
          <w:sz w:val="28"/>
          <w:szCs w:val="28"/>
        </w:rPr>
        <w:t>建设单位：</w:t>
      </w:r>
      <w:bookmarkEnd w:id="56"/>
      <w:r>
        <w:rPr>
          <w:rFonts w:hint="eastAsia" w:ascii="仿宋" w:hAnsi="仿宋" w:eastAsia="仿宋" w:cs="仿宋"/>
          <w:sz w:val="28"/>
          <w:szCs w:val="28"/>
        </w:rPr>
        <w:t>赣州银行股份有限公司；</w:t>
      </w:r>
    </w:p>
    <w:p>
      <w:pPr>
        <w:widowControl/>
        <w:numPr>
          <w:ilvl w:val="0"/>
          <w:numId w:val="3"/>
        </w:numPr>
        <w:spacing w:line="560" w:lineRule="exact"/>
        <w:ind w:left="0" w:firstLine="0"/>
        <w:rPr>
          <w:rFonts w:hint="eastAsia" w:ascii="仿宋" w:hAnsi="仿宋" w:eastAsia="仿宋" w:cs="仿宋"/>
          <w:sz w:val="28"/>
          <w:szCs w:val="28"/>
        </w:rPr>
      </w:pPr>
      <w:r>
        <w:rPr>
          <w:rFonts w:hint="eastAsia" w:ascii="仿宋" w:hAnsi="仿宋" w:eastAsia="仿宋" w:cs="仿宋"/>
          <w:sz w:val="28"/>
          <w:szCs w:val="28"/>
        </w:rPr>
        <w:t>资金来源：自筹。</w:t>
      </w:r>
    </w:p>
    <w:bookmarkEnd w:id="55"/>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57" w:name="_Toc5526"/>
      <w:bookmarkStart w:id="58" w:name="_Toc262680163"/>
      <w:bookmarkStart w:id="59" w:name="_Toc262678163"/>
      <w:bookmarkStart w:id="60" w:name="_Toc262677944"/>
      <w:bookmarkStart w:id="61" w:name="_Toc262680313"/>
      <w:bookmarkStart w:id="62" w:name="_Toc17516"/>
      <w:bookmarkStart w:id="63" w:name="_Toc22126"/>
      <w:bookmarkStart w:id="64" w:name="_Toc18830"/>
      <w:bookmarkStart w:id="65" w:name="_Toc16647"/>
      <w:r>
        <w:rPr>
          <w:rFonts w:hint="eastAsia" w:ascii="仿宋" w:hAnsi="仿宋" w:eastAsia="仿宋" w:cs="仿宋"/>
          <w:b/>
          <w:bCs/>
          <w:kern w:val="2"/>
          <w:sz w:val="28"/>
          <w:szCs w:val="28"/>
          <w:lang w:val="en-US" w:eastAsia="zh-CN" w:bidi="ar-SA"/>
        </w:rPr>
        <w:t>建设目标</w:t>
      </w:r>
      <w:bookmarkEnd w:id="57"/>
      <w:bookmarkEnd w:id="58"/>
      <w:bookmarkEnd w:id="59"/>
      <w:bookmarkEnd w:id="60"/>
      <w:bookmarkEnd w:id="61"/>
      <w:bookmarkEnd w:id="62"/>
      <w:bookmarkEnd w:id="63"/>
      <w:bookmarkEnd w:id="64"/>
      <w:r>
        <w:rPr>
          <w:rFonts w:hint="eastAsia" w:ascii="仿宋" w:hAnsi="仿宋" w:eastAsia="仿宋" w:cs="仿宋"/>
          <w:b/>
          <w:bCs/>
          <w:kern w:val="2"/>
          <w:sz w:val="28"/>
          <w:szCs w:val="28"/>
          <w:lang w:val="en-US" w:eastAsia="zh-CN" w:bidi="ar-SA"/>
        </w:rPr>
        <w:t xml:space="preserve"> </w:t>
      </w:r>
      <w:bookmarkEnd w:id="65"/>
    </w:p>
    <w:p>
      <w:pPr>
        <w:widowControl/>
        <w:spacing w:line="560" w:lineRule="exact"/>
        <w:ind w:firstLine="280" w:firstLineChars="100"/>
        <w:textAlignment w:val="baseline"/>
        <w:rPr>
          <w:rFonts w:ascii="仿宋" w:hAnsi="仿宋" w:eastAsia="仿宋" w:cs="仿宋"/>
          <w:sz w:val="28"/>
          <w:szCs w:val="28"/>
        </w:rPr>
      </w:pPr>
      <w:r>
        <w:rPr>
          <w:rFonts w:hint="eastAsia" w:ascii="仿宋" w:hAnsi="仿宋" w:eastAsia="仿宋" w:cs="Times New Roman"/>
          <w:sz w:val="28"/>
          <w:szCs w:val="28"/>
        </w:rPr>
        <w:t>要求设计及施工方案中体现安全可靠、布局合理、功能完备、具现代感、灵活性、持续性、扩展性以及绿色环保的现代化机房，切实为主机、服务器等设备提供一个安全、可靠、温湿度及洁净度均符合要求的运行环境，同时为相关工作人员提供方便、快捷、人性化的工作环境，并为管理人员提供安全、高效的管理手段。</w:t>
      </w:r>
      <w:r>
        <w:rPr>
          <w:rFonts w:hint="eastAsia" w:ascii="仿宋" w:hAnsi="仿宋" w:eastAsia="仿宋" w:cs="仿宋"/>
          <w:sz w:val="28"/>
          <w:szCs w:val="28"/>
        </w:rPr>
        <w:t>在达到本项目技术要求和国家规范标准同时, 设计和建设时应合理考虑控制投资成本。</w:t>
      </w:r>
    </w:p>
    <w:p>
      <w:pPr>
        <w:widowControl/>
        <w:spacing w:line="560" w:lineRule="exact"/>
        <w:ind w:firstLine="281" w:firstLineChars="100"/>
        <w:rPr>
          <w:rFonts w:hint="eastAsia" w:ascii="仿宋" w:hAnsi="仿宋" w:eastAsia="仿宋" w:cs="仿宋"/>
          <w:sz w:val="28"/>
          <w:szCs w:val="28"/>
        </w:rPr>
      </w:pPr>
      <w:r>
        <w:rPr>
          <w:rFonts w:hint="eastAsia" w:ascii="Calibri" w:hAnsi="Calibri" w:eastAsia="仿宋" w:cs="Times New Roman"/>
          <w:b/>
          <w:bCs/>
          <w:sz w:val="28"/>
          <w:szCs w:val="28"/>
        </w:rPr>
        <w:t>设计和建设标准：</w:t>
      </w:r>
      <w:r>
        <w:rPr>
          <w:rFonts w:hint="eastAsia" w:ascii="Calibri" w:hAnsi="Calibri" w:eastAsia="仿宋" w:cs="Times New Roman"/>
          <w:sz w:val="28"/>
          <w:szCs w:val="28"/>
        </w:rPr>
        <w:t>新数据中心必须按照国家标准GB50174和GB50462 （A级标准）进行设计和建设，符合</w:t>
      </w:r>
      <w:r>
        <w:rPr>
          <w:rFonts w:hint="eastAsia" w:ascii="仿宋" w:hAnsi="仿宋" w:eastAsia="仿宋" w:cs="仿宋"/>
          <w:sz w:val="28"/>
          <w:szCs w:val="28"/>
        </w:rPr>
        <w:t>金融管理机构的指引及其它相关标准</w:t>
      </w:r>
      <w:r>
        <w:rPr>
          <w:rFonts w:hint="eastAsia" w:ascii="Calibri" w:hAnsi="Calibri" w:eastAsia="仿宋" w:cs="Times New Roman"/>
          <w:sz w:val="28"/>
          <w:szCs w:val="28"/>
        </w:rPr>
        <w:t>要求；</w:t>
      </w: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66" w:name="_Toc3949"/>
      <w:r>
        <w:rPr>
          <w:rFonts w:hint="eastAsia" w:ascii="仿宋" w:hAnsi="仿宋" w:eastAsia="仿宋" w:cs="仿宋"/>
          <w:b/>
          <w:bCs/>
          <w:kern w:val="2"/>
          <w:sz w:val="28"/>
          <w:szCs w:val="28"/>
          <w:lang w:val="en-US" w:eastAsia="zh-CN" w:bidi="ar-SA"/>
        </w:rPr>
        <w:t>建设原则</w:t>
      </w:r>
      <w:bookmarkEnd w:id="66"/>
      <w:r>
        <w:rPr>
          <w:rFonts w:hint="eastAsia" w:ascii="仿宋" w:hAnsi="仿宋" w:eastAsia="仿宋" w:cs="仿宋"/>
          <w:b/>
          <w:bCs/>
          <w:kern w:val="2"/>
          <w:sz w:val="28"/>
          <w:szCs w:val="28"/>
          <w:lang w:val="en-US" w:eastAsia="zh-CN" w:bidi="ar-SA"/>
        </w:rPr>
        <w:t xml:space="preserve"> </w:t>
      </w:r>
    </w:p>
    <w:p>
      <w:pPr>
        <w:widowControl/>
        <w:tabs>
          <w:tab w:val="left" w:pos="420"/>
        </w:tabs>
        <w:spacing w:line="560" w:lineRule="exact"/>
        <w:ind w:firstLine="560" w:firstLineChars="200"/>
        <w:jc w:val="left"/>
        <w:rPr>
          <w:rFonts w:hint="eastAsia" w:ascii="仿宋" w:hAnsi="仿宋" w:eastAsia="仿宋" w:cs="仿宋"/>
          <w:sz w:val="28"/>
          <w:szCs w:val="28"/>
        </w:rPr>
      </w:pPr>
      <w:bookmarkStart w:id="67" w:name="_Toc262677946"/>
      <w:r>
        <w:rPr>
          <w:rFonts w:hint="eastAsia" w:ascii="仿宋" w:hAnsi="仿宋" w:eastAsia="仿宋" w:cs="仿宋"/>
          <w:sz w:val="28"/>
          <w:szCs w:val="28"/>
        </w:rPr>
        <w:t>为了给工作人员及重要设备创造一个良好的工作环境，并提供一个充分展现建设单位现代化管理水平的窗口，相应的配套工程将为机房提供包括能源、环境、安全、监控、防灾和自动化等方面的使用环境，并在系统的安全、可靠、不间断等方面提供持续发展的空间，因此在设计及施工时需遵循以下原则：</w:t>
      </w:r>
      <w:bookmarkEnd w:id="67"/>
      <w:r>
        <w:rPr>
          <w:rFonts w:hint="eastAsia" w:ascii="仿宋" w:hAnsi="仿宋" w:eastAsia="仿宋" w:cs="仿宋"/>
          <w:sz w:val="28"/>
          <w:szCs w:val="28"/>
        </w:rPr>
        <w:t xml:space="preserve"> </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8" w:name="_Toc262677951"/>
      <w:bookmarkStart w:id="69" w:name="_Toc262680166"/>
      <w:bookmarkStart w:id="70" w:name="_Toc262678166"/>
      <w:bookmarkStart w:id="71" w:name="_Toc291"/>
      <w:bookmarkStart w:id="72" w:name="_Toc262680316"/>
      <w:bookmarkStart w:id="73" w:name="_Toc262677947"/>
      <w:bookmarkStart w:id="74" w:name="_Toc262680164"/>
      <w:bookmarkStart w:id="75" w:name="_Toc262680314"/>
      <w:bookmarkStart w:id="76" w:name="_Toc262678164"/>
      <w:r>
        <w:rPr>
          <w:rFonts w:hint="eastAsia" w:ascii="楷体" w:hAnsi="楷体" w:eastAsia="仿宋" w:cs="Times New Roman"/>
          <w:b/>
          <w:kern w:val="2"/>
          <w:sz w:val="28"/>
          <w:lang w:val="en-US" w:eastAsia="zh-CN" w:bidi="ar-SA"/>
        </w:rPr>
        <w:t>安全</w:t>
      </w:r>
      <w:r>
        <w:rPr>
          <w:rFonts w:hint="eastAsia" w:ascii="楷体" w:hAnsi="楷体" w:eastAsia="仿宋" w:cs="Times New Roman"/>
          <w:b/>
          <w:kern w:val="2"/>
          <w:sz w:val="28"/>
          <w:szCs w:val="28"/>
          <w:lang w:val="en-US" w:eastAsia="zh-CN" w:bidi="ar-SA"/>
        </w:rPr>
        <w:t>可靠性</w:t>
      </w:r>
      <w:bookmarkEnd w:id="68"/>
      <w:bookmarkEnd w:id="69"/>
      <w:bookmarkEnd w:id="70"/>
      <w:bookmarkEnd w:id="71"/>
      <w:bookmarkEnd w:id="72"/>
      <w:r>
        <w:rPr>
          <w:rFonts w:hint="eastAsia" w:ascii="楷体" w:hAnsi="楷体" w:eastAsia="仿宋" w:cs="Times New Roman"/>
          <w:b/>
          <w:kern w:val="2"/>
          <w:sz w:val="28"/>
          <w:lang w:val="en-US" w:eastAsia="zh-CN" w:bidi="ar-SA"/>
        </w:rPr>
        <w:t xml:space="preserve"> </w:t>
      </w:r>
    </w:p>
    <w:p>
      <w:pPr>
        <w:widowControl/>
        <w:tabs>
          <w:tab w:val="left" w:pos="6300"/>
        </w:tabs>
        <w:spacing w:line="560" w:lineRule="exact"/>
        <w:ind w:firstLine="280" w:firstLineChars="100"/>
        <w:jc w:val="left"/>
        <w:textAlignment w:val="baseline"/>
        <w:rPr>
          <w:rFonts w:hint="eastAsia" w:ascii="仿宋" w:hAnsi="仿宋" w:eastAsia="仿宋" w:cs="仿宋"/>
          <w:sz w:val="28"/>
          <w:szCs w:val="28"/>
        </w:rPr>
      </w:pPr>
      <w:bookmarkStart w:id="77" w:name="_Toc262677952"/>
      <w:r>
        <w:rPr>
          <w:rFonts w:hint="eastAsia" w:ascii="仿宋" w:hAnsi="仿宋" w:eastAsia="仿宋" w:cs="仿宋"/>
          <w:sz w:val="28"/>
          <w:szCs w:val="28"/>
        </w:rPr>
        <w:t>本项目必须具有高可靠性，不能出现单点故障。需根据本需求书的要求对机房的各个子系统、设备选型、日常维护等各个方面进行可靠性的设计和施工。在关键设备采用硬件备份、冗余等可靠性技术的基础上，采用相关的软件技术提供较强的管理机制、控制手段和事故监控与安全保密等技术措施提高机房的安全性。</w:t>
      </w:r>
      <w:bookmarkEnd w:id="77"/>
      <w:r>
        <w:rPr>
          <w:rFonts w:hint="eastAsia" w:ascii="仿宋" w:hAnsi="仿宋" w:eastAsia="仿宋" w:cs="仿宋"/>
          <w:sz w:val="28"/>
          <w:szCs w:val="28"/>
        </w:rPr>
        <w:t xml:space="preserve"> </w:t>
      </w:r>
    </w:p>
    <w:bookmarkEnd w:id="73"/>
    <w:bookmarkEnd w:id="74"/>
    <w:bookmarkEnd w:id="75"/>
    <w:bookmarkEnd w:id="76"/>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78" w:name="_Toc262680165"/>
      <w:bookmarkStart w:id="79" w:name="_Toc526"/>
      <w:bookmarkStart w:id="80" w:name="_Toc262680315"/>
      <w:bookmarkStart w:id="81" w:name="_Toc262678165"/>
      <w:bookmarkStart w:id="82" w:name="_Toc262677949"/>
      <w:r>
        <w:rPr>
          <w:rFonts w:hint="eastAsia" w:ascii="楷体" w:hAnsi="楷体" w:eastAsia="仿宋" w:cs="Times New Roman"/>
          <w:b/>
          <w:kern w:val="2"/>
          <w:sz w:val="28"/>
          <w:lang w:val="en-US" w:eastAsia="zh-CN" w:bidi="ar-SA"/>
        </w:rPr>
        <w:t>实用性和先进性</w:t>
      </w:r>
      <w:bookmarkEnd w:id="78"/>
      <w:bookmarkEnd w:id="79"/>
      <w:bookmarkEnd w:id="80"/>
      <w:bookmarkEnd w:id="81"/>
      <w:bookmarkEnd w:id="82"/>
      <w:r>
        <w:rPr>
          <w:rFonts w:hint="eastAsia" w:ascii="楷体" w:hAnsi="楷体" w:eastAsia="仿宋" w:cs="Times New Roman"/>
          <w:b/>
          <w:kern w:val="2"/>
          <w:sz w:val="28"/>
          <w:lang w:val="en-US" w:eastAsia="zh-CN" w:bidi="ar-SA"/>
        </w:rPr>
        <w:t xml:space="preserve"> </w:t>
      </w:r>
    </w:p>
    <w:p>
      <w:pPr>
        <w:widowControl/>
        <w:tabs>
          <w:tab w:val="left" w:pos="6300"/>
        </w:tabs>
        <w:spacing w:line="560" w:lineRule="exact"/>
        <w:ind w:firstLine="280" w:firstLineChars="100"/>
        <w:jc w:val="left"/>
        <w:textAlignment w:val="baseline"/>
        <w:rPr>
          <w:rFonts w:hint="eastAsia" w:ascii="仿宋" w:hAnsi="仿宋" w:eastAsia="仿宋" w:cs="仿宋"/>
          <w:sz w:val="28"/>
          <w:szCs w:val="28"/>
        </w:rPr>
      </w:pPr>
      <w:bookmarkStart w:id="83" w:name="_Toc262677950"/>
      <w:r>
        <w:rPr>
          <w:rFonts w:hint="eastAsia" w:ascii="仿宋" w:hAnsi="仿宋" w:eastAsia="仿宋" w:cs="仿宋"/>
          <w:sz w:val="28"/>
          <w:szCs w:val="28"/>
        </w:rPr>
        <w:t>本项目要求基础设施都应采用行业最先进的技术，通过使用先进的技术来确保其实用性。项目建设应采用先进成熟的技术和设备，满足当前的需求，兼顾未来的业务需求。</w:t>
      </w:r>
      <w:bookmarkEnd w:id="83"/>
      <w:r>
        <w:rPr>
          <w:rFonts w:hint="eastAsia" w:ascii="仿宋" w:hAnsi="仿宋" w:eastAsia="仿宋" w:cs="仿宋"/>
          <w:sz w:val="28"/>
          <w:szCs w:val="28"/>
        </w:rPr>
        <w:t xml:space="preserve"> </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84" w:name="_Toc262678167"/>
      <w:bookmarkStart w:id="85" w:name="_Toc262680167"/>
      <w:bookmarkStart w:id="86" w:name="_Toc262680317"/>
      <w:bookmarkStart w:id="87" w:name="_Toc15256"/>
      <w:bookmarkStart w:id="88" w:name="_Toc262677953"/>
      <w:r>
        <w:rPr>
          <w:rFonts w:hint="eastAsia" w:ascii="楷体" w:hAnsi="楷体" w:eastAsia="仿宋" w:cs="Times New Roman"/>
          <w:b/>
          <w:kern w:val="2"/>
          <w:sz w:val="28"/>
          <w:lang w:val="en-US" w:eastAsia="zh-CN" w:bidi="ar-SA"/>
        </w:rPr>
        <w:t>灵活性与可扩展性</w:t>
      </w:r>
      <w:bookmarkEnd w:id="84"/>
      <w:bookmarkEnd w:id="85"/>
      <w:bookmarkEnd w:id="86"/>
      <w:bookmarkEnd w:id="87"/>
      <w:bookmarkEnd w:id="88"/>
      <w:r>
        <w:rPr>
          <w:rFonts w:hint="eastAsia" w:ascii="楷体" w:hAnsi="楷体" w:eastAsia="仿宋" w:cs="Times New Roman"/>
          <w:b/>
          <w:kern w:val="2"/>
          <w:sz w:val="28"/>
          <w:lang w:val="en-US" w:eastAsia="zh-CN" w:bidi="ar-SA"/>
        </w:rPr>
        <w:t xml:space="preserve"> </w:t>
      </w:r>
    </w:p>
    <w:p>
      <w:pPr>
        <w:widowControl/>
        <w:tabs>
          <w:tab w:val="left" w:pos="6300"/>
        </w:tabs>
        <w:spacing w:line="560" w:lineRule="exact"/>
        <w:ind w:firstLine="280" w:firstLineChars="100"/>
        <w:jc w:val="left"/>
        <w:textAlignment w:val="baseline"/>
        <w:rPr>
          <w:rFonts w:hint="eastAsia" w:ascii="仿宋" w:hAnsi="仿宋" w:eastAsia="仿宋" w:cs="仿宋"/>
          <w:sz w:val="28"/>
          <w:szCs w:val="28"/>
        </w:rPr>
      </w:pPr>
      <w:bookmarkStart w:id="89" w:name="_Toc262677954"/>
      <w:r>
        <w:rPr>
          <w:rFonts w:hint="eastAsia" w:ascii="仿宋" w:hAnsi="仿宋" w:eastAsia="仿宋" w:cs="仿宋"/>
          <w:sz w:val="28"/>
          <w:szCs w:val="28"/>
        </w:rPr>
        <w:t>本项目必须具有良好的灵活性与可扩展性，能够根据业务不断深入发展的需要，扩大设备容量和提高用户的数量和质量。具备支持多种网络传输、多种物理接口的能力，提供技术升级、设备更新的灵活性。</w:t>
      </w:r>
      <w:bookmarkEnd w:id="89"/>
      <w:r>
        <w:rPr>
          <w:rFonts w:hint="eastAsia" w:ascii="仿宋" w:hAnsi="仿宋" w:eastAsia="仿宋" w:cs="仿宋"/>
          <w:sz w:val="28"/>
          <w:szCs w:val="28"/>
        </w:rPr>
        <w:t xml:space="preserve"> </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0" w:name="_Toc262678168"/>
      <w:bookmarkStart w:id="91" w:name="_Toc262680168"/>
      <w:bookmarkStart w:id="92" w:name="_Toc262677955"/>
      <w:bookmarkStart w:id="93" w:name="_Toc262680318"/>
      <w:bookmarkStart w:id="94" w:name="_Toc30664"/>
      <w:r>
        <w:rPr>
          <w:rFonts w:hint="eastAsia" w:ascii="楷体" w:hAnsi="楷体" w:eastAsia="仿宋" w:cs="Times New Roman"/>
          <w:b/>
          <w:kern w:val="2"/>
          <w:sz w:val="28"/>
          <w:lang w:val="en-US" w:eastAsia="zh-CN" w:bidi="ar-SA"/>
        </w:rPr>
        <w:t>标准化</w:t>
      </w:r>
      <w:bookmarkEnd w:id="90"/>
      <w:bookmarkEnd w:id="91"/>
      <w:bookmarkEnd w:id="92"/>
      <w:bookmarkEnd w:id="93"/>
      <w:bookmarkEnd w:id="94"/>
      <w:r>
        <w:rPr>
          <w:rFonts w:hint="eastAsia" w:ascii="楷体" w:hAnsi="楷体" w:eastAsia="仿宋" w:cs="Times New Roman"/>
          <w:b/>
          <w:kern w:val="2"/>
          <w:sz w:val="28"/>
          <w:lang w:val="en-US" w:eastAsia="zh-CN" w:bidi="ar-SA"/>
        </w:rPr>
        <w:t xml:space="preserve"> </w:t>
      </w:r>
    </w:p>
    <w:p>
      <w:pPr>
        <w:widowControl/>
        <w:tabs>
          <w:tab w:val="left" w:pos="6300"/>
        </w:tabs>
        <w:spacing w:line="560" w:lineRule="exact"/>
        <w:jc w:val="left"/>
        <w:textAlignment w:val="baseline"/>
        <w:rPr>
          <w:rFonts w:hint="eastAsia" w:ascii="仿宋" w:hAnsi="仿宋" w:eastAsia="仿宋" w:cs="仿宋"/>
          <w:sz w:val="28"/>
          <w:szCs w:val="28"/>
        </w:rPr>
      </w:pPr>
      <w:bookmarkStart w:id="95" w:name="_Toc262677956"/>
      <w:r>
        <w:rPr>
          <w:rFonts w:hint="eastAsia" w:ascii="仿宋" w:hAnsi="仿宋" w:eastAsia="仿宋" w:cs="仿宋"/>
          <w:sz w:val="28"/>
          <w:szCs w:val="28"/>
        </w:rPr>
        <w:t xml:space="preserve">  在项目系统设计时，均需基于国家颁布的最新有关标准，包括各种建筑类标准、机房建设类标准，电力电气保障标准以及计算机局域网、广域网标准，坚持统一规范的原则，从而为未来的业务发展、设备增容奠定基础。</w:t>
      </w:r>
      <w:bookmarkEnd w:id="95"/>
      <w:r>
        <w:rPr>
          <w:rFonts w:hint="eastAsia" w:ascii="仿宋" w:hAnsi="仿宋" w:eastAsia="仿宋" w:cs="仿宋"/>
          <w:sz w:val="28"/>
          <w:szCs w:val="28"/>
        </w:rPr>
        <w:t xml:space="preserve"> </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6" w:name="_Toc262680319"/>
      <w:bookmarkStart w:id="97" w:name="_Toc262678169"/>
      <w:bookmarkStart w:id="98" w:name="_Toc28608"/>
      <w:bookmarkStart w:id="99" w:name="_Toc262677957"/>
      <w:bookmarkStart w:id="100" w:name="_Toc262680169"/>
      <w:r>
        <w:rPr>
          <w:rFonts w:hint="eastAsia" w:ascii="楷体" w:hAnsi="楷体" w:eastAsia="仿宋" w:cs="Times New Roman"/>
          <w:b/>
          <w:kern w:val="2"/>
          <w:sz w:val="28"/>
          <w:lang w:val="en-US" w:eastAsia="zh-CN" w:bidi="ar-SA"/>
        </w:rPr>
        <w:t>经济性/投资保护</w:t>
      </w:r>
      <w:bookmarkEnd w:id="96"/>
      <w:bookmarkEnd w:id="97"/>
      <w:bookmarkEnd w:id="98"/>
      <w:bookmarkEnd w:id="99"/>
      <w:bookmarkEnd w:id="100"/>
      <w:r>
        <w:rPr>
          <w:rFonts w:hint="eastAsia" w:ascii="楷体" w:hAnsi="楷体" w:eastAsia="仿宋" w:cs="Times New Roman"/>
          <w:b/>
          <w:kern w:val="2"/>
          <w:sz w:val="28"/>
          <w:lang w:val="en-US" w:eastAsia="zh-CN" w:bidi="ar-SA"/>
        </w:rPr>
        <w:t xml:space="preserve"> </w:t>
      </w:r>
    </w:p>
    <w:p>
      <w:pPr>
        <w:widowControl/>
        <w:tabs>
          <w:tab w:val="left" w:pos="6300"/>
        </w:tabs>
        <w:spacing w:line="560" w:lineRule="exact"/>
        <w:jc w:val="left"/>
        <w:textAlignment w:val="baseline"/>
        <w:rPr>
          <w:rFonts w:hint="eastAsia" w:ascii="仿宋" w:hAnsi="仿宋" w:eastAsia="仿宋" w:cs="仿宋"/>
          <w:sz w:val="28"/>
          <w:szCs w:val="28"/>
        </w:rPr>
      </w:pPr>
      <w:bookmarkStart w:id="101" w:name="_Toc262677958"/>
      <w:r>
        <w:rPr>
          <w:rFonts w:hint="eastAsia" w:ascii="仿宋" w:hAnsi="仿宋" w:eastAsia="仿宋" w:cs="仿宋"/>
          <w:sz w:val="28"/>
          <w:szCs w:val="28"/>
        </w:rPr>
        <w:t xml:space="preserve">   本项目要求应以最优的性能价格比构建机房，使资金的产出投入比达到最大值。以合理的成本来维持系统运转，提供高效能与高效益。</w:t>
      </w:r>
      <w:bookmarkEnd w:id="101"/>
      <w:r>
        <w:rPr>
          <w:rFonts w:hint="eastAsia" w:ascii="仿宋" w:hAnsi="仿宋" w:eastAsia="仿宋" w:cs="仿宋"/>
          <w:sz w:val="28"/>
          <w:szCs w:val="28"/>
        </w:rPr>
        <w:t xml:space="preserve"> </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102" w:name="_Toc3439"/>
      <w:bookmarkStart w:id="103" w:name="_Toc262677959"/>
      <w:bookmarkStart w:id="104" w:name="_Toc262680170"/>
      <w:bookmarkStart w:id="105" w:name="_Toc262680320"/>
      <w:bookmarkStart w:id="106" w:name="_Toc262678170"/>
      <w:r>
        <w:rPr>
          <w:rFonts w:hint="eastAsia" w:ascii="楷体" w:hAnsi="楷体" w:eastAsia="仿宋" w:cs="Times New Roman"/>
          <w:b/>
          <w:kern w:val="2"/>
          <w:sz w:val="28"/>
          <w:lang w:val="en-US" w:eastAsia="zh-CN" w:bidi="ar-SA"/>
        </w:rPr>
        <w:t>可管理性</w:t>
      </w:r>
      <w:bookmarkEnd w:id="102"/>
      <w:bookmarkEnd w:id="103"/>
      <w:bookmarkEnd w:id="104"/>
      <w:bookmarkEnd w:id="105"/>
      <w:bookmarkEnd w:id="106"/>
      <w:r>
        <w:rPr>
          <w:rFonts w:hint="eastAsia" w:ascii="楷体" w:hAnsi="楷体" w:eastAsia="仿宋" w:cs="Times New Roman"/>
          <w:b/>
          <w:kern w:val="2"/>
          <w:sz w:val="28"/>
          <w:lang w:val="en-US" w:eastAsia="zh-CN" w:bidi="ar-SA"/>
        </w:rPr>
        <w:t xml:space="preserve"> </w:t>
      </w:r>
    </w:p>
    <w:p>
      <w:pPr>
        <w:widowControl/>
        <w:tabs>
          <w:tab w:val="left" w:pos="6300"/>
        </w:tabs>
        <w:spacing w:line="560" w:lineRule="exact"/>
        <w:jc w:val="left"/>
        <w:textAlignment w:val="baseline"/>
        <w:rPr>
          <w:rFonts w:hint="eastAsia" w:ascii="仿宋" w:hAnsi="仿宋" w:eastAsia="仿宋" w:cs="仿宋"/>
          <w:sz w:val="28"/>
          <w:szCs w:val="28"/>
        </w:rPr>
      </w:pPr>
      <w:r>
        <w:rPr>
          <w:rFonts w:hint="eastAsia" w:ascii="仿宋" w:hAnsi="仿宋" w:eastAsia="仿宋" w:cs="仿宋"/>
          <w:sz w:val="28"/>
          <w:szCs w:val="28"/>
        </w:rPr>
        <w:t xml:space="preserve">  </w:t>
      </w:r>
      <w:bookmarkStart w:id="107" w:name="_Toc262677960"/>
      <w:r>
        <w:rPr>
          <w:rFonts w:hint="eastAsia" w:ascii="仿宋" w:hAnsi="仿宋" w:eastAsia="仿宋" w:cs="仿宋"/>
          <w:sz w:val="28"/>
          <w:szCs w:val="28"/>
        </w:rPr>
        <w:t xml:space="preserve"> 本项目要求建立一套全面、完善的管理和监控系统。所选用的设备应具有智能化，可管理的功能，同时采用先进的管理监控系统，实现先进的集中管理监控，实时监控、监测整个机房的运行状况，语音报警，实时事件记录，这样可以迅速确定故障，提高的运行性能、可靠性，简化管理人员的维护工作，从而为机房安全、可靠的运行提供最有力的保障。</w:t>
      </w:r>
      <w:bookmarkEnd w:id="107"/>
      <w:r>
        <w:rPr>
          <w:rFonts w:hint="eastAsia" w:ascii="仿宋" w:hAnsi="仿宋" w:eastAsia="仿宋" w:cs="仿宋"/>
          <w:sz w:val="28"/>
          <w:szCs w:val="28"/>
        </w:rPr>
        <w:t xml:space="preserve"> </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108" w:name="_Toc16915"/>
      <w:r>
        <w:rPr>
          <w:rFonts w:hint="eastAsia" w:ascii="楷体" w:hAnsi="楷体" w:eastAsia="仿宋" w:cs="Times New Roman"/>
          <w:b/>
          <w:kern w:val="2"/>
          <w:sz w:val="28"/>
          <w:lang w:val="en-US" w:eastAsia="zh-CN" w:bidi="ar-SA"/>
        </w:rPr>
        <w:t>绿色环保节能</w:t>
      </w:r>
      <w:bookmarkEnd w:id="108"/>
      <w:r>
        <w:rPr>
          <w:rFonts w:hint="eastAsia" w:ascii="楷体" w:hAnsi="楷体" w:eastAsia="仿宋" w:cs="Times New Roman"/>
          <w:b/>
          <w:kern w:val="2"/>
          <w:sz w:val="28"/>
          <w:lang w:val="en-US" w:eastAsia="zh-CN" w:bidi="ar-SA"/>
        </w:rPr>
        <w:t xml:space="preserve"> </w:t>
      </w:r>
    </w:p>
    <w:p>
      <w:pPr>
        <w:widowControl/>
        <w:tabs>
          <w:tab w:val="left" w:pos="6300"/>
        </w:tabs>
        <w:spacing w:line="560" w:lineRule="exact"/>
        <w:jc w:val="left"/>
        <w:textAlignment w:val="baseline"/>
        <w:rPr>
          <w:rFonts w:hint="eastAsia" w:ascii="仿宋" w:hAnsi="仿宋" w:eastAsia="仿宋" w:cs="仿宋"/>
          <w:sz w:val="28"/>
          <w:szCs w:val="28"/>
        </w:rPr>
      </w:pPr>
      <w:bookmarkStart w:id="109" w:name="_Toc262677948"/>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本项目需采用行业先进的设计理念和产品以实现环保、节能的绿色机房，并必须参照国务院印发的《“十三五”国家信息化规划》中对于绿色数据中心建设的要求。</w:t>
      </w:r>
      <w:bookmarkEnd w:id="109"/>
      <w:bookmarkStart w:id="110" w:name="_Toc357878124"/>
    </w:p>
    <w:p>
      <w:pPr>
        <w:numPr>
          <w:ilvl w:val="0"/>
          <w:numId w:val="2"/>
        </w:numPr>
        <w:spacing w:line="560" w:lineRule="exact"/>
        <w:jc w:val="center"/>
        <w:textAlignment w:val="baseline"/>
        <w:outlineLvl w:val="0"/>
        <w:rPr>
          <w:rFonts w:hint="eastAsia" w:ascii="仿宋" w:hAnsi="仿宋" w:eastAsia="仿宋" w:cs="仿宋"/>
          <w:b/>
          <w:color w:val="000000"/>
          <w:kern w:val="2"/>
          <w:sz w:val="32"/>
          <w:szCs w:val="24"/>
          <w:lang w:val="en-US" w:eastAsia="zh-CN" w:bidi="ar-SA"/>
        </w:rPr>
      </w:pPr>
      <w:r>
        <w:rPr>
          <w:rFonts w:hint="eastAsia" w:ascii="仿宋" w:hAnsi="仿宋" w:eastAsia="仿宋" w:cs="仿宋"/>
          <w:b/>
          <w:color w:val="auto"/>
          <w:kern w:val="2"/>
          <w:sz w:val="28"/>
          <w:szCs w:val="28"/>
          <w:lang w:val="en-US" w:eastAsia="zh-CN" w:bidi="ar-SA"/>
        </w:rPr>
        <w:br w:type="page"/>
      </w:r>
      <w:bookmarkStart w:id="111" w:name="_Toc24514"/>
      <w:r>
        <w:rPr>
          <w:rFonts w:hint="eastAsia" w:ascii="仿宋" w:hAnsi="仿宋" w:eastAsia="仿宋" w:cs="仿宋"/>
          <w:b/>
          <w:color w:val="000000"/>
          <w:kern w:val="2"/>
          <w:sz w:val="30"/>
          <w:szCs w:val="30"/>
          <w:lang w:val="en-US" w:eastAsia="zh-CN" w:bidi="ar-SA"/>
        </w:rPr>
        <w:t>建设依据</w:t>
      </w:r>
      <w:bookmarkEnd w:id="110"/>
      <w:bookmarkEnd w:id="111"/>
    </w:p>
    <w:p>
      <w:pPr>
        <w:widowControl/>
        <w:spacing w:line="560" w:lineRule="exact"/>
        <w:ind w:firstLine="560" w:firstLineChars="200"/>
        <w:rPr>
          <w:rFonts w:hint="eastAsia" w:ascii="仿宋" w:hAnsi="仿宋" w:eastAsia="仿宋" w:cs="Times New Roman"/>
          <w:sz w:val="28"/>
          <w:szCs w:val="20"/>
        </w:rPr>
      </w:pPr>
      <w:r>
        <w:rPr>
          <w:rFonts w:hint="eastAsia" w:ascii="仿宋" w:hAnsi="仿宋" w:eastAsia="仿宋" w:cs="仿宋"/>
          <w:sz w:val="28"/>
          <w:szCs w:val="28"/>
        </w:rPr>
        <w:t>投标方应依据本文件要求时，设计及施工必须达到以下但不限于以下现行中华人民共和国及省、市、行业的一切有关法规、规范的要求（如以下版本低于最近公布的国内最新标准时，应按最新标准实施），如下述标准及规范要求有出入则以较严格者为准。如需要，下文的某些地方将扩大标准规范的引用范围。</w:t>
      </w: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112" w:name="_Toc26066"/>
      <w:r>
        <w:rPr>
          <w:rFonts w:hint="eastAsia" w:ascii="仿宋" w:hAnsi="仿宋" w:eastAsia="仿宋" w:cs="仿宋"/>
          <w:b/>
          <w:bCs/>
          <w:kern w:val="2"/>
          <w:sz w:val="28"/>
          <w:szCs w:val="28"/>
          <w:lang w:val="en-US" w:eastAsia="zh-CN" w:bidi="ar-SA"/>
        </w:rPr>
        <w:t>主要引用规范</w:t>
      </w:r>
      <w:bookmarkEnd w:id="112"/>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36"/>
        <w:gridCol w:w="5086"/>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 w:hRule="atLeast"/>
          <w:jc w:val="center"/>
        </w:trPr>
        <w:tc>
          <w:tcPr>
            <w:tcW w:w="736" w:type="dxa"/>
            <w:shd w:val="clear" w:color="auto" w:fill="808080"/>
            <w:noWrap w:val="0"/>
            <w:vAlign w:val="center"/>
          </w:tcPr>
          <w:p>
            <w:pPr>
              <w:widowControl w:val="0"/>
              <w:spacing w:line="560" w:lineRule="exact"/>
              <w:jc w:val="center"/>
              <w:textAlignment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5086" w:type="dxa"/>
            <w:shd w:val="clear" w:color="auto" w:fill="808080"/>
            <w:noWrap w:val="0"/>
            <w:vAlign w:val="center"/>
          </w:tcPr>
          <w:p>
            <w:pPr>
              <w:widowControl w:val="0"/>
              <w:spacing w:line="560" w:lineRule="exact"/>
              <w:ind w:left="440"/>
              <w:jc w:val="center"/>
              <w:textAlignment w:val="center"/>
              <w:rPr>
                <w:rFonts w:hint="eastAsia" w:ascii="仿宋" w:hAnsi="仿宋" w:eastAsia="仿宋" w:cs="仿宋"/>
                <w:bCs/>
                <w:sz w:val="24"/>
                <w:szCs w:val="24"/>
              </w:rPr>
            </w:pPr>
            <w:r>
              <w:rPr>
                <w:rFonts w:hint="eastAsia" w:ascii="仿宋" w:hAnsi="仿宋" w:eastAsia="仿宋" w:cs="仿宋"/>
                <w:bCs/>
                <w:sz w:val="24"/>
                <w:szCs w:val="24"/>
              </w:rPr>
              <w:t>规范名称</w:t>
            </w:r>
          </w:p>
        </w:tc>
        <w:tc>
          <w:tcPr>
            <w:tcW w:w="2504" w:type="dxa"/>
            <w:shd w:val="clear" w:color="auto" w:fill="808080"/>
            <w:noWrap w:val="0"/>
            <w:vAlign w:val="center"/>
          </w:tcPr>
          <w:p>
            <w:pPr>
              <w:widowControl w:val="0"/>
              <w:spacing w:line="560" w:lineRule="exact"/>
              <w:jc w:val="center"/>
              <w:textAlignment w:val="center"/>
              <w:rPr>
                <w:rFonts w:hint="eastAsia" w:ascii="仿宋" w:hAnsi="仿宋" w:eastAsia="仿宋" w:cs="仿宋"/>
                <w:bCs/>
                <w:sz w:val="24"/>
                <w:szCs w:val="24"/>
              </w:rPr>
            </w:pPr>
            <w:r>
              <w:rPr>
                <w:rFonts w:hint="eastAsia" w:ascii="仿宋" w:hAnsi="仿宋" w:eastAsia="仿宋" w:cs="仿宋"/>
                <w:bCs/>
                <w:sz w:val="24"/>
                <w:szCs w:val="24"/>
              </w:rPr>
              <w:t>规范编号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8" w:hRule="atLeast"/>
          <w:jc w:val="center"/>
        </w:trPr>
        <w:tc>
          <w:tcPr>
            <w:tcW w:w="8326" w:type="dxa"/>
            <w:gridSpan w:val="3"/>
            <w:noWrap w:val="0"/>
            <w:vAlign w:val="center"/>
          </w:tcPr>
          <w:p>
            <w:pPr>
              <w:widowControl w:val="0"/>
              <w:spacing w:line="560" w:lineRule="exact"/>
              <w:ind w:left="440"/>
              <w:jc w:val="center"/>
              <w:textAlignment w:val="center"/>
              <w:rPr>
                <w:rFonts w:hint="eastAsia" w:ascii="仿宋" w:hAnsi="仿宋" w:eastAsia="仿宋" w:cs="仿宋"/>
                <w:bCs/>
                <w:sz w:val="24"/>
                <w:szCs w:val="24"/>
              </w:rPr>
            </w:pPr>
            <w:r>
              <w:rPr>
                <w:rFonts w:hint="eastAsia" w:ascii="仿宋" w:hAnsi="仿宋" w:eastAsia="仿宋" w:cs="仿宋"/>
                <w:bCs/>
                <w:color w:val="000000"/>
                <w:sz w:val="24"/>
                <w:szCs w:val="24"/>
              </w:rPr>
              <w:t>综合标准、规范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5"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《数据中心设计规范》</w:t>
            </w:r>
          </w:p>
        </w:tc>
        <w:tc>
          <w:tcPr>
            <w:tcW w:w="2504" w:type="dxa"/>
            <w:noWrap w:val="0"/>
            <w:vAlign w:val="center"/>
          </w:tcPr>
          <w:p>
            <w:pPr>
              <w:widowControl w:val="0"/>
              <w:spacing w:line="560" w:lineRule="exact"/>
              <w:textAlignment w:val="center"/>
              <w:rPr>
                <w:rFonts w:hint="eastAsia" w:ascii="仿宋" w:hAnsi="仿宋" w:eastAsia="仿宋" w:cs="仿宋"/>
                <w:bCs/>
                <w:sz w:val="24"/>
                <w:szCs w:val="24"/>
              </w:rPr>
            </w:pPr>
            <w:r>
              <w:rPr>
                <w:rFonts w:hint="eastAsia" w:ascii="仿宋" w:hAnsi="仿宋" w:eastAsia="仿宋" w:cs="仿宋"/>
                <w:bCs/>
                <w:color w:val="000000"/>
                <w:sz w:val="24"/>
                <w:szCs w:val="24"/>
              </w:rPr>
              <w:t>GB 50174-2017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《数据中心基础设施施工及验收规范》</w:t>
            </w:r>
          </w:p>
        </w:tc>
        <w:tc>
          <w:tcPr>
            <w:tcW w:w="2504" w:type="dxa"/>
            <w:noWrap w:val="0"/>
            <w:vAlign w:val="center"/>
          </w:tcPr>
          <w:p>
            <w:pPr>
              <w:widowControl w:val="0"/>
              <w:spacing w:line="560" w:lineRule="exact"/>
              <w:textAlignment w:val="center"/>
              <w:rPr>
                <w:rFonts w:hint="eastAsia" w:ascii="仿宋" w:hAnsi="仿宋" w:eastAsia="仿宋" w:cs="仿宋"/>
                <w:bCs/>
                <w:sz w:val="24"/>
                <w:szCs w:val="24"/>
              </w:rPr>
            </w:pPr>
            <w:r>
              <w:rPr>
                <w:rFonts w:hint="eastAsia" w:ascii="仿宋" w:hAnsi="仿宋" w:eastAsia="仿宋" w:cs="仿宋"/>
                <w:bCs/>
                <w:color w:val="000000"/>
                <w:sz w:val="24"/>
                <w:szCs w:val="24"/>
              </w:rPr>
              <w:t>GB 50462-2015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《建筑设计防火规范》</w:t>
            </w:r>
          </w:p>
        </w:tc>
        <w:tc>
          <w:tcPr>
            <w:tcW w:w="2504" w:type="dxa"/>
            <w:noWrap w:val="0"/>
            <w:vAlign w:val="center"/>
          </w:tcPr>
          <w:p>
            <w:pPr>
              <w:widowControl w:val="0"/>
              <w:spacing w:line="560" w:lineRule="exact"/>
              <w:textAlignment w:val="center"/>
              <w:rPr>
                <w:rFonts w:hint="eastAsia" w:ascii="仿宋" w:hAnsi="仿宋" w:eastAsia="仿宋" w:cs="仿宋"/>
                <w:bCs/>
                <w:sz w:val="24"/>
                <w:szCs w:val="24"/>
              </w:rPr>
            </w:pPr>
            <w:r>
              <w:rPr>
                <w:rFonts w:hint="eastAsia" w:ascii="仿宋" w:hAnsi="仿宋" w:eastAsia="仿宋" w:cs="仿宋"/>
                <w:bCs/>
                <w:color w:val="000000"/>
                <w:sz w:val="24"/>
                <w:szCs w:val="24"/>
              </w:rPr>
              <w:t>GB 50016-2014（2018年版）《建筑设计防火规范》局部修订稿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5</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《计算机场地安全要求》</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GBT 9361-2011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6</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《计算机场地通用规范》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GBT 2887-2011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7</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《建筑工程施工质量验收统一标准》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50300-2013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8</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《声环境质量标准》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3096-2008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9</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《智能建筑设计标准》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50314-2015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10</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《智能建筑工程质量验收规范》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50339-2013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11</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《公共建筑节能设计标准》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GBT 50189-2015</w:t>
            </w:r>
          </w:p>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DB22/JT 149-2016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12</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《建筑工程抗震设防分类标准》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50223-2008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13</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《建筑抗震设计规范》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50011-2010（2016年版）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14</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《建筑抗震鉴定标准》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50023-2009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sz w:val="24"/>
                <w:szCs w:val="24"/>
              </w:rPr>
            </w:pPr>
            <w:r>
              <w:rPr>
                <w:rFonts w:hint="eastAsia" w:ascii="仿宋" w:hAnsi="仿宋" w:eastAsia="仿宋" w:cs="仿宋"/>
                <w:bCs/>
                <w:color w:val="000000"/>
                <w:sz w:val="24"/>
                <w:szCs w:val="24"/>
              </w:rPr>
              <w:t>15</w:t>
            </w:r>
          </w:p>
        </w:tc>
        <w:tc>
          <w:tcPr>
            <w:tcW w:w="5086" w:type="dxa"/>
            <w:noWrap w:val="0"/>
            <w:vAlign w:val="center"/>
          </w:tcPr>
          <w:p>
            <w:pPr>
              <w:widowControl w:val="0"/>
              <w:spacing w:line="560" w:lineRule="exact"/>
              <w:textAlignment w:val="center"/>
              <w:rPr>
                <w:rFonts w:hint="eastAsia" w:ascii="仿宋" w:hAnsi="仿宋" w:eastAsia="仿宋" w:cs="仿宋"/>
                <w:bCs/>
                <w:sz w:val="24"/>
                <w:szCs w:val="24"/>
              </w:rPr>
            </w:pPr>
            <w:r>
              <w:rPr>
                <w:rFonts w:hint="eastAsia" w:ascii="仿宋" w:hAnsi="仿宋" w:eastAsia="仿宋" w:cs="仿宋"/>
                <w:bCs/>
                <w:color w:val="000000"/>
                <w:sz w:val="24"/>
                <w:szCs w:val="24"/>
              </w:rPr>
              <w:t>《建筑外门窗气密、水密、抗风压性能分级及检测方法》</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GBT 7106-2008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8326" w:type="dxa"/>
            <w:gridSpan w:val="3"/>
            <w:noWrap w:val="0"/>
            <w:vAlign w:val="center"/>
          </w:tcPr>
          <w:p>
            <w:pPr>
              <w:widowControl w:val="0"/>
              <w:spacing w:line="560" w:lineRule="exact"/>
              <w:ind w:left="440"/>
              <w:jc w:val="center"/>
              <w:textAlignment w:val="center"/>
              <w:rPr>
                <w:rFonts w:hint="eastAsia" w:ascii="仿宋" w:hAnsi="仿宋" w:eastAsia="仿宋" w:cs="仿宋"/>
                <w:bCs/>
                <w:sz w:val="24"/>
                <w:szCs w:val="24"/>
              </w:rPr>
            </w:pPr>
            <w:r>
              <w:rPr>
                <w:rFonts w:hint="eastAsia" w:ascii="仿宋" w:hAnsi="仿宋" w:eastAsia="仿宋" w:cs="仿宋"/>
                <w:bCs/>
                <w:color w:val="000000"/>
                <w:sz w:val="24"/>
                <w:szCs w:val="24"/>
              </w:rPr>
              <w:t>建筑与结构</w:t>
            </w:r>
            <w:r>
              <w:rPr>
                <w:rFonts w:hint="eastAsia" w:ascii="仿宋" w:hAnsi="仿宋" w:eastAsia="仿宋" w:cs="仿宋"/>
                <w:bCs/>
                <w:sz w:val="24"/>
                <w:szCs w:val="24"/>
              </w:rPr>
              <w:t>主要</w:t>
            </w:r>
            <w:r>
              <w:rPr>
                <w:rFonts w:hint="eastAsia" w:ascii="仿宋" w:hAnsi="仿宋" w:eastAsia="仿宋" w:cs="仿宋"/>
                <w:bCs/>
                <w:color w:val="000000"/>
                <w:sz w:val="24"/>
                <w:szCs w:val="24"/>
              </w:rPr>
              <w:t>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5086" w:type="dxa"/>
            <w:noWrap w:val="0"/>
            <w:vAlign w:val="center"/>
          </w:tcPr>
          <w:p>
            <w:pPr>
              <w:widowControl w:val="0"/>
              <w:spacing w:line="560" w:lineRule="exact"/>
              <w:textAlignment w:val="center"/>
              <w:rPr>
                <w:rFonts w:hint="eastAsia" w:ascii="仿宋" w:hAnsi="仿宋" w:eastAsia="仿宋" w:cs="仿宋"/>
                <w:bCs/>
                <w:sz w:val="24"/>
                <w:szCs w:val="24"/>
              </w:rPr>
            </w:pPr>
            <w:r>
              <w:rPr>
                <w:rFonts w:hint="eastAsia" w:ascii="仿宋" w:hAnsi="仿宋" w:eastAsia="仿宋" w:cs="仿宋"/>
                <w:bCs/>
                <w:color w:val="000000"/>
                <w:sz w:val="24"/>
                <w:szCs w:val="24"/>
              </w:rPr>
              <w:t>《建筑内部装修设计防火规范</w:t>
            </w:r>
            <w:r>
              <w:rPr>
                <w:rFonts w:hint="eastAsia" w:ascii="仿宋" w:hAnsi="仿宋" w:eastAsia="仿宋" w:cs="仿宋"/>
                <w:bCs/>
                <w:sz w:val="24"/>
                <w:szCs w:val="24"/>
              </w:rPr>
              <w:t>》</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50222-2017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《建筑机电工程抗震设计规范》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50981-2014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《建筑装饰装修工程质量验收标准》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50210-2018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《建筑地面工程施工质量验收规范》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50209-2010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5</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《建筑工程施工质量验收统一标准》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50300-2013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6</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《建筑内部装修防火施工及验收规范》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50354-2005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7</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《建筑材料及制品燃烧性能分级》</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8624-2012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8</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《屋面工程技术规范》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50345-2012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9</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《屋面工程质量验收规范》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50207-2012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10</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《钢结构设计标准》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50017-2017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11</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《建筑采光设计标准》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50033-2013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12</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《防静电工程施工与质量验收规范明) 》</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50944-2013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13</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《混凝土结构加固设计规范》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50367-2013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14</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《防火门》</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12955-2008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15</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《防火封堵材料》</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23864-2009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16</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《建筑用安全玻璃  第1部分：防火玻璃》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15763.1-2009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17</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《电缆防火涂料》</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28374-2012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18</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《防火卷帘、防火门、防火窗施工及验收规范》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50877-2014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19</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《防静电活动地板通用规范》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GBT 36340-2018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8326" w:type="dxa"/>
            <w:gridSpan w:val="3"/>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电气技术主要标准、规范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《20KV及以下变电所设计规范》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50053-2013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《低压配电设计规范》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50054-2011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《供配电系统设计规范》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50052-2009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《建筑照明设计标准》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50034-2013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5</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《建筑电气工程施工质量验收规范》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50303-2015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6</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《建筑物防雷装置检测技术规范》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GBT 21431-2015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7</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《电力设施抗震设计规范》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50260-2013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8</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《建筑物电子信息系统防雷技术规范》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50343-2012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9</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《爆炸危险环境电力装置设计规范》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50058-2014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10</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《重要电力用户供电电源及自备应急电源配置技术规范》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GBT 29328-2018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11</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《建筑物防雷设计规范》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50057-2010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12</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《往复式内燃机驱动的交流发电机组 第1部分：用途、定额和性能》</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GBT 2820.1-2009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13</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《电力工程电缆设计标准》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50217-2018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14</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《民用建筑电气设计规范》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JGJ 16-2008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15</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《电气装置安装工程 电缆线路施工及验收标准》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50168-2018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16</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《建筑电气照明装置施工与验收规范》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50617-2010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17</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《外壳防护等级（IP代码）》</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GBT 4208-2017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18</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《电缆及光缆燃烧性能分级》</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31247-2014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19</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《电气装置安装工程蓄电池施工及验收规范》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50172-2012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20</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《消防应急照明和疏散指示系统》</w:t>
            </w:r>
          </w:p>
        </w:tc>
        <w:tc>
          <w:tcPr>
            <w:tcW w:w="2504" w:type="dxa"/>
            <w:noWrap w:val="0"/>
            <w:vAlign w:val="center"/>
          </w:tcPr>
          <w:p>
            <w:pPr>
              <w:widowControl w:val="0"/>
              <w:spacing w:line="560" w:lineRule="exact"/>
              <w:textAlignment w:val="center"/>
              <w:rPr>
                <w:rFonts w:hint="eastAsia" w:ascii="仿宋" w:hAnsi="仿宋" w:eastAsia="仿宋" w:cs="仿宋"/>
                <w:bCs/>
                <w:sz w:val="24"/>
                <w:szCs w:val="24"/>
              </w:rPr>
            </w:pPr>
            <w:r>
              <w:rPr>
                <w:rFonts w:hint="eastAsia" w:ascii="仿宋" w:hAnsi="仿宋" w:eastAsia="仿宋" w:cs="仿宋"/>
                <w:bCs/>
                <w:sz w:val="24"/>
                <w:szCs w:val="24"/>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8326" w:type="dxa"/>
            <w:gridSpan w:val="3"/>
            <w:noWrap w:val="0"/>
            <w:vAlign w:val="center"/>
          </w:tcPr>
          <w:p>
            <w:pPr>
              <w:widowControl w:val="0"/>
              <w:spacing w:line="560" w:lineRule="exact"/>
              <w:ind w:left="440"/>
              <w:jc w:val="center"/>
              <w:textAlignment w:val="center"/>
              <w:rPr>
                <w:rFonts w:hint="eastAsia" w:ascii="仿宋" w:hAnsi="仿宋" w:eastAsia="仿宋" w:cs="仿宋"/>
                <w:bCs/>
                <w:sz w:val="24"/>
                <w:szCs w:val="24"/>
              </w:rPr>
            </w:pPr>
            <w:r>
              <w:rPr>
                <w:rFonts w:hint="eastAsia" w:ascii="仿宋" w:hAnsi="仿宋" w:eastAsia="仿宋" w:cs="仿宋"/>
                <w:bCs/>
                <w:sz w:val="24"/>
                <w:szCs w:val="24"/>
              </w:rPr>
              <w:t>电磁屏蔽和兼容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《电磁屏蔽材料术语》</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GBT 26667-2011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《电磁屏蔽室工程技术规范》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GBT 50719-2011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《电磁屏蔽室工程施工及质量验收规范》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GBT 51103-2015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《电磁屏蔽室屏蔽效能的测量方法》</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GBT 12190-2006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8326" w:type="dxa"/>
            <w:gridSpan w:val="3"/>
            <w:noWrap w:val="0"/>
            <w:vAlign w:val="center"/>
          </w:tcPr>
          <w:p>
            <w:pPr>
              <w:widowControl w:val="0"/>
              <w:spacing w:line="560" w:lineRule="exact"/>
              <w:ind w:left="440"/>
              <w:jc w:val="center"/>
              <w:textAlignment w:val="center"/>
              <w:rPr>
                <w:rFonts w:hint="eastAsia" w:ascii="仿宋" w:hAnsi="仿宋" w:eastAsia="仿宋" w:cs="仿宋"/>
                <w:bCs/>
                <w:sz w:val="24"/>
                <w:szCs w:val="24"/>
              </w:rPr>
            </w:pPr>
            <w:r>
              <w:rPr>
                <w:rFonts w:hint="eastAsia" w:ascii="仿宋" w:hAnsi="仿宋" w:eastAsia="仿宋" w:cs="仿宋"/>
                <w:bCs/>
                <w:sz w:val="24"/>
                <w:szCs w:val="24"/>
              </w:rPr>
              <w:t>空气调节主要标准、规范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《工业建筑供暖通风与空气调节设计规范》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50019-2015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《建筑节能工程施工质量验收规范(含条文说明完整版) 》</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50411-2007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《通风与空调工程施工质量验收规范》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50243-2016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《建筑防烟排烟系统技术标准》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51251-2017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5</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《民用建筑供暖通风与空气调节设计规范》  </w:t>
            </w:r>
          </w:p>
        </w:tc>
        <w:tc>
          <w:tcPr>
            <w:tcW w:w="2504" w:type="dxa"/>
            <w:noWrap w:val="0"/>
            <w:vAlign w:val="center"/>
          </w:tcPr>
          <w:p>
            <w:pPr>
              <w:widowControl w:val="0"/>
              <w:spacing w:line="560" w:lineRule="exact"/>
              <w:textAlignment w:val="center"/>
              <w:rPr>
                <w:rFonts w:hint="eastAsia" w:ascii="仿宋" w:hAnsi="仿宋" w:eastAsia="仿宋" w:cs="仿宋"/>
                <w:bCs/>
                <w:sz w:val="24"/>
                <w:szCs w:val="24"/>
              </w:rPr>
            </w:pPr>
            <w:r>
              <w:rPr>
                <w:rFonts w:hint="eastAsia" w:ascii="仿宋" w:hAnsi="仿宋" w:eastAsia="仿宋" w:cs="仿宋"/>
                <w:bCs/>
                <w:color w:val="000000"/>
                <w:sz w:val="24"/>
                <w:szCs w:val="24"/>
              </w:rPr>
              <w:t>GB 50736-2012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8326" w:type="dxa"/>
            <w:gridSpan w:val="3"/>
            <w:noWrap w:val="0"/>
            <w:vAlign w:val="center"/>
          </w:tcPr>
          <w:p>
            <w:pPr>
              <w:widowControl w:val="0"/>
              <w:spacing w:line="560" w:lineRule="exact"/>
              <w:ind w:left="440"/>
              <w:jc w:val="center"/>
              <w:textAlignment w:val="center"/>
              <w:rPr>
                <w:rFonts w:hint="eastAsia" w:ascii="仿宋" w:hAnsi="仿宋" w:eastAsia="仿宋" w:cs="仿宋"/>
                <w:bCs/>
                <w:color w:val="000000"/>
                <w:sz w:val="24"/>
                <w:szCs w:val="24"/>
              </w:rPr>
            </w:pPr>
            <w:r>
              <w:rPr>
                <w:rFonts w:hint="eastAsia" w:ascii="仿宋" w:hAnsi="仿宋" w:eastAsia="仿宋" w:cs="仿宋"/>
                <w:bCs/>
                <w:sz w:val="24"/>
                <w:szCs w:val="24"/>
              </w:rPr>
              <w:t>网络与布线、智能化系统主要标准、规范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5086" w:type="dxa"/>
            <w:noWrap w:val="0"/>
            <w:vAlign w:val="center"/>
          </w:tcPr>
          <w:p>
            <w:pPr>
              <w:widowControl w:val="0"/>
              <w:spacing w:line="560" w:lineRule="exact"/>
              <w:textAlignment w:val="center"/>
              <w:rPr>
                <w:rFonts w:hint="eastAsia" w:ascii="仿宋" w:hAnsi="仿宋" w:eastAsia="仿宋" w:cs="仿宋"/>
                <w:bCs/>
                <w:sz w:val="24"/>
                <w:szCs w:val="24"/>
              </w:rPr>
            </w:pPr>
            <w:r>
              <w:rPr>
                <w:rFonts w:hint="eastAsia" w:ascii="仿宋" w:hAnsi="仿宋" w:eastAsia="仿宋" w:cs="仿宋"/>
                <w:bCs/>
                <w:color w:val="000000"/>
                <w:sz w:val="24"/>
                <w:szCs w:val="24"/>
              </w:rPr>
              <w:t>《智能建筑设计标准》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GBT 50314-2015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5086" w:type="dxa"/>
            <w:noWrap w:val="0"/>
            <w:vAlign w:val="center"/>
          </w:tcPr>
          <w:p>
            <w:pPr>
              <w:widowControl w:val="0"/>
              <w:spacing w:line="560" w:lineRule="exact"/>
              <w:textAlignment w:val="center"/>
              <w:rPr>
                <w:rFonts w:hint="eastAsia" w:ascii="仿宋" w:hAnsi="仿宋" w:eastAsia="仿宋" w:cs="仿宋"/>
                <w:bCs/>
                <w:sz w:val="24"/>
                <w:szCs w:val="24"/>
              </w:rPr>
            </w:pPr>
            <w:r>
              <w:rPr>
                <w:rFonts w:hint="eastAsia" w:ascii="仿宋" w:hAnsi="仿宋" w:eastAsia="仿宋" w:cs="仿宋"/>
                <w:bCs/>
                <w:color w:val="000000"/>
                <w:sz w:val="24"/>
                <w:szCs w:val="24"/>
              </w:rPr>
              <w:t>《综合布线系统工程设计规范》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50311-2016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《综合布线系统工程验收规范》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GBT 50312-2016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《安全防范工程技术标准》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50348-2018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5</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《视频安防监控系统工程设计规范》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50395-2007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6</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《入侵报警系统工程设计规范》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50394-2007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7</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《公共广播系统工程技术规范》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50526-2010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8</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《安全防范系统验收规则》</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GA 308-2001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8326" w:type="dxa"/>
            <w:gridSpan w:val="3"/>
            <w:noWrap w:val="0"/>
            <w:vAlign w:val="center"/>
          </w:tcPr>
          <w:p>
            <w:pPr>
              <w:widowControl w:val="0"/>
              <w:spacing w:line="560" w:lineRule="exact"/>
              <w:ind w:left="440"/>
              <w:jc w:val="center"/>
              <w:textAlignment w:val="center"/>
              <w:rPr>
                <w:rFonts w:hint="eastAsia" w:ascii="仿宋" w:hAnsi="仿宋" w:eastAsia="仿宋" w:cs="仿宋"/>
                <w:bCs/>
                <w:sz w:val="24"/>
                <w:szCs w:val="24"/>
              </w:rPr>
            </w:pPr>
            <w:r>
              <w:rPr>
                <w:rFonts w:hint="eastAsia" w:ascii="仿宋" w:hAnsi="仿宋" w:eastAsia="仿宋" w:cs="仿宋"/>
                <w:bCs/>
                <w:sz w:val="24"/>
                <w:szCs w:val="24"/>
              </w:rPr>
              <w:t>给排水主要标准、规范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《室外给水设计规范》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50013-2006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《室外排水设计规范》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50014-2006（ 16年版）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《建筑给水排水设计规范》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50015-2003（ 09年版）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《建筑给水排水及采暖工程施工质量验收规范》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50242-2002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5</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《给水排水管道工程施工及验收规范》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50268-2008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8326" w:type="dxa"/>
            <w:gridSpan w:val="3"/>
            <w:noWrap w:val="0"/>
            <w:vAlign w:val="center"/>
          </w:tcPr>
          <w:p>
            <w:pPr>
              <w:widowControl w:val="0"/>
              <w:spacing w:line="560" w:lineRule="exact"/>
              <w:ind w:left="440"/>
              <w:jc w:val="center"/>
              <w:textAlignment w:val="center"/>
              <w:rPr>
                <w:rFonts w:hint="eastAsia" w:ascii="仿宋" w:hAnsi="仿宋" w:eastAsia="仿宋" w:cs="仿宋"/>
                <w:bCs/>
                <w:sz w:val="24"/>
                <w:szCs w:val="24"/>
              </w:rPr>
            </w:pPr>
            <w:r>
              <w:rPr>
                <w:rFonts w:hint="eastAsia" w:ascii="仿宋" w:hAnsi="仿宋" w:eastAsia="仿宋" w:cs="仿宋"/>
                <w:bCs/>
                <w:sz w:val="24"/>
                <w:szCs w:val="24"/>
              </w:rPr>
              <w:t>消防主要标准、规范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《气体灭火系统设计规范》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50370-2005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《气体灭火系统施工及验收规范》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50263-2007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《气体灭火系统及部件》</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25972-2010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《火灾自动报警系统设计规范》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50116-2013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5</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《火灾自动报警系统施工及验收规范》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50166-2007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6</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《细水雾灭火系统技术规范》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50898-2013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7</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《消防给水及消火栓系统技术规范》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50974-2014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8</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《消防应急照明和疏散指示系统技术标准》</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51309-2018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9</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《消防控制室通用技术要求》</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25506-2010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ind w:firstLine="240" w:firstLineChars="100"/>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10</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《惰性气体灭火剂》</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20128-2006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ind w:firstLine="240" w:firstLineChars="100"/>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11</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《防火门监控器》</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29364-2012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ind w:firstLine="240" w:firstLineChars="100"/>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12</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《消防安全标志设置要求》</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15630-1995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ind w:firstLine="240" w:firstLineChars="100"/>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13</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《自动喷水灭火系统设计规范》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50084-2017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ind w:firstLine="240" w:firstLineChars="100"/>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14</w:t>
            </w:r>
          </w:p>
        </w:tc>
        <w:tc>
          <w:tcPr>
            <w:tcW w:w="5086" w:type="dxa"/>
            <w:noWrap w:val="0"/>
            <w:vAlign w:val="center"/>
          </w:tcPr>
          <w:p>
            <w:pPr>
              <w:widowControl w:val="0"/>
              <w:spacing w:line="560" w:lineRule="exact"/>
              <w:textAlignment w:val="center"/>
              <w:rPr>
                <w:rFonts w:hint="eastAsia" w:ascii="仿宋" w:hAnsi="仿宋" w:eastAsia="仿宋" w:cs="仿宋"/>
                <w:bCs/>
                <w:sz w:val="24"/>
                <w:szCs w:val="24"/>
              </w:rPr>
            </w:pPr>
            <w:r>
              <w:rPr>
                <w:rFonts w:hint="eastAsia" w:ascii="仿宋" w:hAnsi="仿宋" w:eastAsia="仿宋" w:cs="仿宋"/>
                <w:bCs/>
                <w:color w:val="000000"/>
                <w:sz w:val="24"/>
                <w:szCs w:val="24"/>
              </w:rPr>
              <w:t>《自动喷水灭火系统施工及验收规范》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50261-2017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ind w:firstLine="240" w:firstLineChars="100"/>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15</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《建筑灭火器配置设计规范》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50140-2005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ind w:firstLine="240" w:firstLineChars="100"/>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16</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《二氧化碳灭火系统设计规范》</w:t>
            </w:r>
          </w:p>
        </w:tc>
        <w:tc>
          <w:tcPr>
            <w:tcW w:w="2504"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GB 50193-93(2010版)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36" w:type="dxa"/>
            <w:noWrap w:val="0"/>
            <w:vAlign w:val="center"/>
          </w:tcPr>
          <w:p>
            <w:pPr>
              <w:widowControl w:val="0"/>
              <w:spacing w:line="560" w:lineRule="exact"/>
              <w:ind w:firstLine="240" w:firstLineChars="100"/>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17</w:t>
            </w:r>
          </w:p>
        </w:tc>
        <w:tc>
          <w:tcPr>
            <w:tcW w:w="5086" w:type="dxa"/>
            <w:noWrap w:val="0"/>
            <w:vAlign w:val="center"/>
          </w:tcPr>
          <w:p>
            <w:pPr>
              <w:widowControl w:val="0"/>
              <w:spacing w:line="560" w:lineRule="exac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《水喷雾灭火系统技术规范》</w:t>
            </w:r>
          </w:p>
        </w:tc>
        <w:tc>
          <w:tcPr>
            <w:tcW w:w="2504" w:type="dxa"/>
            <w:noWrap w:val="0"/>
            <w:vAlign w:val="center"/>
          </w:tcPr>
          <w:p>
            <w:pPr>
              <w:widowControl w:val="0"/>
              <w:spacing w:line="560" w:lineRule="exact"/>
              <w:textAlignment w:val="center"/>
              <w:rPr>
                <w:rFonts w:hint="eastAsia" w:ascii="仿宋" w:hAnsi="仿宋" w:eastAsia="仿宋" w:cs="仿宋"/>
                <w:bCs/>
                <w:sz w:val="24"/>
                <w:szCs w:val="24"/>
              </w:rPr>
            </w:pPr>
            <w:r>
              <w:rPr>
                <w:rFonts w:hint="eastAsia" w:ascii="仿宋" w:hAnsi="仿宋" w:eastAsia="仿宋" w:cs="仿宋"/>
                <w:bCs/>
                <w:color w:val="000000"/>
                <w:sz w:val="24"/>
                <w:szCs w:val="24"/>
              </w:rPr>
              <w:t>GB 50219-2014</w:t>
            </w:r>
          </w:p>
        </w:tc>
      </w:tr>
    </w:tbl>
    <w:p>
      <w:pPr>
        <w:widowControl/>
        <w:spacing w:line="560" w:lineRule="exact"/>
        <w:rPr>
          <w:rFonts w:ascii="仿宋" w:hAnsi="仿宋" w:eastAsia="仿宋" w:cs="Times New Roman"/>
          <w:sz w:val="28"/>
          <w:szCs w:val="20"/>
        </w:rPr>
      </w:pPr>
    </w:p>
    <w:p>
      <w:pPr>
        <w:widowControl/>
        <w:spacing w:line="560" w:lineRule="exact"/>
        <w:rPr>
          <w:rFonts w:hint="eastAsia" w:ascii="仿宋" w:hAnsi="仿宋" w:eastAsia="仿宋" w:cs="Times New Roman"/>
          <w:sz w:val="28"/>
          <w:szCs w:val="20"/>
        </w:rPr>
      </w:pP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113" w:name="_Toc16506"/>
      <w:bookmarkStart w:id="114" w:name="_Toc263785022"/>
      <w:r>
        <w:rPr>
          <w:rFonts w:hint="eastAsia" w:ascii="仿宋" w:hAnsi="仿宋" w:eastAsia="仿宋" w:cs="仿宋"/>
          <w:b/>
          <w:bCs/>
          <w:kern w:val="2"/>
          <w:sz w:val="28"/>
          <w:szCs w:val="28"/>
          <w:lang w:val="en-US" w:eastAsia="zh-CN" w:bidi="ar-SA"/>
        </w:rPr>
        <w:t>行业标准</w:t>
      </w:r>
      <w:bookmarkEnd w:id="113"/>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22"/>
        <w:gridCol w:w="5384"/>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22" w:type="dxa"/>
            <w:noWrap w:val="0"/>
            <w:vAlign w:val="top"/>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1</w:t>
            </w:r>
          </w:p>
        </w:tc>
        <w:tc>
          <w:tcPr>
            <w:tcW w:w="5384" w:type="dxa"/>
            <w:noWrap w:val="0"/>
            <w:vAlign w:val="center"/>
          </w:tcPr>
          <w:p>
            <w:pPr>
              <w:widowControl w:val="0"/>
              <w:spacing w:line="560" w:lineRule="exact"/>
              <w:jc w:val="both"/>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《金融业信息系统机房动力系统规范》</w:t>
            </w:r>
          </w:p>
        </w:tc>
        <w:tc>
          <w:tcPr>
            <w:tcW w:w="2220" w:type="dxa"/>
            <w:noWrap w:val="0"/>
            <w:vAlign w:val="center"/>
          </w:tcPr>
          <w:p>
            <w:pPr>
              <w:widowControl w:val="0"/>
              <w:spacing w:line="560" w:lineRule="exact"/>
              <w:jc w:val="both"/>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JRT 0131-2015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22" w:type="dxa"/>
            <w:noWrap w:val="0"/>
            <w:vAlign w:val="top"/>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2</w:t>
            </w:r>
          </w:p>
        </w:tc>
        <w:tc>
          <w:tcPr>
            <w:tcW w:w="5384" w:type="dxa"/>
            <w:noWrap w:val="0"/>
            <w:vAlign w:val="center"/>
          </w:tcPr>
          <w:p>
            <w:pPr>
              <w:widowControl w:val="0"/>
              <w:spacing w:line="560" w:lineRule="exact"/>
              <w:jc w:val="both"/>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《金融业信息系统机房动力系统测评规范》</w:t>
            </w:r>
          </w:p>
        </w:tc>
        <w:tc>
          <w:tcPr>
            <w:tcW w:w="2220" w:type="dxa"/>
            <w:noWrap w:val="0"/>
            <w:vAlign w:val="center"/>
          </w:tcPr>
          <w:p>
            <w:pPr>
              <w:widowControl w:val="0"/>
              <w:spacing w:line="560" w:lineRule="exact"/>
              <w:jc w:val="both"/>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JRT 0132-2015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22" w:type="dxa"/>
            <w:noWrap w:val="0"/>
            <w:vAlign w:val="top"/>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3</w:t>
            </w:r>
          </w:p>
        </w:tc>
        <w:tc>
          <w:tcPr>
            <w:tcW w:w="5384" w:type="dxa"/>
            <w:noWrap w:val="0"/>
            <w:vAlign w:val="center"/>
          </w:tcPr>
          <w:p>
            <w:pPr>
              <w:widowControl w:val="0"/>
              <w:spacing w:line="560" w:lineRule="exact"/>
              <w:jc w:val="both"/>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《金融建筑电气设计规范》</w:t>
            </w:r>
          </w:p>
        </w:tc>
        <w:tc>
          <w:tcPr>
            <w:tcW w:w="2220" w:type="dxa"/>
            <w:noWrap w:val="0"/>
            <w:vAlign w:val="center"/>
          </w:tcPr>
          <w:p>
            <w:pPr>
              <w:widowControl w:val="0"/>
              <w:spacing w:line="560" w:lineRule="exact"/>
              <w:jc w:val="both"/>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JGJ 284-2012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22" w:type="dxa"/>
            <w:noWrap w:val="0"/>
            <w:vAlign w:val="top"/>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4</w:t>
            </w:r>
          </w:p>
        </w:tc>
        <w:tc>
          <w:tcPr>
            <w:tcW w:w="5384" w:type="dxa"/>
            <w:noWrap w:val="0"/>
            <w:vAlign w:val="center"/>
          </w:tcPr>
          <w:p>
            <w:pPr>
              <w:widowControl w:val="0"/>
              <w:spacing w:line="560" w:lineRule="exact"/>
              <w:jc w:val="both"/>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《建筑能耗数据分类及表示办法》</w:t>
            </w:r>
          </w:p>
        </w:tc>
        <w:tc>
          <w:tcPr>
            <w:tcW w:w="2220" w:type="dxa"/>
            <w:noWrap w:val="0"/>
            <w:vAlign w:val="center"/>
          </w:tcPr>
          <w:p>
            <w:pPr>
              <w:widowControl w:val="0"/>
              <w:spacing w:line="560" w:lineRule="exact"/>
              <w:jc w:val="both"/>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JGT 358-2012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22" w:type="dxa"/>
            <w:noWrap w:val="0"/>
            <w:vAlign w:val="top"/>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5</w:t>
            </w:r>
          </w:p>
        </w:tc>
        <w:tc>
          <w:tcPr>
            <w:tcW w:w="5384" w:type="dxa"/>
            <w:noWrap w:val="0"/>
            <w:vAlign w:val="center"/>
          </w:tcPr>
          <w:p>
            <w:pPr>
              <w:widowControl w:val="0"/>
              <w:spacing w:line="560" w:lineRule="exact"/>
              <w:jc w:val="both"/>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《金融行业信息安全等级保护测评服务安全指引》</w:t>
            </w:r>
          </w:p>
        </w:tc>
        <w:tc>
          <w:tcPr>
            <w:tcW w:w="2220" w:type="dxa"/>
            <w:noWrap w:val="0"/>
            <w:vAlign w:val="center"/>
          </w:tcPr>
          <w:p>
            <w:pPr>
              <w:widowControl w:val="0"/>
              <w:spacing w:line="560" w:lineRule="exact"/>
              <w:jc w:val="both"/>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JRT 0073-2012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jc w:val="center"/>
        </w:trPr>
        <w:tc>
          <w:tcPr>
            <w:tcW w:w="722" w:type="dxa"/>
            <w:noWrap w:val="0"/>
            <w:vAlign w:val="top"/>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6</w:t>
            </w:r>
          </w:p>
        </w:tc>
        <w:tc>
          <w:tcPr>
            <w:tcW w:w="5384" w:type="dxa"/>
            <w:noWrap w:val="0"/>
            <w:vAlign w:val="center"/>
          </w:tcPr>
          <w:p>
            <w:pPr>
              <w:widowControl w:val="0"/>
              <w:spacing w:line="560" w:lineRule="exact"/>
              <w:jc w:val="both"/>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《金融行业信息系统信息安全等级保护实施指引》</w:t>
            </w:r>
          </w:p>
        </w:tc>
        <w:tc>
          <w:tcPr>
            <w:tcW w:w="2220" w:type="dxa"/>
            <w:noWrap w:val="0"/>
            <w:vAlign w:val="center"/>
          </w:tcPr>
          <w:p>
            <w:pPr>
              <w:widowControl w:val="0"/>
              <w:spacing w:line="560" w:lineRule="exact"/>
              <w:jc w:val="both"/>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JRT 0071-2012</w:t>
            </w:r>
          </w:p>
        </w:tc>
      </w:tr>
    </w:tbl>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115" w:name="_Toc2919"/>
      <w:r>
        <w:rPr>
          <w:rFonts w:hint="eastAsia" w:ascii="仿宋" w:hAnsi="仿宋" w:eastAsia="仿宋" w:cs="仿宋"/>
          <w:b/>
          <w:bCs/>
          <w:kern w:val="2"/>
          <w:sz w:val="28"/>
          <w:szCs w:val="28"/>
          <w:lang w:val="en-US" w:eastAsia="zh-CN" w:bidi="ar-SA"/>
        </w:rPr>
        <w:t>标准图集</w:t>
      </w:r>
      <w:bookmarkEnd w:id="115"/>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798"/>
        <w:gridCol w:w="468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79" w:type="dxa"/>
            <w:noWrap w:val="0"/>
            <w:vAlign w:val="center"/>
          </w:tcPr>
          <w:p>
            <w:pPr>
              <w:widowControl/>
              <w:spacing w:line="560" w:lineRule="exact"/>
              <w:jc w:val="center"/>
              <w:textAlignment w:val="center"/>
              <w:rPr>
                <w:rFonts w:hint="eastAsia" w:ascii="仿宋" w:hAnsi="仿宋" w:eastAsia="仿宋" w:cs="Times New Roman"/>
                <w:bCs/>
                <w:sz w:val="24"/>
                <w:szCs w:val="24"/>
              </w:rPr>
            </w:pPr>
            <w:bookmarkStart w:id="116" w:name="_Toc262680173"/>
            <w:bookmarkStart w:id="117" w:name="_Toc262678173"/>
            <w:bookmarkStart w:id="118" w:name="_Toc262677965"/>
            <w:bookmarkStart w:id="119" w:name="_Toc6703"/>
            <w:bookmarkStart w:id="120" w:name="_Toc6824"/>
            <w:bookmarkStart w:id="121" w:name="_Toc18173"/>
            <w:bookmarkStart w:id="122" w:name="_Toc18111"/>
            <w:bookmarkStart w:id="123" w:name="_Toc357878125"/>
            <w:bookmarkStart w:id="124" w:name="_Toc357502747"/>
            <w:r>
              <w:rPr>
                <w:rFonts w:hint="eastAsia" w:ascii="仿宋" w:hAnsi="仿宋" w:eastAsia="仿宋" w:cs="Times New Roman"/>
                <w:bCs/>
                <w:sz w:val="24"/>
                <w:szCs w:val="24"/>
              </w:rPr>
              <w:t>序号</w:t>
            </w:r>
          </w:p>
        </w:tc>
        <w:tc>
          <w:tcPr>
            <w:tcW w:w="1798" w:type="dxa"/>
            <w:noWrap w:val="0"/>
            <w:vAlign w:val="center"/>
          </w:tcPr>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图集编号</w:t>
            </w:r>
          </w:p>
        </w:tc>
        <w:tc>
          <w:tcPr>
            <w:tcW w:w="4680" w:type="dxa"/>
            <w:noWrap w:val="0"/>
            <w:vAlign w:val="center"/>
          </w:tcPr>
          <w:p>
            <w:pPr>
              <w:widowControl/>
              <w:spacing w:line="560" w:lineRule="exact"/>
              <w:ind w:left="705"/>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图集名称</w:t>
            </w:r>
          </w:p>
        </w:tc>
        <w:tc>
          <w:tcPr>
            <w:tcW w:w="920" w:type="dxa"/>
            <w:noWrap w:val="0"/>
            <w:vAlign w:val="center"/>
          </w:tcPr>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图集领域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1</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18DX009</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《数据中心工程设计与安装》</w:t>
            </w:r>
          </w:p>
        </w:tc>
        <w:tc>
          <w:tcPr>
            <w:tcW w:w="920" w:type="dxa"/>
            <w:vMerge w:val="restart"/>
            <w:noWrap w:val="0"/>
            <w:vAlign w:val="center"/>
          </w:tcPr>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综</w:t>
            </w:r>
          </w:p>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合</w:t>
            </w:r>
          </w:p>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2</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J909、G120</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《工程做法》</w:t>
            </w:r>
          </w:p>
        </w:tc>
        <w:tc>
          <w:tcPr>
            <w:tcW w:w="920" w:type="dxa"/>
            <w:vMerge w:val="continue"/>
            <w:noWrap w:val="0"/>
            <w:vAlign w:val="center"/>
          </w:tcPr>
          <w:p>
            <w:pPr>
              <w:widowControl/>
              <w:spacing w:line="560" w:lineRule="exact"/>
              <w:jc w:val="center"/>
              <w:textAlignment w:val="center"/>
              <w:rPr>
                <w:rFonts w:hint="eastAsia"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3</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08J931</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《建筑隔声与吸声构造》</w:t>
            </w:r>
          </w:p>
        </w:tc>
        <w:tc>
          <w:tcPr>
            <w:tcW w:w="920" w:type="dxa"/>
            <w:vMerge w:val="restart"/>
            <w:noWrap w:val="0"/>
            <w:vAlign w:val="center"/>
          </w:tcPr>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建</w:t>
            </w:r>
          </w:p>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筑</w:t>
            </w:r>
          </w:p>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装</w:t>
            </w:r>
          </w:p>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饰</w:t>
            </w:r>
          </w:p>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4</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13J502-1</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《内装修-墙面装修》</w:t>
            </w:r>
          </w:p>
        </w:tc>
        <w:tc>
          <w:tcPr>
            <w:tcW w:w="920" w:type="dxa"/>
            <w:vMerge w:val="continue"/>
            <w:noWrap w:val="0"/>
            <w:vAlign w:val="center"/>
          </w:tcPr>
          <w:p>
            <w:pPr>
              <w:widowControl/>
              <w:spacing w:line="560" w:lineRule="exact"/>
              <w:jc w:val="center"/>
              <w:textAlignment w:val="center"/>
              <w:rPr>
                <w:rFonts w:hint="eastAsia"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5</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12J502-2</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《内装修-室内吊顶》</w:t>
            </w:r>
          </w:p>
        </w:tc>
        <w:tc>
          <w:tcPr>
            <w:tcW w:w="920" w:type="dxa"/>
            <w:vMerge w:val="continue"/>
            <w:noWrap w:val="0"/>
            <w:vAlign w:val="center"/>
          </w:tcPr>
          <w:p>
            <w:pPr>
              <w:widowControl/>
              <w:spacing w:line="560" w:lineRule="exact"/>
              <w:jc w:val="center"/>
              <w:textAlignment w:val="center"/>
              <w:rPr>
                <w:rFonts w:hint="eastAsia"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6</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12J609</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《防火门窗》</w:t>
            </w:r>
          </w:p>
        </w:tc>
        <w:tc>
          <w:tcPr>
            <w:tcW w:w="920" w:type="dxa"/>
            <w:vMerge w:val="continue"/>
            <w:noWrap w:val="0"/>
            <w:vAlign w:val="center"/>
          </w:tcPr>
          <w:p>
            <w:pPr>
              <w:widowControl/>
              <w:spacing w:line="560" w:lineRule="exact"/>
              <w:jc w:val="center"/>
              <w:textAlignment w:val="center"/>
              <w:rPr>
                <w:rFonts w:hint="eastAsia"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7</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04DX101-1</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《建筑电气常用数据》</w:t>
            </w:r>
          </w:p>
        </w:tc>
        <w:tc>
          <w:tcPr>
            <w:tcW w:w="920" w:type="dxa"/>
            <w:vMerge w:val="continue"/>
            <w:noWrap w:val="0"/>
            <w:vAlign w:val="center"/>
          </w:tcPr>
          <w:p>
            <w:pPr>
              <w:widowControl/>
              <w:spacing w:line="560" w:lineRule="exact"/>
              <w:jc w:val="center"/>
              <w:textAlignment w:val="center"/>
              <w:rPr>
                <w:rFonts w:hint="eastAsia"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8</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K601～602</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《民用建筑工程暖通空调及动力设计深度图样》</w:t>
            </w:r>
          </w:p>
        </w:tc>
        <w:tc>
          <w:tcPr>
            <w:tcW w:w="920" w:type="dxa"/>
            <w:vMerge w:val="restart"/>
            <w:noWrap w:val="0"/>
            <w:vAlign w:val="center"/>
          </w:tcPr>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暖</w:t>
            </w:r>
          </w:p>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通</w:t>
            </w:r>
          </w:p>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给</w:t>
            </w:r>
          </w:p>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排</w:t>
            </w:r>
          </w:p>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水</w:t>
            </w:r>
          </w:p>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9</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07K201</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《管道阀门的选用及安装》</w:t>
            </w:r>
          </w:p>
        </w:tc>
        <w:tc>
          <w:tcPr>
            <w:tcW w:w="920" w:type="dxa"/>
            <w:vMerge w:val="continue"/>
            <w:noWrap w:val="0"/>
            <w:vAlign w:val="center"/>
          </w:tcPr>
          <w:p>
            <w:pPr>
              <w:widowControl/>
              <w:spacing w:line="560" w:lineRule="exact"/>
              <w:jc w:val="center"/>
              <w:textAlignment w:val="center"/>
              <w:rPr>
                <w:rFonts w:hint="eastAsia"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10</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K507-1～2，R418-1～2</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《管道与设备绝热》</w:t>
            </w:r>
          </w:p>
        </w:tc>
        <w:tc>
          <w:tcPr>
            <w:tcW w:w="920" w:type="dxa"/>
            <w:vMerge w:val="continue"/>
            <w:noWrap w:val="0"/>
            <w:vAlign w:val="center"/>
          </w:tcPr>
          <w:p>
            <w:pPr>
              <w:widowControl/>
              <w:spacing w:line="560" w:lineRule="exact"/>
              <w:jc w:val="center"/>
              <w:textAlignment w:val="center"/>
              <w:rPr>
                <w:rFonts w:hint="eastAsia"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11</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D701-1～3</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《封闭式母线及桥架安装》</w:t>
            </w:r>
          </w:p>
        </w:tc>
        <w:tc>
          <w:tcPr>
            <w:tcW w:w="920" w:type="dxa"/>
            <w:vMerge w:val="restart"/>
            <w:noWrap w:val="0"/>
            <w:vAlign w:val="center"/>
          </w:tcPr>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电</w:t>
            </w:r>
          </w:p>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气</w:t>
            </w:r>
          </w:p>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12</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D702-1～3</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《常用低压配电设备及灯具安装》</w:t>
            </w:r>
          </w:p>
        </w:tc>
        <w:tc>
          <w:tcPr>
            <w:tcW w:w="920" w:type="dxa"/>
            <w:vMerge w:val="continue"/>
            <w:noWrap w:val="0"/>
            <w:vAlign w:val="center"/>
          </w:tcPr>
          <w:p>
            <w:pPr>
              <w:widowControl/>
              <w:spacing w:line="560" w:lineRule="exact"/>
              <w:textAlignment w:val="center"/>
              <w:rPr>
                <w:rFonts w:hint="eastAsia"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13</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06D105</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《电缆防火阻燃设计与施工》</w:t>
            </w:r>
          </w:p>
        </w:tc>
        <w:tc>
          <w:tcPr>
            <w:tcW w:w="920" w:type="dxa"/>
            <w:vMerge w:val="continue"/>
            <w:noWrap w:val="0"/>
            <w:vAlign w:val="center"/>
          </w:tcPr>
          <w:p>
            <w:pPr>
              <w:widowControl/>
              <w:spacing w:line="560" w:lineRule="exact"/>
              <w:textAlignment w:val="center"/>
              <w:rPr>
                <w:rFonts w:hint="eastAsia"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14</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D101-1～7</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《电缆敷设》</w:t>
            </w:r>
          </w:p>
        </w:tc>
        <w:tc>
          <w:tcPr>
            <w:tcW w:w="920" w:type="dxa"/>
            <w:vMerge w:val="continue"/>
            <w:noWrap w:val="0"/>
            <w:vAlign w:val="center"/>
          </w:tcPr>
          <w:p>
            <w:pPr>
              <w:widowControl/>
              <w:spacing w:line="560" w:lineRule="exact"/>
              <w:textAlignment w:val="center"/>
              <w:rPr>
                <w:rFonts w:hint="eastAsia"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15</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07SD101-8</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《电力电缆井设计与安装》</w:t>
            </w:r>
          </w:p>
        </w:tc>
        <w:tc>
          <w:tcPr>
            <w:tcW w:w="920" w:type="dxa"/>
            <w:vMerge w:val="continue"/>
            <w:noWrap w:val="0"/>
            <w:vAlign w:val="center"/>
          </w:tcPr>
          <w:p>
            <w:pPr>
              <w:widowControl/>
              <w:spacing w:line="560" w:lineRule="exact"/>
              <w:textAlignment w:val="center"/>
              <w:rPr>
                <w:rFonts w:hint="eastAsia"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16</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D500～D505（上、下册）</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《防雷与接地》</w:t>
            </w:r>
          </w:p>
        </w:tc>
        <w:tc>
          <w:tcPr>
            <w:tcW w:w="920" w:type="dxa"/>
            <w:vMerge w:val="continue"/>
            <w:noWrap w:val="0"/>
            <w:vAlign w:val="center"/>
          </w:tcPr>
          <w:p>
            <w:pPr>
              <w:widowControl/>
              <w:spacing w:line="560" w:lineRule="exact"/>
              <w:textAlignment w:val="center"/>
              <w:rPr>
                <w:rFonts w:hint="eastAsia"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17</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15D502</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《等电位联结安装》</w:t>
            </w:r>
          </w:p>
        </w:tc>
        <w:tc>
          <w:tcPr>
            <w:tcW w:w="920" w:type="dxa"/>
            <w:vMerge w:val="continue"/>
            <w:noWrap w:val="0"/>
            <w:vAlign w:val="center"/>
          </w:tcPr>
          <w:p>
            <w:pPr>
              <w:widowControl/>
              <w:spacing w:line="560" w:lineRule="exact"/>
              <w:textAlignment w:val="center"/>
              <w:rPr>
                <w:rFonts w:hint="eastAsia"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18</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97X700</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《智能建筑弱电工程设计施工图集》</w:t>
            </w:r>
          </w:p>
        </w:tc>
        <w:tc>
          <w:tcPr>
            <w:tcW w:w="920" w:type="dxa"/>
            <w:vMerge w:val="restart"/>
            <w:noWrap w:val="0"/>
            <w:vAlign w:val="center"/>
          </w:tcPr>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弱</w:t>
            </w:r>
          </w:p>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电</w:t>
            </w:r>
          </w:p>
          <w:p>
            <w:pPr>
              <w:widowControl/>
              <w:spacing w:line="560" w:lineRule="exact"/>
              <w:jc w:val="center"/>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19</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 xml:space="preserve">08X101-3 </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《综合布线系统工程设计与施工》</w:t>
            </w:r>
          </w:p>
        </w:tc>
        <w:tc>
          <w:tcPr>
            <w:tcW w:w="920" w:type="dxa"/>
            <w:vMerge w:val="continue"/>
            <w:noWrap w:val="0"/>
            <w:vAlign w:val="center"/>
          </w:tcPr>
          <w:p>
            <w:pPr>
              <w:widowControl/>
              <w:spacing w:line="560" w:lineRule="exact"/>
              <w:jc w:val="center"/>
              <w:textAlignment w:val="center"/>
              <w:rPr>
                <w:rFonts w:hint="eastAsia"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20</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 xml:space="preserve">03X801-1 </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《建筑智能化系统集成设计图集》</w:t>
            </w:r>
          </w:p>
        </w:tc>
        <w:tc>
          <w:tcPr>
            <w:tcW w:w="920" w:type="dxa"/>
            <w:vMerge w:val="continue"/>
            <w:noWrap w:val="0"/>
            <w:vAlign w:val="center"/>
          </w:tcPr>
          <w:p>
            <w:pPr>
              <w:widowControl/>
              <w:spacing w:line="560" w:lineRule="exact"/>
              <w:textAlignment w:val="center"/>
              <w:rPr>
                <w:rFonts w:hint="eastAsia"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9" w:type="dxa"/>
            <w:noWrap w:val="0"/>
            <w:vAlign w:val="center"/>
          </w:tcPr>
          <w:p>
            <w:pPr>
              <w:widowControl w:val="0"/>
              <w:spacing w:line="560" w:lineRule="exact"/>
              <w:jc w:val="center"/>
              <w:textAlignment w:val="center"/>
              <w:rPr>
                <w:rFonts w:hint="eastAsia" w:ascii="仿宋" w:hAnsi="仿宋" w:eastAsia="仿宋" w:cs="Arial"/>
                <w:bCs/>
                <w:color w:val="000000"/>
                <w:kern w:val="2"/>
                <w:sz w:val="24"/>
                <w:szCs w:val="24"/>
                <w:lang w:val="en-US" w:eastAsia="zh-CN" w:bidi="ar-SA"/>
              </w:rPr>
            </w:pPr>
            <w:r>
              <w:rPr>
                <w:rFonts w:hint="eastAsia" w:ascii="仿宋" w:hAnsi="仿宋" w:eastAsia="仿宋" w:cs="Arial"/>
                <w:bCs/>
                <w:color w:val="000000"/>
                <w:kern w:val="2"/>
                <w:sz w:val="24"/>
                <w:szCs w:val="24"/>
                <w:lang w:val="en-US" w:eastAsia="zh-CN" w:bidi="ar-SA"/>
              </w:rPr>
              <w:t>21</w:t>
            </w:r>
          </w:p>
        </w:tc>
        <w:tc>
          <w:tcPr>
            <w:tcW w:w="1798"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 xml:space="preserve">19X201 </w:t>
            </w:r>
          </w:p>
        </w:tc>
        <w:tc>
          <w:tcPr>
            <w:tcW w:w="4680" w:type="dxa"/>
            <w:noWrap w:val="0"/>
            <w:vAlign w:val="center"/>
          </w:tcPr>
          <w:p>
            <w:pPr>
              <w:widowControl/>
              <w:spacing w:line="560" w:lineRule="exact"/>
              <w:textAlignment w:val="center"/>
              <w:rPr>
                <w:rFonts w:hint="eastAsia" w:ascii="仿宋" w:hAnsi="仿宋" w:eastAsia="仿宋" w:cs="Times New Roman"/>
                <w:bCs/>
                <w:sz w:val="24"/>
                <w:szCs w:val="24"/>
              </w:rPr>
            </w:pPr>
            <w:r>
              <w:rPr>
                <w:rFonts w:hint="eastAsia" w:ascii="仿宋" w:hAnsi="仿宋" w:eastAsia="仿宋" w:cs="Times New Roman"/>
                <w:bCs/>
                <w:sz w:val="24"/>
                <w:szCs w:val="24"/>
              </w:rPr>
              <w:t>《建筑设备管理系统设计与安装》</w:t>
            </w:r>
          </w:p>
        </w:tc>
        <w:tc>
          <w:tcPr>
            <w:tcW w:w="920" w:type="dxa"/>
            <w:vMerge w:val="continue"/>
            <w:noWrap w:val="0"/>
            <w:vAlign w:val="center"/>
          </w:tcPr>
          <w:p>
            <w:pPr>
              <w:widowControl/>
              <w:spacing w:line="560" w:lineRule="exact"/>
              <w:textAlignment w:val="center"/>
              <w:rPr>
                <w:rFonts w:hint="eastAsia" w:ascii="仿宋" w:hAnsi="仿宋" w:eastAsia="仿宋" w:cs="Times New Roman"/>
                <w:bCs/>
                <w:sz w:val="24"/>
                <w:szCs w:val="24"/>
              </w:rPr>
            </w:pPr>
          </w:p>
        </w:tc>
      </w:tr>
    </w:tbl>
    <w:p>
      <w:pPr>
        <w:widowControl/>
        <w:spacing w:line="560" w:lineRule="exact"/>
        <w:rPr>
          <w:rFonts w:hint="eastAsia" w:ascii="仿宋" w:hAnsi="仿宋" w:eastAsia="仿宋" w:cs="仿宋"/>
          <w:sz w:val="28"/>
          <w:szCs w:val="28"/>
        </w:rPr>
      </w:pPr>
    </w:p>
    <w:p>
      <w:pPr>
        <w:widowControl/>
        <w:spacing w:line="560" w:lineRule="exact"/>
        <w:rPr>
          <w:rFonts w:hint="eastAsia" w:ascii="仿宋" w:hAnsi="仿宋" w:eastAsia="仿宋" w:cs="仿宋"/>
          <w:sz w:val="28"/>
          <w:szCs w:val="28"/>
        </w:rPr>
      </w:pPr>
    </w:p>
    <w:p>
      <w:pPr>
        <w:widowControl/>
        <w:spacing w:line="560" w:lineRule="exact"/>
        <w:rPr>
          <w:rFonts w:hint="eastAsia" w:ascii="仿宋" w:hAnsi="仿宋" w:eastAsia="仿宋" w:cs="仿宋"/>
          <w:sz w:val="28"/>
          <w:szCs w:val="28"/>
        </w:rPr>
      </w:pPr>
    </w:p>
    <w:p>
      <w:pPr>
        <w:widowControl/>
        <w:spacing w:line="560" w:lineRule="exact"/>
        <w:rPr>
          <w:rFonts w:hint="eastAsia" w:ascii="仿宋" w:hAnsi="仿宋" w:eastAsia="仿宋" w:cs="仿宋"/>
          <w:sz w:val="28"/>
          <w:szCs w:val="28"/>
        </w:rPr>
      </w:pPr>
    </w:p>
    <w:p>
      <w:pPr>
        <w:widowControl/>
        <w:spacing w:line="560" w:lineRule="exact"/>
        <w:rPr>
          <w:rFonts w:hint="eastAsia" w:ascii="仿宋" w:hAnsi="仿宋" w:eastAsia="仿宋" w:cs="仿宋"/>
          <w:sz w:val="28"/>
          <w:szCs w:val="28"/>
        </w:rPr>
      </w:pPr>
    </w:p>
    <w:p>
      <w:pPr>
        <w:widowControl/>
        <w:spacing w:line="560" w:lineRule="exact"/>
        <w:rPr>
          <w:rFonts w:hint="eastAsia" w:ascii="仿宋" w:hAnsi="仿宋" w:eastAsia="仿宋" w:cs="仿宋"/>
          <w:sz w:val="28"/>
          <w:szCs w:val="28"/>
        </w:rPr>
      </w:pPr>
    </w:p>
    <w:p>
      <w:pPr>
        <w:widowControl/>
        <w:spacing w:line="560" w:lineRule="exact"/>
        <w:rPr>
          <w:rFonts w:hint="eastAsia" w:ascii="仿宋" w:hAnsi="仿宋" w:eastAsia="仿宋" w:cs="仿宋"/>
          <w:sz w:val="28"/>
          <w:szCs w:val="28"/>
        </w:rPr>
      </w:pPr>
    </w:p>
    <w:bookmarkEnd w:id="114"/>
    <w:bookmarkEnd w:id="116"/>
    <w:bookmarkEnd w:id="117"/>
    <w:bookmarkEnd w:id="118"/>
    <w:bookmarkEnd w:id="119"/>
    <w:bookmarkEnd w:id="120"/>
    <w:bookmarkEnd w:id="121"/>
    <w:bookmarkEnd w:id="122"/>
    <w:bookmarkEnd w:id="123"/>
    <w:bookmarkEnd w:id="124"/>
    <w:p>
      <w:pPr>
        <w:numPr>
          <w:ilvl w:val="0"/>
          <w:numId w:val="2"/>
        </w:numPr>
        <w:spacing w:line="560" w:lineRule="exact"/>
        <w:jc w:val="center"/>
        <w:textAlignment w:val="baseline"/>
        <w:outlineLvl w:val="0"/>
        <w:rPr>
          <w:rFonts w:hint="eastAsia" w:ascii="仿宋" w:hAnsi="仿宋" w:eastAsia="仿宋" w:cs="仿宋"/>
          <w:b/>
          <w:color w:val="000000"/>
          <w:kern w:val="2"/>
          <w:sz w:val="30"/>
          <w:szCs w:val="30"/>
          <w:lang w:val="en-US" w:eastAsia="zh-CN" w:bidi="ar-SA"/>
        </w:rPr>
      </w:pPr>
      <w:r>
        <w:rPr>
          <w:rFonts w:hint="eastAsia" w:ascii="仿宋" w:hAnsi="仿宋" w:eastAsia="仿宋" w:cs="仿宋"/>
          <w:b/>
          <w:color w:val="auto"/>
          <w:kern w:val="2"/>
          <w:sz w:val="28"/>
          <w:szCs w:val="28"/>
          <w:lang w:val="en-US" w:eastAsia="zh-CN" w:bidi="ar-SA"/>
        </w:rPr>
        <w:br w:type="page"/>
      </w:r>
      <w:bookmarkStart w:id="125" w:name="_Toc30117"/>
      <w:r>
        <w:rPr>
          <w:rFonts w:hint="eastAsia" w:ascii="仿宋" w:hAnsi="仿宋" w:eastAsia="仿宋" w:cs="仿宋"/>
          <w:b/>
          <w:color w:val="000000"/>
          <w:kern w:val="2"/>
          <w:sz w:val="30"/>
          <w:szCs w:val="30"/>
          <w:lang w:val="en-US" w:eastAsia="zh-CN" w:bidi="ar-SA"/>
        </w:rPr>
        <w:t>建设分期与工程范围</w:t>
      </w:r>
      <w:bookmarkEnd w:id="125"/>
    </w:p>
    <w:p>
      <w:pPr>
        <w:widowControl w:val="0"/>
        <w:numPr>
          <w:ilvl w:val="1"/>
          <w:numId w:val="2"/>
        </w:numPr>
        <w:spacing w:line="560" w:lineRule="exact"/>
        <w:jc w:val="left"/>
        <w:textAlignment w:val="baseline"/>
        <w:outlineLvl w:val="1"/>
        <w:rPr>
          <w:rFonts w:ascii="仿宋" w:hAnsi="仿宋" w:eastAsia="仿宋" w:cs="仿宋"/>
          <w:b/>
          <w:bCs/>
          <w:kern w:val="2"/>
          <w:sz w:val="30"/>
          <w:szCs w:val="21"/>
          <w:lang w:val="en-US" w:eastAsia="zh-CN" w:bidi="ar-SA"/>
        </w:rPr>
      </w:pPr>
      <w:bookmarkStart w:id="126" w:name="_Toc713"/>
      <w:r>
        <w:rPr>
          <w:rFonts w:hint="eastAsia" w:ascii="仿宋" w:hAnsi="仿宋" w:eastAsia="仿宋" w:cs="仿宋"/>
          <w:b/>
          <w:bCs/>
          <w:kern w:val="2"/>
          <w:sz w:val="30"/>
          <w:szCs w:val="21"/>
          <w:lang w:val="en-US" w:eastAsia="zh-CN" w:bidi="ar-SA"/>
        </w:rPr>
        <w:t>、建设分期</w:t>
      </w:r>
      <w:bookmarkEnd w:id="126"/>
    </w:p>
    <w:p>
      <w:pPr>
        <w:widowControl/>
        <w:tabs>
          <w:tab w:val="left" w:pos="420"/>
        </w:tabs>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1、要求整体生命周期按10年以上，统一设计与分期实施。</w:t>
      </w:r>
    </w:p>
    <w:p>
      <w:pPr>
        <w:widowControl/>
        <w:tabs>
          <w:tab w:val="left" w:pos="420"/>
        </w:tabs>
        <w:spacing w:line="5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2、赣州银行南康大楼机房建设项目分为两期建设，本次招标采购工程用于一期建设。</w:t>
      </w:r>
    </w:p>
    <w:p>
      <w:pPr>
        <w:widowControl/>
        <w:tabs>
          <w:tab w:val="left" w:pos="420"/>
        </w:tabs>
        <w:spacing w:line="5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3、一期建设内容为：机房建设主体，包括本章节工程建设范围的</w:t>
      </w:r>
      <w:r>
        <w:rPr>
          <w:rFonts w:hint="eastAsia" w:ascii="仿宋" w:hAnsi="仿宋" w:eastAsia="仿宋" w:cs="仿宋"/>
          <w:color w:val="auto"/>
          <w:sz w:val="28"/>
          <w:szCs w:val="28"/>
        </w:rPr>
        <w:t>内容，包括两组封闭冷通道(至少有一组封闭冷通道投入使用)等工程内容。二期建设内容为：采购一组封闭冷通道的综合布线和两台精密</w:t>
      </w:r>
      <w:r>
        <w:rPr>
          <w:rFonts w:hint="eastAsia" w:ascii="仿宋" w:hAnsi="仿宋" w:eastAsia="仿宋" w:cs="仿宋"/>
          <w:sz w:val="28"/>
          <w:szCs w:val="28"/>
        </w:rPr>
        <w:t>空调等内容。</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000"/>
        <w:gridCol w:w="5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widowControl/>
              <w:spacing w:line="560" w:lineRule="exact"/>
              <w:jc w:val="center"/>
              <w:rPr>
                <w:rFonts w:hint="eastAsia" w:ascii="Calibri" w:hAnsi="Calibri" w:eastAsia="仿宋" w:cs="Times New Roman"/>
                <w:b/>
                <w:bCs/>
                <w:sz w:val="28"/>
                <w:szCs w:val="20"/>
              </w:rPr>
            </w:pPr>
            <w:r>
              <w:rPr>
                <w:rFonts w:hint="eastAsia" w:ascii="Calibri" w:hAnsi="Calibri" w:eastAsia="仿宋" w:cs="Times New Roman"/>
                <w:b/>
                <w:bCs/>
                <w:sz w:val="28"/>
                <w:szCs w:val="20"/>
              </w:rPr>
              <w:t>序号</w:t>
            </w:r>
          </w:p>
        </w:tc>
        <w:tc>
          <w:tcPr>
            <w:tcW w:w="2000" w:type="dxa"/>
            <w:noWrap w:val="0"/>
            <w:vAlign w:val="top"/>
          </w:tcPr>
          <w:p>
            <w:pPr>
              <w:widowControl/>
              <w:spacing w:line="560" w:lineRule="exact"/>
              <w:jc w:val="center"/>
              <w:rPr>
                <w:rFonts w:hint="eastAsia" w:ascii="Calibri" w:hAnsi="Calibri" w:eastAsia="仿宋" w:cs="Times New Roman"/>
                <w:b/>
                <w:bCs/>
                <w:sz w:val="28"/>
                <w:szCs w:val="20"/>
              </w:rPr>
            </w:pPr>
            <w:r>
              <w:rPr>
                <w:rFonts w:hint="eastAsia" w:ascii="Calibri" w:hAnsi="Calibri" w:eastAsia="仿宋" w:cs="Times New Roman"/>
                <w:b/>
                <w:bCs/>
                <w:sz w:val="28"/>
                <w:szCs w:val="20"/>
              </w:rPr>
              <w:t>项目内容</w:t>
            </w:r>
          </w:p>
        </w:tc>
        <w:tc>
          <w:tcPr>
            <w:tcW w:w="5377" w:type="dxa"/>
            <w:noWrap w:val="0"/>
            <w:vAlign w:val="top"/>
          </w:tcPr>
          <w:p>
            <w:pPr>
              <w:widowControl/>
              <w:spacing w:line="560" w:lineRule="exact"/>
              <w:jc w:val="center"/>
              <w:rPr>
                <w:rFonts w:hint="eastAsia" w:ascii="Calibri" w:hAnsi="Calibri" w:eastAsia="仿宋" w:cs="Times New Roman"/>
                <w:b/>
                <w:bCs/>
                <w:sz w:val="28"/>
                <w:szCs w:val="20"/>
              </w:rPr>
            </w:pPr>
            <w:r>
              <w:rPr>
                <w:rFonts w:hint="eastAsia" w:ascii="Calibri" w:hAnsi="Calibri" w:eastAsia="仿宋" w:cs="Times New Roman"/>
                <w:b/>
                <w:bCs/>
                <w:sz w:val="28"/>
                <w:szCs w:val="20"/>
              </w:rPr>
              <w:t>本项目建设内容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1</w:t>
            </w:r>
          </w:p>
        </w:tc>
        <w:tc>
          <w:tcPr>
            <w:tcW w:w="2000"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装饰装修</w:t>
            </w:r>
          </w:p>
        </w:tc>
        <w:tc>
          <w:tcPr>
            <w:tcW w:w="5377" w:type="dxa"/>
            <w:noWrap w:val="0"/>
            <w:vAlign w:val="top"/>
          </w:tcPr>
          <w:p>
            <w:pPr>
              <w:widowControl/>
              <w:spacing w:line="560" w:lineRule="exact"/>
              <w:rPr>
                <w:rFonts w:hint="eastAsia" w:ascii="Calibri" w:hAnsi="Calibri" w:eastAsia="仿宋" w:cs="Times New Roman"/>
                <w:sz w:val="28"/>
                <w:szCs w:val="20"/>
                <w:lang w:val="en-US" w:eastAsia="zh-CN"/>
              </w:rPr>
            </w:pPr>
            <w:r>
              <w:rPr>
                <w:rFonts w:hint="eastAsia" w:ascii="Calibri" w:hAnsi="Calibri" w:eastAsia="仿宋" w:cs="Times New Roman"/>
                <w:sz w:val="28"/>
                <w:szCs w:val="20"/>
              </w:rPr>
              <w:t>机房装饰装修全部完成</w:t>
            </w:r>
            <w:r>
              <w:rPr>
                <w:rStyle w:val="30"/>
                <w:rFonts w:hint="eastAsia" w:ascii="Calibri" w:hAnsi="Calibri" w:eastAsia="宋体" w:cs="Times New Roman"/>
                <w:lang w:val="en-US" w:eastAsia="zh-CN"/>
              </w:rPr>
              <w:t>,</w:t>
            </w:r>
            <w:r>
              <w:rPr>
                <w:rFonts w:hint="eastAsia" w:ascii="Calibri" w:hAnsi="Calibri" w:eastAsia="仿宋" w:cs="Times New Roman"/>
                <w:sz w:val="28"/>
                <w:szCs w:val="20"/>
              </w:rPr>
              <w:t>三层和地下负一层</w:t>
            </w:r>
            <w:r>
              <w:rPr>
                <w:rFonts w:hint="eastAsia" w:ascii="Calibri" w:hAnsi="Calibri" w:eastAsia="仿宋" w:cs="Times New Roman"/>
                <w:sz w:val="28"/>
                <w:szCs w:val="20"/>
                <w:lang w:eastAsia="zh-CN"/>
              </w:rPr>
              <w:t>及</w:t>
            </w:r>
            <w:r>
              <w:rPr>
                <w:rFonts w:hint="eastAsia" w:ascii="Calibri" w:hAnsi="Calibri" w:eastAsia="仿宋" w:cs="Times New Roman"/>
                <w:sz w:val="28"/>
                <w:szCs w:val="20"/>
              </w:rPr>
              <w:t>配电室内分割改造和挡鼠板设置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2</w:t>
            </w:r>
          </w:p>
        </w:tc>
        <w:tc>
          <w:tcPr>
            <w:tcW w:w="2000"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电气系统</w:t>
            </w:r>
          </w:p>
        </w:tc>
        <w:tc>
          <w:tcPr>
            <w:tcW w:w="5377" w:type="dxa"/>
            <w:noWrap w:val="0"/>
            <w:vAlign w:val="top"/>
          </w:tcPr>
          <w:p>
            <w:pPr>
              <w:widowControl/>
              <w:spacing w:line="560" w:lineRule="exact"/>
              <w:rPr>
                <w:rFonts w:hint="default" w:ascii="Calibri" w:hAnsi="Calibri" w:eastAsia="仿宋" w:cs="Times New Roman"/>
                <w:sz w:val="28"/>
                <w:szCs w:val="20"/>
                <w:lang w:val="en-US" w:eastAsia="zh-CN"/>
              </w:rPr>
            </w:pPr>
            <w:r>
              <w:rPr>
                <w:rFonts w:hint="eastAsia" w:ascii="Calibri" w:hAnsi="Calibri" w:eastAsia="仿宋" w:cs="Times New Roman"/>
                <w:sz w:val="28"/>
                <w:szCs w:val="20"/>
              </w:rPr>
              <w:t>完成负一楼机房配电改造；完成机房设施（包括二期精密空调、二期冷通道）配电及机柜所有配电（PDU配电完成）工作。第二个封闭冷通道的末端智能专用配电母线槽(包括小母线和PDU等相关设备)放在项目二期再规划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3</w:t>
            </w:r>
          </w:p>
        </w:tc>
        <w:tc>
          <w:tcPr>
            <w:tcW w:w="2000"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暖通系统</w:t>
            </w:r>
          </w:p>
        </w:tc>
        <w:tc>
          <w:tcPr>
            <w:tcW w:w="5377" w:type="dxa"/>
            <w:noWrap w:val="0"/>
            <w:vAlign w:val="top"/>
          </w:tcPr>
          <w:p>
            <w:pPr>
              <w:widowControl/>
              <w:spacing w:line="560" w:lineRule="exact"/>
              <w:rPr>
                <w:rFonts w:hint="eastAsia" w:ascii="Calibri" w:hAnsi="Calibri" w:eastAsia="仿宋" w:cs="Times New Roman"/>
                <w:sz w:val="28"/>
                <w:szCs w:val="20"/>
                <w:lang w:eastAsia="zh-CN"/>
              </w:rPr>
            </w:pPr>
            <w:r>
              <w:rPr>
                <w:rFonts w:hint="eastAsia" w:ascii="Calibri" w:hAnsi="Calibri" w:eastAsia="仿宋" w:cs="Times New Roman"/>
                <w:sz w:val="28"/>
                <w:szCs w:val="20"/>
              </w:rPr>
              <w:t>完成十一台精密空调和一台舒适性空调的</w:t>
            </w:r>
            <w:r>
              <w:rPr>
                <w:rFonts w:hint="eastAsia" w:ascii="Calibri" w:hAnsi="Calibri" w:eastAsia="仿宋" w:cs="Times New Roman"/>
                <w:sz w:val="28"/>
                <w:szCs w:val="20"/>
                <w:lang w:eastAsia="zh-CN"/>
              </w:rPr>
              <w:t>室内机、室外机等相关设备</w:t>
            </w:r>
            <w:r>
              <w:rPr>
                <w:rFonts w:hint="eastAsia" w:ascii="Calibri" w:hAnsi="Calibri" w:eastAsia="仿宋" w:cs="Times New Roman"/>
                <w:sz w:val="28"/>
                <w:szCs w:val="20"/>
              </w:rPr>
              <w:t>安装和调试工作；</w:t>
            </w:r>
            <w:r>
              <w:rPr>
                <w:rFonts w:hint="eastAsia" w:ascii="Calibri" w:hAnsi="Calibri" w:eastAsia="仿宋" w:cs="Times New Roman"/>
                <w:sz w:val="28"/>
                <w:szCs w:val="20"/>
                <w:lang w:eastAsia="zh-CN"/>
              </w:rPr>
              <w:t>完成加湿器相关工作；</w:t>
            </w:r>
            <w:r>
              <w:rPr>
                <w:rFonts w:hint="eastAsia" w:ascii="Calibri" w:hAnsi="Calibri" w:eastAsia="仿宋" w:cs="Times New Roman"/>
                <w:sz w:val="28"/>
                <w:szCs w:val="20"/>
              </w:rPr>
              <w:t>完成二期空调管路敷设。</w:t>
            </w:r>
            <w:r>
              <w:rPr>
                <w:rFonts w:hint="eastAsia" w:ascii="Calibri" w:hAnsi="Calibri" w:eastAsia="仿宋" w:cs="Times New Roman"/>
                <w:sz w:val="28"/>
                <w:szCs w:val="20"/>
                <w:lang w:eastAsia="zh-CN"/>
              </w:rPr>
              <w:t>完成新风系统和灾后排烟系统工作。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4</w:t>
            </w:r>
          </w:p>
        </w:tc>
        <w:tc>
          <w:tcPr>
            <w:tcW w:w="2000"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给排水系统</w:t>
            </w:r>
          </w:p>
        </w:tc>
        <w:tc>
          <w:tcPr>
            <w:tcW w:w="5377"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完成所有给排水系统工作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5</w:t>
            </w:r>
          </w:p>
        </w:tc>
        <w:tc>
          <w:tcPr>
            <w:tcW w:w="2000"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智能化系统</w:t>
            </w:r>
          </w:p>
        </w:tc>
        <w:tc>
          <w:tcPr>
            <w:tcW w:w="5377" w:type="dxa"/>
            <w:noWrap w:val="0"/>
            <w:vAlign w:val="top"/>
          </w:tcPr>
          <w:p>
            <w:pPr>
              <w:widowControl/>
              <w:spacing w:line="560" w:lineRule="exact"/>
              <w:rPr>
                <w:rFonts w:hint="eastAsia" w:ascii="Calibri" w:hAnsi="Calibri" w:eastAsia="仿宋" w:cs="Times New Roman"/>
                <w:color w:val="auto"/>
                <w:sz w:val="28"/>
                <w:szCs w:val="20"/>
              </w:rPr>
            </w:pPr>
            <w:r>
              <w:rPr>
                <w:rFonts w:hint="eastAsia" w:ascii="Calibri" w:hAnsi="Calibri" w:eastAsia="仿宋" w:cs="Times New Roman"/>
                <w:color w:val="auto"/>
                <w:sz w:val="28"/>
                <w:szCs w:val="20"/>
              </w:rPr>
              <w:t>完成所有智能化系统工作。第二组封闭冷通道的DCIM监控点位工程放在项目二期再规划和实施。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6</w:t>
            </w:r>
          </w:p>
        </w:tc>
        <w:tc>
          <w:tcPr>
            <w:tcW w:w="2000"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网络与布线</w:t>
            </w:r>
          </w:p>
        </w:tc>
        <w:tc>
          <w:tcPr>
            <w:tcW w:w="5377" w:type="dxa"/>
            <w:noWrap w:val="0"/>
            <w:vAlign w:val="top"/>
          </w:tcPr>
          <w:p>
            <w:pPr>
              <w:widowControl/>
              <w:spacing w:line="560" w:lineRule="exact"/>
              <w:rPr>
                <w:rFonts w:hint="eastAsia" w:ascii="Calibri" w:hAnsi="Calibri" w:eastAsia="仿宋" w:cs="Times New Roman"/>
                <w:color w:val="auto"/>
                <w:sz w:val="28"/>
                <w:szCs w:val="20"/>
              </w:rPr>
            </w:pPr>
            <w:r>
              <w:rPr>
                <w:rFonts w:hint="eastAsia" w:ascii="Calibri" w:hAnsi="Calibri" w:eastAsia="仿宋" w:cs="Times New Roman"/>
                <w:color w:val="auto"/>
                <w:sz w:val="28"/>
                <w:szCs w:val="20"/>
              </w:rPr>
              <w:t>完成一组冷通道内所有机柜综合布线工作，及其他系统布线。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7</w:t>
            </w:r>
          </w:p>
        </w:tc>
        <w:tc>
          <w:tcPr>
            <w:tcW w:w="2000"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消防、防雷与安全</w:t>
            </w:r>
          </w:p>
        </w:tc>
        <w:tc>
          <w:tcPr>
            <w:tcW w:w="5377" w:type="dxa"/>
            <w:noWrap w:val="0"/>
            <w:vAlign w:val="top"/>
          </w:tcPr>
          <w:p>
            <w:pPr>
              <w:widowControl/>
              <w:spacing w:line="560" w:lineRule="exact"/>
              <w:rPr>
                <w:rFonts w:hint="eastAsia" w:ascii="Calibri" w:hAnsi="Calibri" w:eastAsia="仿宋" w:cs="Times New Roman"/>
                <w:sz w:val="28"/>
                <w:szCs w:val="20"/>
              </w:rPr>
            </w:pPr>
            <w:r>
              <w:rPr>
                <w:rFonts w:hint="eastAsia" w:ascii="Calibri" w:hAnsi="Calibri" w:eastAsia="仿宋" w:cs="Times New Roman"/>
                <w:sz w:val="28"/>
                <w:szCs w:val="20"/>
              </w:rPr>
              <w:t>完成所有消防、防雷和安全系统工作</w:t>
            </w:r>
          </w:p>
        </w:tc>
      </w:tr>
    </w:tbl>
    <w:p>
      <w:pPr>
        <w:widowControl/>
        <w:tabs>
          <w:tab w:val="left" w:pos="420"/>
        </w:tabs>
        <w:spacing w:line="560" w:lineRule="exact"/>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图中只列出部分主要内容，其他</w:t>
      </w:r>
      <w:r>
        <w:rPr>
          <w:rFonts w:hint="eastAsia" w:ascii="仿宋" w:hAnsi="仿宋" w:eastAsia="仿宋" w:cs="仿宋"/>
          <w:sz w:val="28"/>
          <w:szCs w:val="28"/>
        </w:rPr>
        <w:t>具体建设</w:t>
      </w:r>
      <w:r>
        <w:rPr>
          <w:rFonts w:hint="eastAsia" w:ascii="仿宋" w:hAnsi="仿宋" w:eastAsia="仿宋" w:cs="仿宋"/>
          <w:sz w:val="28"/>
          <w:szCs w:val="28"/>
          <w:lang w:eastAsia="zh-CN"/>
        </w:rPr>
        <w:t>要求和</w:t>
      </w:r>
      <w:r>
        <w:rPr>
          <w:rFonts w:hint="eastAsia" w:ascii="仿宋" w:hAnsi="仿宋" w:eastAsia="仿宋" w:cs="仿宋"/>
          <w:sz w:val="28"/>
          <w:szCs w:val="28"/>
        </w:rPr>
        <w:t>内容见相关章节。</w:t>
      </w:r>
    </w:p>
    <w:p>
      <w:pPr>
        <w:widowControl w:val="0"/>
        <w:numPr>
          <w:ilvl w:val="1"/>
          <w:numId w:val="2"/>
        </w:numPr>
        <w:spacing w:line="560" w:lineRule="exact"/>
        <w:jc w:val="left"/>
        <w:textAlignment w:val="baseline"/>
        <w:outlineLvl w:val="1"/>
        <w:rPr>
          <w:rFonts w:ascii="仿宋" w:hAnsi="仿宋" w:eastAsia="仿宋" w:cs="仿宋"/>
          <w:b/>
          <w:bCs/>
          <w:kern w:val="2"/>
          <w:sz w:val="30"/>
          <w:szCs w:val="21"/>
          <w:lang w:val="en-US" w:eastAsia="zh-CN" w:bidi="ar-SA"/>
        </w:rPr>
      </w:pPr>
      <w:bookmarkStart w:id="127" w:name="_Toc12534"/>
      <w:r>
        <w:rPr>
          <w:rFonts w:hint="eastAsia" w:ascii="仿宋" w:hAnsi="仿宋" w:eastAsia="仿宋" w:cs="仿宋"/>
          <w:b/>
          <w:bCs/>
          <w:kern w:val="2"/>
          <w:sz w:val="30"/>
          <w:szCs w:val="21"/>
          <w:lang w:val="en-US" w:eastAsia="zh-CN" w:bidi="ar-SA"/>
        </w:rPr>
        <w:t>、工程建设范围</w:t>
      </w:r>
      <w:bookmarkEnd w:id="127"/>
    </w:p>
    <w:p>
      <w:pPr>
        <w:widowControl/>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本工程建设施工范围包括以下内容：</w:t>
      </w:r>
    </w:p>
    <w:p>
      <w:pPr>
        <w:widowControl/>
        <w:numPr>
          <w:ilvl w:val="0"/>
          <w:numId w:val="4"/>
        </w:numPr>
        <w:spacing w:line="560" w:lineRule="exact"/>
        <w:ind w:left="420" w:hanging="420"/>
        <w:rPr>
          <w:rFonts w:hint="eastAsia" w:ascii="仿宋" w:hAnsi="仿宋" w:eastAsia="仿宋" w:cs="Times New Roman"/>
          <w:sz w:val="28"/>
          <w:szCs w:val="20"/>
        </w:rPr>
      </w:pPr>
      <w:r>
        <w:rPr>
          <w:rFonts w:hint="eastAsia" w:ascii="Calibri" w:hAnsi="Calibri" w:eastAsia="仿宋" w:cs="Times New Roman"/>
          <w:sz w:val="28"/>
          <w:szCs w:val="20"/>
        </w:rPr>
        <w:t>三层：机房模块、空调维护通道、ECC监控中心、UPS配电室、电池室、新风室、钢瓶室、管井、前室、卫生间、储藏室及走廊等。</w:t>
      </w:r>
    </w:p>
    <w:p>
      <w:pPr>
        <w:widowControl/>
        <w:numPr>
          <w:ilvl w:val="0"/>
          <w:numId w:val="4"/>
        </w:numPr>
        <w:spacing w:line="560" w:lineRule="exact"/>
        <w:ind w:left="420" w:hanging="420"/>
        <w:rPr>
          <w:rFonts w:ascii="Calibri" w:hAnsi="Calibri" w:eastAsia="仿宋" w:cs="Times New Roman"/>
          <w:sz w:val="28"/>
          <w:szCs w:val="20"/>
        </w:rPr>
      </w:pPr>
      <w:r>
        <w:rPr>
          <w:rFonts w:hint="eastAsia" w:ascii="Calibri" w:hAnsi="Calibri" w:eastAsia="仿宋" w:cs="Times New Roman"/>
          <w:sz w:val="28"/>
          <w:szCs w:val="20"/>
        </w:rPr>
        <w:t>三层室外平台：本项目所需的空调室外机。</w:t>
      </w:r>
    </w:p>
    <w:p>
      <w:pPr>
        <w:widowControl/>
        <w:numPr>
          <w:ilvl w:val="0"/>
          <w:numId w:val="4"/>
        </w:numPr>
        <w:spacing w:line="560" w:lineRule="exact"/>
        <w:ind w:left="420" w:hanging="420"/>
        <w:rPr>
          <w:rFonts w:ascii="Calibri" w:hAnsi="Calibri" w:eastAsia="仿宋" w:cs="Times New Roman"/>
          <w:sz w:val="28"/>
          <w:szCs w:val="20"/>
        </w:rPr>
      </w:pPr>
      <w:r>
        <w:rPr>
          <w:rFonts w:hint="eastAsia" w:ascii="Calibri" w:hAnsi="Calibri" w:eastAsia="仿宋" w:cs="Times New Roman"/>
          <w:sz w:val="28"/>
          <w:szCs w:val="20"/>
        </w:rPr>
        <w:t>负一层配电改造内容。</w:t>
      </w:r>
    </w:p>
    <w:p>
      <w:pPr>
        <w:widowControl/>
        <w:numPr>
          <w:ilvl w:val="0"/>
          <w:numId w:val="4"/>
        </w:numPr>
        <w:spacing w:line="560" w:lineRule="exact"/>
        <w:ind w:left="420" w:hanging="420"/>
        <w:rPr>
          <w:rFonts w:hint="eastAsia" w:ascii="Calibri" w:hAnsi="Calibri" w:eastAsia="仿宋" w:cs="Times New Roman"/>
          <w:sz w:val="28"/>
          <w:szCs w:val="20"/>
        </w:rPr>
      </w:pPr>
      <w:r>
        <w:rPr>
          <w:rFonts w:hint="eastAsia" w:ascii="Calibri" w:hAnsi="Calibri" w:eastAsia="仿宋" w:cs="Times New Roman"/>
          <w:sz w:val="28"/>
          <w:szCs w:val="20"/>
        </w:rPr>
        <w:t>后续施工以项目实际情况及招标人实际需求为准。</w:t>
      </w:r>
    </w:p>
    <w:p>
      <w:pPr>
        <w:keepLines/>
        <w:numPr>
          <w:ilvl w:val="2"/>
          <w:numId w:val="2"/>
        </w:numPr>
        <w:adjustRightInd w:val="0"/>
        <w:spacing w:before="190" w:beforeLines="50" w:after="190" w:afterLines="50" w:line="440" w:lineRule="exact"/>
        <w:ind w:left="0" w:firstLine="0"/>
        <w:jc w:val="left"/>
        <w:textAlignment w:val="baseline"/>
        <w:outlineLvl w:val="2"/>
        <w:rPr>
          <w:rFonts w:ascii="楷体" w:hAnsi="楷体" w:eastAsia="仿宋" w:cs="Times New Roman"/>
          <w:b/>
          <w:kern w:val="2"/>
          <w:sz w:val="30"/>
          <w:szCs w:val="21"/>
          <w:lang w:val="en-US" w:eastAsia="zh-CN" w:bidi="ar-SA"/>
        </w:rPr>
      </w:pPr>
      <w:bookmarkStart w:id="128" w:name="_Toc14865"/>
      <w:r>
        <w:rPr>
          <w:rFonts w:hint="eastAsia" w:ascii="楷体" w:hAnsi="楷体" w:eastAsia="仿宋" w:cs="Times New Roman"/>
          <w:b/>
          <w:kern w:val="2"/>
          <w:sz w:val="28"/>
          <w:szCs w:val="21"/>
          <w:lang w:val="en-US" w:eastAsia="zh-CN" w:bidi="ar-SA"/>
        </w:rPr>
        <w:t>建筑装修</w:t>
      </w:r>
      <w:bookmarkEnd w:id="128"/>
    </w:p>
    <w:p>
      <w:pPr>
        <w:numPr>
          <w:ilvl w:val="3"/>
          <w:numId w:val="2"/>
        </w:numPr>
        <w:spacing w:before="190" w:beforeLines="50" w:after="190" w:afterLines="50" w:line="560" w:lineRule="exact"/>
        <w:ind w:left="0" w:firstLine="0"/>
        <w:jc w:val="both"/>
        <w:outlineLvl w:val="3"/>
        <w:rPr>
          <w:rFonts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设计范围</w:t>
      </w:r>
    </w:p>
    <w:p>
      <w:pPr>
        <w:widowControl/>
        <w:spacing w:line="560" w:lineRule="exact"/>
        <w:ind w:firstLine="280" w:firstLineChars="100"/>
        <w:rPr>
          <w:rFonts w:hint="eastAsia" w:ascii="仿宋" w:hAnsi="仿宋" w:eastAsia="仿宋" w:cs="Times New Roman"/>
          <w:sz w:val="28"/>
          <w:szCs w:val="20"/>
        </w:rPr>
      </w:pPr>
      <w:r>
        <w:rPr>
          <w:rFonts w:hint="eastAsia" w:ascii="仿宋" w:hAnsi="仿宋" w:eastAsia="仿宋" w:cs="Times New Roman"/>
          <w:sz w:val="28"/>
          <w:szCs w:val="20"/>
        </w:rPr>
        <w:t>提供并完成同大楼建筑单位相关的专业配合，负责本项目内的三层和室外平台等区域、加固等招标范围内的专业设计内容，以及满足招标约定所需的相关文件。</w:t>
      </w:r>
    </w:p>
    <w:p>
      <w:pPr>
        <w:numPr>
          <w:ilvl w:val="3"/>
          <w:numId w:val="2"/>
        </w:numPr>
        <w:spacing w:before="190" w:beforeLines="50" w:after="190" w:afterLines="50" w:line="560" w:lineRule="exact"/>
        <w:ind w:left="0" w:firstLine="0"/>
        <w:jc w:val="both"/>
        <w:outlineLvl w:val="3"/>
        <w:rPr>
          <w:rFonts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施工范围</w:t>
      </w:r>
    </w:p>
    <w:p>
      <w:pPr>
        <w:widowControl/>
        <w:numPr>
          <w:ilvl w:val="0"/>
          <w:numId w:val="5"/>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负责实施并完成所有关的相关装饰装修系统，包括联合吊挂、顶部金属保温层、带造型及所有相关的吊顶、活动地板、地砖及地毯、墙面处理、轻质隔墙、石膏板隔断、防火玻璃隔断（含基础及上下封堵）、相关的门窗、开孔及修复、冷通道封闭、所有相关饰面的处理、相关的外墙防水百叶、空调挡水围堰、相关的踢脚线</w:t>
      </w:r>
      <w:r>
        <w:rPr>
          <w:rFonts w:hint="eastAsia" w:ascii="Calibri" w:hAnsi="Calibri" w:eastAsia="仿宋" w:cs="Times New Roman"/>
          <w:sz w:val="28"/>
          <w:szCs w:val="20"/>
          <w:lang w:eastAsia="zh-CN"/>
        </w:rPr>
        <w:t>和挡鼠板设置</w:t>
      </w:r>
      <w:r>
        <w:rPr>
          <w:rFonts w:hint="eastAsia" w:ascii="Calibri" w:hAnsi="Calibri" w:eastAsia="仿宋" w:cs="Times New Roman"/>
          <w:sz w:val="28"/>
          <w:szCs w:val="20"/>
        </w:rPr>
        <w:t xml:space="preserve">等。 </w:t>
      </w:r>
    </w:p>
    <w:p>
      <w:pPr>
        <w:widowControl/>
        <w:numPr>
          <w:ilvl w:val="0"/>
          <w:numId w:val="5"/>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负责实施并完成所有外窗的二次封堵包括隔墙,除需采光的部分保留外。</w:t>
      </w:r>
    </w:p>
    <w:p>
      <w:pPr>
        <w:widowControl/>
        <w:numPr>
          <w:ilvl w:val="0"/>
          <w:numId w:val="5"/>
        </w:numPr>
        <w:spacing w:line="560" w:lineRule="exact"/>
        <w:ind w:left="0" w:firstLine="0"/>
        <w:rPr>
          <w:rFonts w:ascii="Calibri" w:hAnsi="Calibri" w:eastAsia="仿宋" w:cs="Times New Roman"/>
          <w:sz w:val="28"/>
          <w:szCs w:val="20"/>
        </w:rPr>
      </w:pPr>
      <w:r>
        <w:rPr>
          <w:rFonts w:hint="eastAsia" w:ascii="Calibri" w:hAnsi="Calibri" w:eastAsia="仿宋" w:cs="Times New Roman"/>
          <w:sz w:val="28"/>
          <w:szCs w:val="20"/>
        </w:rPr>
        <w:t>负责实施并完成楼板及顶部找平处理。</w:t>
      </w:r>
    </w:p>
    <w:p>
      <w:pPr>
        <w:widowControl/>
        <w:numPr>
          <w:ilvl w:val="0"/>
          <w:numId w:val="5"/>
        </w:numPr>
        <w:spacing w:line="560" w:lineRule="exact"/>
        <w:ind w:left="0" w:firstLine="0"/>
        <w:rPr>
          <w:rFonts w:ascii="Calibri" w:hAnsi="Calibri" w:eastAsia="仿宋" w:cs="Times New Roman"/>
          <w:sz w:val="28"/>
          <w:szCs w:val="20"/>
        </w:rPr>
      </w:pPr>
      <w:r>
        <w:rPr>
          <w:rFonts w:hint="eastAsia" w:ascii="仿宋" w:hAnsi="仿宋" w:eastAsia="仿宋" w:cs="仿宋"/>
          <w:sz w:val="28"/>
          <w:szCs w:val="28"/>
        </w:rPr>
        <w:t>负责实施并完成四层楼板的全层防水，并需通过防水测试。要求提供防水测试文件。</w:t>
      </w:r>
    </w:p>
    <w:p>
      <w:pPr>
        <w:widowControl/>
        <w:numPr>
          <w:ilvl w:val="0"/>
          <w:numId w:val="5"/>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负责实施并完成从机房层通往室外平台在原有墙体的开孔和封堵。</w:t>
      </w:r>
    </w:p>
    <w:p>
      <w:pPr>
        <w:widowControl/>
        <w:numPr>
          <w:ilvl w:val="0"/>
          <w:numId w:val="5"/>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为统一装修风格，要求货梯及机房相关的门都需与机房墙面风格和颜色一致。（更换均相关费用应本次范围自行考虑），同时还应对现有货梯进行安全防范（设置无死角监控、门禁及二次受控不锈钢门）。</w:t>
      </w:r>
    </w:p>
    <w:p>
      <w:pPr>
        <w:widowControl/>
        <w:numPr>
          <w:ilvl w:val="0"/>
          <w:numId w:val="5"/>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负责实施并完成机房范围的监控中心及相关功能间内的所有关家具等。</w:t>
      </w:r>
    </w:p>
    <w:p>
      <w:pPr>
        <w:widowControl/>
        <w:numPr>
          <w:ilvl w:val="0"/>
          <w:numId w:val="5"/>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负责实施并完成机房的六面体防水处理（含四层地面全层防水处理）。</w:t>
      </w:r>
    </w:p>
    <w:p>
      <w:pPr>
        <w:widowControl/>
        <w:numPr>
          <w:ilvl w:val="0"/>
          <w:numId w:val="5"/>
        </w:numPr>
        <w:spacing w:line="560" w:lineRule="exact"/>
        <w:ind w:left="0" w:firstLine="0"/>
        <w:rPr>
          <w:rFonts w:ascii="Calibri" w:hAnsi="Calibri" w:eastAsia="仿宋" w:cs="Times New Roman"/>
          <w:sz w:val="28"/>
          <w:szCs w:val="20"/>
        </w:rPr>
      </w:pPr>
      <w:r>
        <w:rPr>
          <w:rFonts w:hint="eastAsia" w:ascii="Calibri" w:hAnsi="Calibri" w:eastAsia="仿宋" w:cs="Times New Roman"/>
          <w:sz w:val="28"/>
          <w:szCs w:val="20"/>
        </w:rPr>
        <w:t>负责实施并完成全层所需相关的清拆部分。</w:t>
      </w:r>
    </w:p>
    <w:p>
      <w:pPr>
        <w:widowControl/>
        <w:numPr>
          <w:ilvl w:val="0"/>
          <w:numId w:val="5"/>
        </w:numPr>
        <w:spacing w:line="560" w:lineRule="exact"/>
        <w:ind w:left="0" w:firstLine="0"/>
        <w:rPr>
          <w:rFonts w:ascii="Calibri" w:hAnsi="Calibri" w:eastAsia="仿宋" w:cs="Times New Roman"/>
          <w:sz w:val="28"/>
          <w:szCs w:val="20"/>
        </w:rPr>
      </w:pPr>
      <w:r>
        <w:rPr>
          <w:rFonts w:hint="eastAsia" w:ascii="Calibri" w:hAnsi="Calibri" w:eastAsia="仿宋" w:cs="Times New Roman"/>
          <w:sz w:val="28"/>
          <w:szCs w:val="20"/>
        </w:rPr>
        <w:t>负责实施并完成机房现有荷载不足的加固设计和实施及检测工作。</w:t>
      </w:r>
    </w:p>
    <w:p>
      <w:pPr>
        <w:widowControl/>
        <w:numPr>
          <w:ilvl w:val="0"/>
          <w:numId w:val="5"/>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包括但不限于除上述主要内容外，本专业满足国家标准和技术需求中所要求的应当完成的其他相关工作。</w:t>
      </w:r>
    </w:p>
    <w:p>
      <w:pPr>
        <w:keepLines/>
        <w:numPr>
          <w:ilvl w:val="2"/>
          <w:numId w:val="2"/>
        </w:numPr>
        <w:adjustRightInd w:val="0"/>
        <w:spacing w:before="190" w:beforeLines="50" w:after="190" w:afterLines="50" w:line="440" w:lineRule="exact"/>
        <w:ind w:left="0" w:firstLine="0"/>
        <w:jc w:val="left"/>
        <w:textAlignment w:val="baseline"/>
        <w:outlineLvl w:val="2"/>
        <w:rPr>
          <w:rFonts w:ascii="楷体" w:hAnsi="楷体" w:eastAsia="仿宋" w:cs="Times New Roman"/>
          <w:b/>
          <w:kern w:val="2"/>
          <w:sz w:val="28"/>
          <w:szCs w:val="21"/>
          <w:lang w:val="en-US" w:eastAsia="zh-CN" w:bidi="ar-SA"/>
        </w:rPr>
      </w:pPr>
      <w:bookmarkStart w:id="129" w:name="_Toc26254"/>
      <w:r>
        <w:rPr>
          <w:rFonts w:hint="eastAsia" w:ascii="楷体" w:hAnsi="楷体" w:eastAsia="仿宋" w:cs="Times New Roman"/>
          <w:b/>
          <w:kern w:val="2"/>
          <w:sz w:val="28"/>
          <w:szCs w:val="21"/>
          <w:lang w:val="en-US" w:eastAsia="zh-CN" w:bidi="ar-SA"/>
        </w:rPr>
        <w:t>电气系统</w:t>
      </w:r>
      <w:bookmarkEnd w:id="129"/>
    </w:p>
    <w:p>
      <w:pPr>
        <w:numPr>
          <w:ilvl w:val="3"/>
          <w:numId w:val="2"/>
        </w:numPr>
        <w:spacing w:before="190" w:beforeLines="50" w:after="190" w:afterLines="50"/>
        <w:ind w:left="0" w:firstLine="0"/>
        <w:jc w:val="both"/>
        <w:outlineLvl w:val="3"/>
        <w:rPr>
          <w:rFonts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设计范围</w:t>
      </w:r>
    </w:p>
    <w:p>
      <w:pPr>
        <w:widowControl/>
        <w:spacing w:line="560" w:lineRule="exact"/>
        <w:ind w:firstLine="280" w:firstLineChars="100"/>
        <w:rPr>
          <w:rFonts w:hint="eastAsia" w:ascii="Calibri" w:hAnsi="Calibri" w:eastAsia="仿宋" w:cs="Times New Roman"/>
          <w:sz w:val="28"/>
          <w:szCs w:val="20"/>
        </w:rPr>
      </w:pPr>
      <w:r>
        <w:rPr>
          <w:rFonts w:hint="eastAsia" w:ascii="Calibri" w:hAnsi="Calibri" w:eastAsia="仿宋" w:cs="Times New Roman"/>
          <w:sz w:val="28"/>
          <w:szCs w:val="20"/>
        </w:rPr>
        <w:t>提供和完成本项目内的低压配电系统、照明系统、防雷接地、电气火灾监控系统、电磁屏蔽和兼容等本专业内全部设计内容、计算书</w:t>
      </w:r>
      <w:r>
        <w:rPr>
          <w:rFonts w:hint="eastAsia" w:ascii="仿宋" w:hAnsi="仿宋" w:eastAsia="仿宋" w:cs="Times New Roman"/>
          <w:sz w:val="28"/>
          <w:szCs w:val="20"/>
        </w:rPr>
        <w:t>以及满足招标约定所需的相关文件</w:t>
      </w:r>
      <w:r>
        <w:rPr>
          <w:rFonts w:hint="eastAsia" w:ascii="Calibri" w:hAnsi="Calibri" w:eastAsia="仿宋" w:cs="Times New Roman"/>
          <w:sz w:val="28"/>
          <w:szCs w:val="20"/>
        </w:rPr>
        <w:t>。</w:t>
      </w:r>
    </w:p>
    <w:p>
      <w:pPr>
        <w:widowControl/>
        <w:spacing w:line="560" w:lineRule="exact"/>
        <w:ind w:firstLine="280" w:firstLineChars="100"/>
        <w:rPr>
          <w:rFonts w:hint="eastAsia" w:ascii="Calibri" w:hAnsi="Calibri" w:eastAsia="仿宋" w:cs="Times New Roman"/>
          <w:sz w:val="28"/>
          <w:szCs w:val="20"/>
        </w:rPr>
      </w:pPr>
      <w:r>
        <w:rPr>
          <w:rFonts w:hint="eastAsia" w:ascii="Calibri" w:hAnsi="Calibri" w:eastAsia="仿宋" w:cs="Times New Roman"/>
          <w:sz w:val="28"/>
          <w:szCs w:val="20"/>
        </w:rPr>
        <w:t>范围内的电梯和楼梯等如涉及本项目改造的范围，其电气设计也需在本次范围内考虑。</w:t>
      </w:r>
    </w:p>
    <w:p>
      <w:pPr>
        <w:numPr>
          <w:ilvl w:val="3"/>
          <w:numId w:val="2"/>
        </w:numPr>
        <w:spacing w:before="190" w:beforeLines="50" w:after="190" w:afterLines="50"/>
        <w:ind w:left="0" w:firstLine="0"/>
        <w:jc w:val="both"/>
        <w:outlineLvl w:val="3"/>
        <w:rPr>
          <w:rFonts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施工范围</w:t>
      </w:r>
    </w:p>
    <w:p>
      <w:pPr>
        <w:widowControl/>
        <w:numPr>
          <w:ilvl w:val="0"/>
          <w:numId w:val="6"/>
        </w:numPr>
        <w:spacing w:line="560" w:lineRule="exact"/>
        <w:ind w:left="0" w:firstLine="0"/>
        <w:rPr>
          <w:rFonts w:ascii="Calibri" w:hAnsi="Calibri" w:eastAsia="仿宋" w:cs="Times New Roman"/>
          <w:sz w:val="28"/>
          <w:szCs w:val="20"/>
        </w:rPr>
      </w:pPr>
      <w:r>
        <w:rPr>
          <w:rFonts w:hint="eastAsia" w:ascii="Calibri" w:hAnsi="Calibri" w:eastAsia="仿宋" w:cs="Times New Roman"/>
          <w:sz w:val="28"/>
          <w:szCs w:val="20"/>
        </w:rPr>
        <w:t>前期大楼已完成从地下负一层（具体区域位于：7</w:t>
      </w:r>
      <w:r>
        <w:rPr>
          <w:rFonts w:ascii="Calibri" w:hAnsi="Calibri" w:eastAsia="仿宋" w:cs="Times New Roman"/>
          <w:sz w:val="28"/>
          <w:szCs w:val="20"/>
        </w:rPr>
        <w:t>#</w:t>
      </w:r>
      <w:r>
        <w:rPr>
          <w:rFonts w:hint="eastAsia" w:ascii="Calibri" w:hAnsi="Calibri" w:eastAsia="仿宋" w:cs="Times New Roman"/>
          <w:sz w:val="28"/>
          <w:szCs w:val="20"/>
        </w:rPr>
        <w:t>楼发电机房、变配电室）敷设市电电源及油机切换后，提供3根母排至三层的机房层。但由于大楼原有的配电系统架构出现单点问题，且母排经过车库上方，无法满足规范和招标人需求，详细情况请自行勘查现场。因此本项目要求中标人须完成整个地下负一层所涉及到供机房层，市电与市电、市电与柴发切换的整体供电改造工作，满足规范标准和甲方对于供电安全可靠性的要求，确保A</w:t>
      </w:r>
      <w:r>
        <w:rPr>
          <w:rFonts w:ascii="Calibri" w:hAnsi="Calibri" w:eastAsia="仿宋" w:cs="Times New Roman"/>
          <w:sz w:val="28"/>
          <w:szCs w:val="20"/>
        </w:rPr>
        <w:t>.B</w:t>
      </w:r>
      <w:r>
        <w:rPr>
          <w:rFonts w:hint="eastAsia" w:ascii="Calibri" w:hAnsi="Calibri" w:eastAsia="仿宋" w:cs="Times New Roman"/>
          <w:sz w:val="28"/>
          <w:szCs w:val="20"/>
        </w:rPr>
        <w:t>组电源路由上的安全隔离，包括但不限于下述工作：</w:t>
      </w:r>
    </w:p>
    <w:p>
      <w:pPr>
        <w:widowControl/>
        <w:numPr>
          <w:ilvl w:val="0"/>
          <w:numId w:val="7"/>
        </w:numPr>
        <w:spacing w:line="560" w:lineRule="exact"/>
        <w:ind w:left="700" w:hanging="420"/>
        <w:rPr>
          <w:rFonts w:ascii="Calibri" w:hAnsi="Calibri" w:eastAsia="仿宋" w:cs="Times New Roman"/>
          <w:sz w:val="28"/>
          <w:szCs w:val="20"/>
        </w:rPr>
      </w:pPr>
      <w:r>
        <w:rPr>
          <w:rFonts w:hint="eastAsia" w:ascii="Calibri" w:hAnsi="Calibri" w:eastAsia="仿宋" w:cs="Times New Roman"/>
          <w:sz w:val="28"/>
          <w:szCs w:val="20"/>
        </w:rPr>
        <w:t>负责地下负一层变配电室内，专供机房层使用所需的A</w:t>
      </w:r>
      <w:r>
        <w:rPr>
          <w:rFonts w:ascii="Calibri" w:hAnsi="Calibri" w:eastAsia="仿宋" w:cs="Times New Roman"/>
          <w:sz w:val="28"/>
          <w:szCs w:val="20"/>
        </w:rPr>
        <w:t>.B</w:t>
      </w:r>
      <w:r>
        <w:rPr>
          <w:rFonts w:hint="eastAsia" w:ascii="Calibri" w:hAnsi="Calibri" w:eastAsia="仿宋" w:cs="Times New Roman"/>
          <w:sz w:val="28"/>
          <w:szCs w:val="20"/>
        </w:rPr>
        <w:t>组变配电柜之间进行物理隔离（可采取的方式如防火卷帘、隔断单侧或两侧预留疏散甲级防火门）。</w:t>
      </w:r>
    </w:p>
    <w:p>
      <w:pPr>
        <w:widowControl/>
        <w:numPr>
          <w:ilvl w:val="0"/>
          <w:numId w:val="7"/>
        </w:numPr>
        <w:spacing w:line="560" w:lineRule="exact"/>
        <w:ind w:left="700" w:hanging="420"/>
        <w:rPr>
          <w:rFonts w:ascii="Calibri" w:hAnsi="Calibri" w:eastAsia="仿宋" w:cs="Times New Roman"/>
          <w:sz w:val="28"/>
          <w:szCs w:val="20"/>
        </w:rPr>
      </w:pPr>
      <w:r>
        <w:rPr>
          <w:rFonts w:hint="eastAsia" w:ascii="Calibri" w:hAnsi="Calibri" w:eastAsia="仿宋" w:cs="Times New Roman"/>
          <w:sz w:val="28"/>
          <w:szCs w:val="20"/>
        </w:rPr>
        <w:t>因该用房布局的改变，重新根据分区情况增设甲级防火门，完成包括防火封堵、墙面、门洞修复、开关增补、接地断开重新接驳、电气照明等在内专业工程修缮。</w:t>
      </w:r>
    </w:p>
    <w:p>
      <w:pPr>
        <w:widowControl/>
        <w:numPr>
          <w:ilvl w:val="0"/>
          <w:numId w:val="7"/>
        </w:numPr>
        <w:spacing w:line="560" w:lineRule="exact"/>
        <w:ind w:left="700" w:hanging="420"/>
        <w:rPr>
          <w:rFonts w:ascii="Calibri" w:hAnsi="Calibri" w:eastAsia="仿宋" w:cs="Times New Roman"/>
          <w:sz w:val="28"/>
          <w:szCs w:val="20"/>
        </w:rPr>
      </w:pPr>
      <w:r>
        <w:rPr>
          <w:rFonts w:hint="eastAsia" w:ascii="Calibri" w:hAnsi="Calibri" w:eastAsia="仿宋" w:cs="Times New Roman"/>
          <w:sz w:val="28"/>
          <w:szCs w:val="20"/>
        </w:rPr>
        <w:t>改造原有联络柜，调整配电柜内结构，并新增一台专供机房I</w:t>
      </w:r>
      <w:r>
        <w:rPr>
          <w:rFonts w:ascii="Calibri" w:hAnsi="Calibri" w:eastAsia="仿宋" w:cs="Times New Roman"/>
          <w:sz w:val="28"/>
          <w:szCs w:val="20"/>
        </w:rPr>
        <w:t>T</w:t>
      </w:r>
      <w:r>
        <w:rPr>
          <w:rFonts w:hint="eastAsia" w:ascii="Calibri" w:hAnsi="Calibri" w:eastAsia="仿宋" w:cs="Times New Roman"/>
          <w:sz w:val="28"/>
          <w:szCs w:val="20"/>
        </w:rPr>
        <w:t>和动力使用的双电源切换柜（1</w:t>
      </w:r>
      <w:r>
        <w:rPr>
          <w:rFonts w:ascii="Calibri" w:hAnsi="Calibri" w:eastAsia="仿宋" w:cs="Times New Roman"/>
          <w:sz w:val="28"/>
          <w:szCs w:val="20"/>
        </w:rPr>
        <w:t>000A</w:t>
      </w:r>
      <w:r>
        <w:rPr>
          <w:rFonts w:hint="eastAsia" w:ascii="Calibri" w:hAnsi="Calibri" w:eastAsia="仿宋" w:cs="Times New Roman"/>
          <w:sz w:val="28"/>
          <w:szCs w:val="20"/>
        </w:rPr>
        <w:t>，带旁路A</w:t>
      </w:r>
      <w:r>
        <w:rPr>
          <w:rFonts w:ascii="Calibri" w:hAnsi="Calibri" w:eastAsia="仿宋" w:cs="Times New Roman"/>
          <w:sz w:val="28"/>
          <w:szCs w:val="20"/>
        </w:rPr>
        <w:t>TS</w:t>
      </w:r>
      <w:r>
        <w:rPr>
          <w:rFonts w:hint="eastAsia" w:ascii="Calibri" w:hAnsi="Calibri" w:eastAsia="仿宋" w:cs="Times New Roman"/>
          <w:sz w:val="28"/>
          <w:szCs w:val="20"/>
        </w:rPr>
        <w:t>，品牌选用国际主流品牌），若原有联络柜无法满足改造条件，则自行配套的A</w:t>
      </w:r>
      <w:r>
        <w:rPr>
          <w:rFonts w:ascii="Calibri" w:hAnsi="Calibri" w:eastAsia="仿宋" w:cs="Times New Roman"/>
          <w:sz w:val="28"/>
          <w:szCs w:val="20"/>
        </w:rPr>
        <w:t>TS</w:t>
      </w:r>
      <w:r>
        <w:rPr>
          <w:rFonts w:hint="eastAsia" w:ascii="Calibri" w:hAnsi="Calibri" w:eastAsia="仿宋" w:cs="Times New Roman"/>
          <w:sz w:val="28"/>
          <w:szCs w:val="20"/>
        </w:rPr>
        <w:t>柜。改造并完成低压母联及油机输出段的切换，在现有基础上提供补充一根同规格容量的母排（I</w:t>
      </w:r>
      <w:r>
        <w:rPr>
          <w:rFonts w:ascii="Calibri" w:hAnsi="Calibri" w:eastAsia="仿宋" w:cs="Times New Roman"/>
          <w:sz w:val="28"/>
          <w:szCs w:val="20"/>
        </w:rPr>
        <w:t>P65,</w:t>
      </w:r>
      <w:r>
        <w:rPr>
          <w:rFonts w:hint="eastAsia" w:ascii="Calibri" w:hAnsi="Calibri" w:eastAsia="仿宋" w:cs="Times New Roman"/>
          <w:sz w:val="28"/>
          <w:szCs w:val="20"/>
        </w:rPr>
        <w:t>1</w:t>
      </w:r>
      <w:r>
        <w:rPr>
          <w:rFonts w:ascii="Calibri" w:hAnsi="Calibri" w:eastAsia="仿宋" w:cs="Times New Roman"/>
          <w:sz w:val="28"/>
          <w:szCs w:val="20"/>
        </w:rPr>
        <w:t>000A</w:t>
      </w:r>
      <w:r>
        <w:rPr>
          <w:rFonts w:hint="eastAsia" w:ascii="Calibri" w:hAnsi="Calibri" w:eastAsia="仿宋" w:cs="Times New Roman"/>
          <w:sz w:val="28"/>
          <w:szCs w:val="20"/>
        </w:rPr>
        <w:t>），最终实现2根I</w:t>
      </w:r>
      <w:r>
        <w:rPr>
          <w:rFonts w:ascii="Calibri" w:hAnsi="Calibri" w:eastAsia="仿宋" w:cs="Times New Roman"/>
          <w:sz w:val="28"/>
          <w:szCs w:val="20"/>
        </w:rPr>
        <w:t>T</w:t>
      </w:r>
      <w:r>
        <w:rPr>
          <w:rFonts w:hint="eastAsia" w:ascii="Calibri" w:hAnsi="Calibri" w:eastAsia="仿宋" w:cs="Times New Roman"/>
          <w:sz w:val="28"/>
          <w:szCs w:val="20"/>
        </w:rPr>
        <w:t>，2根动力的基本条件，同时敷设机房层所需的配电柜位置，接入至由机房总承包提供的A/B组IT及动力总输入端。</w:t>
      </w:r>
    </w:p>
    <w:p>
      <w:pPr>
        <w:widowControl/>
        <w:numPr>
          <w:ilvl w:val="0"/>
          <w:numId w:val="7"/>
        </w:numPr>
        <w:spacing w:line="560" w:lineRule="exact"/>
        <w:ind w:left="700" w:hanging="420"/>
        <w:rPr>
          <w:rFonts w:ascii="Calibri" w:hAnsi="Calibri" w:eastAsia="仿宋" w:cs="Times New Roman"/>
          <w:sz w:val="28"/>
          <w:szCs w:val="20"/>
        </w:rPr>
      </w:pPr>
      <w:r>
        <w:rPr>
          <w:rFonts w:hint="eastAsia" w:ascii="Calibri" w:hAnsi="Calibri" w:eastAsia="仿宋" w:cs="Times New Roman"/>
          <w:sz w:val="28"/>
          <w:szCs w:val="20"/>
        </w:rPr>
        <w:t>核实现场原有的母排防护等级，</w:t>
      </w:r>
      <w:r>
        <w:rPr>
          <w:rFonts w:hint="eastAsia" w:ascii="Calibri" w:hAnsi="Calibri" w:eastAsia="仿宋" w:cs="Times New Roman"/>
          <w:sz w:val="28"/>
          <w:szCs w:val="20"/>
          <w:lang w:eastAsia="zh-CN"/>
        </w:rPr>
        <w:t>在母排转弯或搭接处配置在线测温装置，其测温数值需接入数据中心基础设施管理系统，</w:t>
      </w:r>
      <w:r>
        <w:rPr>
          <w:rFonts w:hint="eastAsia" w:ascii="Calibri" w:hAnsi="Calibri" w:eastAsia="仿宋" w:cs="Times New Roman"/>
          <w:sz w:val="28"/>
          <w:szCs w:val="20"/>
        </w:rPr>
        <w:t>并重新做好相关的检查工作，如不符合标准应及时提出，同时则需对其（3根母排）予以二次防护，最低条件是要求至少对其中2根母排实现防护，确保极端情形下，保障任何其中一路的供电支持，二次防护同时需满足防火时间2小时，对于防护的最终方案的实施工艺交由招标人后确定。</w:t>
      </w:r>
    </w:p>
    <w:p>
      <w:pPr>
        <w:widowControl/>
        <w:numPr>
          <w:ilvl w:val="0"/>
          <w:numId w:val="7"/>
        </w:numPr>
        <w:spacing w:line="560" w:lineRule="exact"/>
        <w:ind w:left="700" w:hanging="420"/>
        <w:rPr>
          <w:rFonts w:ascii="Calibri" w:hAnsi="Calibri" w:eastAsia="仿宋" w:cs="Times New Roman"/>
          <w:sz w:val="28"/>
          <w:szCs w:val="20"/>
        </w:rPr>
      </w:pPr>
      <w:r>
        <w:rPr>
          <w:rFonts w:hint="eastAsia" w:ascii="Calibri" w:hAnsi="Calibri" w:eastAsia="仿宋" w:cs="Times New Roman"/>
          <w:sz w:val="28"/>
          <w:szCs w:val="20"/>
        </w:rPr>
        <w:t>新增柴发分支配电柜，由柴发机组新增加1路同容量母排的电源引至A或</w:t>
      </w:r>
      <w:r>
        <w:rPr>
          <w:rFonts w:ascii="Calibri" w:hAnsi="Calibri" w:eastAsia="仿宋" w:cs="Times New Roman"/>
          <w:sz w:val="28"/>
          <w:szCs w:val="20"/>
        </w:rPr>
        <w:t>B</w:t>
      </w:r>
      <w:r>
        <w:rPr>
          <w:rFonts w:hint="eastAsia" w:ascii="Calibri" w:hAnsi="Calibri" w:eastAsia="仿宋" w:cs="Times New Roman"/>
          <w:sz w:val="28"/>
          <w:szCs w:val="20"/>
        </w:rPr>
        <w:t>组A</w:t>
      </w:r>
      <w:r>
        <w:rPr>
          <w:rFonts w:ascii="Calibri" w:hAnsi="Calibri" w:eastAsia="仿宋" w:cs="Times New Roman"/>
          <w:sz w:val="28"/>
          <w:szCs w:val="20"/>
        </w:rPr>
        <w:t>TS</w:t>
      </w:r>
      <w:r>
        <w:rPr>
          <w:rFonts w:hint="eastAsia" w:ascii="Calibri" w:hAnsi="Calibri" w:eastAsia="仿宋" w:cs="Times New Roman"/>
          <w:sz w:val="28"/>
          <w:szCs w:val="20"/>
        </w:rPr>
        <w:t>侧，与原有母排实现A、B组的电源切换，完成市电与市电、市电与柴发电源侧的切换。</w:t>
      </w:r>
    </w:p>
    <w:p>
      <w:pPr>
        <w:widowControl/>
        <w:numPr>
          <w:ilvl w:val="0"/>
          <w:numId w:val="7"/>
        </w:numPr>
        <w:spacing w:line="560" w:lineRule="exact"/>
        <w:ind w:left="700" w:hanging="420"/>
        <w:rPr>
          <w:rFonts w:ascii="Calibri" w:hAnsi="Calibri" w:eastAsia="仿宋" w:cs="Times New Roman"/>
          <w:sz w:val="28"/>
          <w:szCs w:val="20"/>
        </w:rPr>
      </w:pPr>
      <w:r>
        <w:rPr>
          <w:rFonts w:hint="eastAsia" w:ascii="Calibri" w:hAnsi="Calibri" w:eastAsia="仿宋" w:cs="Times New Roman"/>
          <w:sz w:val="28"/>
          <w:szCs w:val="20"/>
        </w:rPr>
        <w:t>如上述改造涉及到弱电智能化等方面的监控，相关工作也应一并完成。</w:t>
      </w:r>
    </w:p>
    <w:p>
      <w:pPr>
        <w:widowControl/>
        <w:numPr>
          <w:ilvl w:val="0"/>
          <w:numId w:val="7"/>
        </w:numPr>
        <w:spacing w:line="560" w:lineRule="exact"/>
        <w:ind w:left="700" w:hanging="420"/>
        <w:rPr>
          <w:rFonts w:ascii="Calibri" w:hAnsi="Calibri" w:eastAsia="仿宋" w:cs="Times New Roman"/>
          <w:sz w:val="28"/>
          <w:szCs w:val="20"/>
        </w:rPr>
      </w:pPr>
      <w:r>
        <w:rPr>
          <w:rFonts w:hint="eastAsia" w:ascii="Calibri" w:hAnsi="Calibri" w:eastAsia="仿宋" w:cs="Times New Roman"/>
          <w:sz w:val="28"/>
          <w:szCs w:val="20"/>
        </w:rPr>
        <w:t>上述描述仅为主要内容，不代表已全部提及，中标人应作为有经验的施工单位，须根据自身经验，结合本需求文件描述的做法自行核实、并与招标人确认后完成全部工作。</w:t>
      </w:r>
    </w:p>
    <w:p>
      <w:pPr>
        <w:widowControl/>
        <w:numPr>
          <w:ilvl w:val="0"/>
          <w:numId w:val="6"/>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负责实施并完成机房层一、二阶段相关供配电系统，包括配电柜、分支配电柜、末端切换柜、电缆、桥架、线槽及相关电源插座等。</w:t>
      </w:r>
    </w:p>
    <w:p>
      <w:pPr>
        <w:widowControl/>
        <w:numPr>
          <w:ilvl w:val="0"/>
          <w:numId w:val="6"/>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负责实施并完成A/B组UPS设备、支架及所有IT和动力配套的相关配电柜等。</w:t>
      </w:r>
    </w:p>
    <w:p>
      <w:pPr>
        <w:widowControl/>
        <w:numPr>
          <w:ilvl w:val="0"/>
          <w:numId w:val="6"/>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负责实施并完成A/B的电池组、支架、总开关和电池分组开关箱及单节电池监控等。</w:t>
      </w:r>
    </w:p>
    <w:p>
      <w:pPr>
        <w:widowControl/>
        <w:numPr>
          <w:ilvl w:val="0"/>
          <w:numId w:val="6"/>
        </w:numPr>
        <w:spacing w:line="560" w:lineRule="exact"/>
        <w:ind w:left="0" w:firstLine="0"/>
        <w:rPr>
          <w:rFonts w:hint="eastAsia" w:ascii="Calibri" w:hAnsi="Calibri" w:eastAsia="仿宋" w:cs="Times New Roman"/>
          <w:sz w:val="28"/>
          <w:szCs w:val="20"/>
        </w:rPr>
      </w:pPr>
      <w:r>
        <w:rPr>
          <w:rFonts w:hint="eastAsia" w:ascii="宋体" w:hAnsi="宋体" w:eastAsia="仿宋" w:cs="Times New Roman"/>
          <w:sz w:val="28"/>
          <w:szCs w:val="21"/>
        </w:rPr>
        <w:t>负责实施并完成从A/B组UPS输出开关至一、二阶段智能母排始端箱的主供电电缆，一、二阶段智能母排始端箱，以及</w:t>
      </w:r>
      <w:r>
        <w:rPr>
          <w:rFonts w:ascii="宋体" w:hAnsi="宋体" w:eastAsia="仿宋" w:cs="Times New Roman"/>
          <w:sz w:val="28"/>
          <w:szCs w:val="21"/>
        </w:rPr>
        <w:t>一阶段</w:t>
      </w:r>
      <w:r>
        <w:rPr>
          <w:rFonts w:hint="eastAsia" w:ascii="宋体" w:hAnsi="宋体" w:eastAsia="仿宋" w:cs="Times New Roman"/>
          <w:sz w:val="28"/>
          <w:szCs w:val="21"/>
        </w:rPr>
        <w:t>全部智能母排。</w:t>
      </w:r>
    </w:p>
    <w:p>
      <w:pPr>
        <w:widowControl/>
        <w:numPr>
          <w:ilvl w:val="0"/>
          <w:numId w:val="6"/>
        </w:numPr>
        <w:spacing w:line="560" w:lineRule="exact"/>
        <w:ind w:left="0" w:firstLine="0"/>
        <w:rPr>
          <w:rFonts w:hint="eastAsia" w:ascii="Calibri" w:hAnsi="Calibri" w:eastAsia="仿宋" w:cs="Times New Roman"/>
          <w:sz w:val="28"/>
          <w:szCs w:val="20"/>
        </w:rPr>
      </w:pPr>
      <w:r>
        <w:rPr>
          <w:rFonts w:hint="eastAsia" w:ascii="宋体" w:hAnsi="宋体" w:eastAsia="仿宋" w:cs="Times New Roman"/>
          <w:sz w:val="28"/>
          <w:szCs w:val="21"/>
        </w:rPr>
        <w:t>负责实施并完成一阶段末端电子信息设备配电（包含</w:t>
      </w:r>
      <w:r>
        <w:rPr>
          <w:rFonts w:ascii="宋体" w:hAnsi="宋体" w:eastAsia="仿宋" w:cs="Times New Roman"/>
          <w:sz w:val="28"/>
          <w:szCs w:val="21"/>
        </w:rPr>
        <w:t>完整的</w:t>
      </w:r>
      <w:r>
        <w:rPr>
          <w:rFonts w:hint="eastAsia" w:ascii="宋体" w:hAnsi="宋体" w:eastAsia="仿宋" w:cs="Times New Roman"/>
          <w:sz w:val="28"/>
          <w:szCs w:val="21"/>
        </w:rPr>
        <w:t>始端箱、母线槽、接插箱</w:t>
      </w:r>
      <w:r>
        <w:rPr>
          <w:rFonts w:ascii="宋体" w:hAnsi="宋体" w:eastAsia="仿宋" w:cs="Times New Roman"/>
          <w:sz w:val="28"/>
          <w:szCs w:val="21"/>
        </w:rPr>
        <w:t>、</w:t>
      </w:r>
      <w:r>
        <w:rPr>
          <w:rFonts w:hint="eastAsia" w:ascii="宋体" w:hAnsi="宋体" w:eastAsia="仿宋" w:cs="Times New Roman"/>
          <w:sz w:val="28"/>
          <w:szCs w:val="21"/>
        </w:rPr>
        <w:t>PDU），二阶段</w:t>
      </w:r>
      <w:r>
        <w:rPr>
          <w:rFonts w:ascii="宋体" w:hAnsi="宋体" w:eastAsia="仿宋" w:cs="Times New Roman"/>
          <w:sz w:val="28"/>
          <w:szCs w:val="21"/>
        </w:rPr>
        <w:t>仅完成始端箱即可。</w:t>
      </w:r>
    </w:p>
    <w:p>
      <w:pPr>
        <w:widowControl/>
        <w:numPr>
          <w:ilvl w:val="0"/>
          <w:numId w:val="6"/>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负责实施并完成监控中心的照明设计，以及包括所有相关区域的正常照明以及室外机外围照明。</w:t>
      </w:r>
    </w:p>
    <w:p>
      <w:pPr>
        <w:widowControl/>
        <w:numPr>
          <w:ilvl w:val="0"/>
          <w:numId w:val="6"/>
        </w:numPr>
        <w:spacing w:line="560" w:lineRule="exact"/>
        <w:ind w:left="0" w:firstLine="0"/>
        <w:rPr>
          <w:rFonts w:ascii="Calibri" w:hAnsi="Calibri" w:eastAsia="仿宋" w:cs="Times New Roman"/>
          <w:sz w:val="28"/>
          <w:szCs w:val="20"/>
        </w:rPr>
      </w:pPr>
      <w:r>
        <w:rPr>
          <w:rFonts w:hint="eastAsia" w:ascii="Calibri" w:hAnsi="Calibri" w:eastAsia="仿宋" w:cs="Times New Roman"/>
          <w:sz w:val="28"/>
          <w:szCs w:val="20"/>
        </w:rPr>
        <w:t>负责实施并完成应急照明（备用、疏散和安全照明）。</w:t>
      </w:r>
    </w:p>
    <w:p>
      <w:pPr>
        <w:widowControl/>
        <w:numPr>
          <w:ilvl w:val="0"/>
          <w:numId w:val="6"/>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负责实施并完成电气火灾监控系统。</w:t>
      </w:r>
    </w:p>
    <w:p>
      <w:pPr>
        <w:widowControl/>
        <w:numPr>
          <w:ilvl w:val="0"/>
          <w:numId w:val="6"/>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负责实施并完成防雷和接地系统。</w:t>
      </w:r>
    </w:p>
    <w:p>
      <w:pPr>
        <w:widowControl/>
        <w:numPr>
          <w:ilvl w:val="0"/>
          <w:numId w:val="6"/>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包括但不限于除上述主要内容外，本专业满足国家标准和技术需求中所要求的应当完成的其他相关工作。</w:t>
      </w:r>
    </w:p>
    <w:p>
      <w:pPr>
        <w:keepLines/>
        <w:numPr>
          <w:ilvl w:val="2"/>
          <w:numId w:val="2"/>
        </w:numPr>
        <w:adjustRightInd w:val="0"/>
        <w:spacing w:before="190" w:beforeLines="50" w:after="190" w:afterLines="50" w:line="440" w:lineRule="exact"/>
        <w:ind w:left="0" w:firstLine="0"/>
        <w:jc w:val="left"/>
        <w:textAlignment w:val="baseline"/>
        <w:outlineLvl w:val="2"/>
        <w:rPr>
          <w:rFonts w:ascii="楷体" w:hAnsi="楷体" w:eastAsia="仿宋" w:cs="Times New Roman"/>
          <w:b/>
          <w:kern w:val="2"/>
          <w:sz w:val="28"/>
          <w:szCs w:val="21"/>
          <w:lang w:val="en-US" w:eastAsia="zh-CN" w:bidi="ar-SA"/>
        </w:rPr>
      </w:pPr>
      <w:bookmarkStart w:id="130" w:name="_Toc16799"/>
      <w:r>
        <w:rPr>
          <w:rFonts w:hint="eastAsia" w:ascii="楷体" w:hAnsi="楷体" w:eastAsia="仿宋" w:cs="Times New Roman"/>
          <w:b/>
          <w:kern w:val="2"/>
          <w:sz w:val="28"/>
          <w:szCs w:val="21"/>
          <w:lang w:val="en-US" w:eastAsia="zh-CN" w:bidi="ar-SA"/>
        </w:rPr>
        <w:t>暖通系统</w:t>
      </w:r>
      <w:bookmarkEnd w:id="130"/>
    </w:p>
    <w:p>
      <w:pPr>
        <w:numPr>
          <w:ilvl w:val="3"/>
          <w:numId w:val="2"/>
        </w:numPr>
        <w:spacing w:before="190" w:beforeLines="50" w:after="190" w:afterLines="50"/>
        <w:ind w:left="0" w:firstLine="0"/>
        <w:jc w:val="both"/>
        <w:outlineLvl w:val="3"/>
        <w:rPr>
          <w:rFonts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设计范围</w:t>
      </w:r>
    </w:p>
    <w:p>
      <w:pPr>
        <w:widowControl/>
        <w:tabs>
          <w:tab w:val="left" w:pos="6300"/>
        </w:tabs>
        <w:spacing w:line="360" w:lineRule="auto"/>
        <w:ind w:firstLine="280" w:firstLineChars="100"/>
        <w:textAlignment w:val="baseline"/>
        <w:rPr>
          <w:rFonts w:hint="eastAsia" w:ascii="Calibri" w:hAnsi="Calibri" w:eastAsia="仿宋" w:cs="Times New Roman"/>
          <w:sz w:val="28"/>
          <w:szCs w:val="20"/>
        </w:rPr>
      </w:pPr>
      <w:r>
        <w:rPr>
          <w:rFonts w:hint="eastAsia" w:ascii="仿宋" w:hAnsi="仿宋" w:eastAsia="仿宋" w:cs="Times New Roman"/>
          <w:sz w:val="28"/>
          <w:szCs w:val="20"/>
        </w:rPr>
        <w:t>提供和完成本项目内的暖通系统，包括制冷冷源和辅助区空调（舒适性空调等）以及通风系统（含新排风系统、事故后排气系统），以及关联的屋顶降噪工程等本专业内全部设计内容、计算书以及满足招标约定所需的相关文件。</w:t>
      </w:r>
    </w:p>
    <w:p>
      <w:pPr>
        <w:numPr>
          <w:ilvl w:val="3"/>
          <w:numId w:val="2"/>
        </w:numPr>
        <w:spacing w:before="190" w:beforeLines="50" w:after="190" w:afterLines="50"/>
        <w:ind w:left="0" w:firstLine="0"/>
        <w:jc w:val="both"/>
        <w:outlineLvl w:val="3"/>
        <w:rPr>
          <w:rFonts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施工范围</w:t>
      </w:r>
    </w:p>
    <w:p>
      <w:pPr>
        <w:widowControl/>
        <w:numPr>
          <w:ilvl w:val="0"/>
          <w:numId w:val="8"/>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负责实施并完成</w:t>
      </w:r>
      <w:r>
        <w:rPr>
          <w:rFonts w:hint="eastAsia" w:ascii="仿宋" w:hAnsi="仿宋" w:eastAsia="仿宋" w:cs="Times New Roman"/>
          <w:sz w:val="28"/>
          <w:szCs w:val="20"/>
        </w:rPr>
        <w:t>制冷冷源和辅助区空调（舒适性空调等）</w:t>
      </w:r>
      <w:r>
        <w:rPr>
          <w:rFonts w:hint="eastAsia" w:ascii="Calibri" w:hAnsi="Calibri" w:eastAsia="仿宋" w:cs="Times New Roman"/>
          <w:sz w:val="28"/>
          <w:szCs w:val="20"/>
        </w:rPr>
        <w:t>、外置加湿机等，以及所有设备所需的供电电缆、</w:t>
      </w:r>
      <w:r>
        <w:rPr>
          <w:rFonts w:hint="eastAsia" w:ascii="Calibri" w:hAnsi="Calibri" w:eastAsia="仿宋" w:cs="Times New Roman"/>
          <w:sz w:val="28"/>
          <w:szCs w:val="20"/>
          <w:lang w:eastAsia="zh-CN"/>
        </w:rPr>
        <w:t>信号电缆、</w:t>
      </w:r>
      <w:r>
        <w:rPr>
          <w:rFonts w:hint="eastAsia" w:ascii="Calibri" w:hAnsi="Calibri" w:eastAsia="仿宋" w:cs="Times New Roman"/>
          <w:sz w:val="28"/>
          <w:szCs w:val="20"/>
        </w:rPr>
        <w:t>冷凝水管、冷媒管道及保温、室外冷媒管道的镀锌保护槽、安装外机的混凝土水泥墩及槽钢支架等。</w:t>
      </w:r>
    </w:p>
    <w:p>
      <w:pPr>
        <w:widowControl/>
        <w:numPr>
          <w:ilvl w:val="0"/>
          <w:numId w:val="8"/>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负责实施并完成预留二期模块的精密空调所需的冷媒管道及保温、供电电缆、室外冷媒管道的镀锌保护槽、安装外机的混凝土水泥墩及槽钢支架等。（不含设备）预留铜管的长度除满足从室内机至室外机铜管接驳位置外，还应加长1m作收口，并需进行清洁、打压及封闭处理。</w:t>
      </w:r>
    </w:p>
    <w:p>
      <w:pPr>
        <w:widowControl/>
        <w:numPr>
          <w:ilvl w:val="0"/>
          <w:numId w:val="8"/>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负责实施并完成灾后排气系统。</w:t>
      </w:r>
    </w:p>
    <w:p>
      <w:pPr>
        <w:widowControl/>
        <w:numPr>
          <w:ilvl w:val="0"/>
          <w:numId w:val="8"/>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负责实施并完成新排风系统含日常排风。</w:t>
      </w:r>
    </w:p>
    <w:p>
      <w:pPr>
        <w:widowControl/>
        <w:numPr>
          <w:ilvl w:val="0"/>
          <w:numId w:val="8"/>
        </w:numPr>
        <w:spacing w:line="560" w:lineRule="exact"/>
        <w:ind w:left="0" w:firstLine="0"/>
        <w:rPr>
          <w:rFonts w:ascii="Calibri" w:hAnsi="Calibri" w:eastAsia="仿宋" w:cs="Times New Roman"/>
          <w:sz w:val="28"/>
          <w:szCs w:val="20"/>
        </w:rPr>
      </w:pPr>
      <w:r>
        <w:rPr>
          <w:rFonts w:hint="eastAsia" w:ascii="Calibri" w:hAnsi="Calibri" w:eastAsia="仿宋" w:cs="Times New Roman"/>
          <w:sz w:val="28"/>
          <w:szCs w:val="20"/>
        </w:rPr>
        <w:t>负责实施并完成相关抗震支架等。</w:t>
      </w:r>
    </w:p>
    <w:p>
      <w:pPr>
        <w:widowControl/>
        <w:numPr>
          <w:ilvl w:val="0"/>
          <w:numId w:val="8"/>
        </w:numPr>
        <w:spacing w:line="560" w:lineRule="exact"/>
        <w:ind w:left="0" w:firstLine="0"/>
        <w:rPr>
          <w:rFonts w:hint="eastAsia" w:ascii="Calibri" w:hAnsi="Calibri" w:eastAsia="仿宋" w:cs="Times New Roman"/>
          <w:sz w:val="28"/>
          <w:szCs w:val="20"/>
        </w:rPr>
      </w:pPr>
      <w:r>
        <w:rPr>
          <w:rFonts w:hint="eastAsia" w:ascii="Calibri" w:hAnsi="Calibri" w:eastAsia="仿宋" w:cs="Times New Roman"/>
          <w:sz w:val="28"/>
          <w:szCs w:val="20"/>
        </w:rPr>
        <w:t>包括但不限于除上述主要内容外，本专业满足国家标准和技术需求中所要求的应当完成的其他相关工作。</w:t>
      </w:r>
    </w:p>
    <w:p>
      <w:pPr>
        <w:keepLines/>
        <w:numPr>
          <w:ilvl w:val="2"/>
          <w:numId w:val="2"/>
        </w:numPr>
        <w:adjustRightInd w:val="0"/>
        <w:spacing w:before="190" w:beforeLines="50" w:after="190" w:afterLines="50" w:line="440" w:lineRule="exact"/>
        <w:ind w:left="0" w:firstLine="0"/>
        <w:jc w:val="left"/>
        <w:textAlignment w:val="baseline"/>
        <w:outlineLvl w:val="2"/>
        <w:rPr>
          <w:rFonts w:ascii="楷体" w:hAnsi="楷体" w:eastAsia="仿宋" w:cs="Times New Roman"/>
          <w:b/>
          <w:kern w:val="2"/>
          <w:sz w:val="28"/>
          <w:szCs w:val="21"/>
          <w:lang w:val="en-US" w:eastAsia="zh-CN" w:bidi="ar-SA"/>
        </w:rPr>
      </w:pPr>
      <w:bookmarkStart w:id="131" w:name="_Toc9987"/>
      <w:r>
        <w:rPr>
          <w:rFonts w:hint="eastAsia" w:ascii="楷体" w:hAnsi="楷体" w:eastAsia="仿宋" w:cs="Times New Roman"/>
          <w:b/>
          <w:kern w:val="2"/>
          <w:sz w:val="28"/>
          <w:szCs w:val="21"/>
          <w:lang w:val="en-US" w:eastAsia="zh-CN" w:bidi="ar-SA"/>
        </w:rPr>
        <w:t>给排水系统</w:t>
      </w:r>
      <w:bookmarkEnd w:id="131"/>
    </w:p>
    <w:p>
      <w:pPr>
        <w:numPr>
          <w:ilvl w:val="3"/>
          <w:numId w:val="2"/>
        </w:numPr>
        <w:spacing w:before="190" w:beforeLines="50" w:after="190" w:afterLines="50"/>
        <w:ind w:left="0" w:firstLine="0"/>
        <w:jc w:val="both"/>
        <w:outlineLvl w:val="3"/>
        <w:rPr>
          <w:rFonts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设计范围</w:t>
      </w:r>
    </w:p>
    <w:p>
      <w:pPr>
        <w:widowControl/>
        <w:tabs>
          <w:tab w:val="left" w:pos="425"/>
          <w:tab w:val="left" w:pos="6300"/>
        </w:tabs>
        <w:spacing w:line="360" w:lineRule="auto"/>
        <w:ind w:firstLine="280" w:firstLineChars="100"/>
        <w:textAlignment w:val="baseline"/>
        <w:rPr>
          <w:rFonts w:hint="eastAsia" w:ascii="Calibri" w:hAnsi="Calibri" w:eastAsia="仿宋" w:cs="Times New Roman"/>
          <w:sz w:val="28"/>
          <w:szCs w:val="20"/>
        </w:rPr>
      </w:pPr>
      <w:r>
        <w:rPr>
          <w:rFonts w:hint="eastAsia" w:ascii="Calibri" w:hAnsi="Calibri" w:eastAsia="仿宋" w:cs="Times New Roman"/>
          <w:sz w:val="28"/>
          <w:szCs w:val="20"/>
        </w:rPr>
        <w:t>提供和完成本项目内的给水、排水等本专业内全部设计内容、计算书</w:t>
      </w:r>
      <w:r>
        <w:rPr>
          <w:rFonts w:hint="eastAsia" w:ascii="仿宋" w:hAnsi="仿宋" w:eastAsia="仿宋" w:cs="Times New Roman"/>
          <w:sz w:val="28"/>
          <w:szCs w:val="20"/>
        </w:rPr>
        <w:t>以及满足招标约定所需的相关文件。</w:t>
      </w:r>
    </w:p>
    <w:p>
      <w:pPr>
        <w:numPr>
          <w:ilvl w:val="3"/>
          <w:numId w:val="2"/>
        </w:numPr>
        <w:spacing w:before="190" w:beforeLines="50" w:after="190" w:afterLines="50"/>
        <w:ind w:left="0" w:firstLine="0"/>
        <w:jc w:val="both"/>
        <w:outlineLvl w:val="3"/>
        <w:rPr>
          <w:rFonts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施工范围</w:t>
      </w:r>
    </w:p>
    <w:p>
      <w:pPr>
        <w:widowControl/>
        <w:numPr>
          <w:ilvl w:val="0"/>
          <w:numId w:val="9"/>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负责实施并完成冷凝及应急排水。（含垂直体的管道）</w:t>
      </w:r>
    </w:p>
    <w:p>
      <w:pPr>
        <w:widowControl/>
        <w:numPr>
          <w:ilvl w:val="0"/>
          <w:numId w:val="9"/>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负责实施并完成加湿及室外机清洗城市用水管。</w:t>
      </w:r>
    </w:p>
    <w:p>
      <w:pPr>
        <w:widowControl/>
        <w:numPr>
          <w:ilvl w:val="0"/>
          <w:numId w:val="9"/>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负责实施并完成所有相关的存水弯及地漏等。</w:t>
      </w:r>
    </w:p>
    <w:p>
      <w:pPr>
        <w:widowControl/>
        <w:numPr>
          <w:ilvl w:val="0"/>
          <w:numId w:val="9"/>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负责实施并完成加压处理。（如需要）</w:t>
      </w:r>
    </w:p>
    <w:p>
      <w:pPr>
        <w:widowControl/>
        <w:numPr>
          <w:ilvl w:val="0"/>
          <w:numId w:val="9"/>
        </w:numPr>
        <w:spacing w:line="560" w:lineRule="exact"/>
        <w:ind w:left="0" w:firstLine="0"/>
        <w:rPr>
          <w:rFonts w:ascii="仿宋" w:hAnsi="仿宋" w:eastAsia="仿宋" w:cs="Times New Roman"/>
          <w:sz w:val="28"/>
          <w:szCs w:val="20"/>
        </w:rPr>
      </w:pPr>
      <w:r>
        <w:rPr>
          <w:rFonts w:hint="eastAsia" w:ascii="仿宋" w:hAnsi="仿宋" w:eastAsia="仿宋" w:cs="Times New Roman"/>
          <w:sz w:val="28"/>
          <w:szCs w:val="20"/>
        </w:rPr>
        <w:t>负责实施并完成对原大楼设置卫生间的主管、支管及相关的管道进行改造.</w:t>
      </w:r>
    </w:p>
    <w:p>
      <w:pPr>
        <w:widowControl/>
        <w:numPr>
          <w:ilvl w:val="0"/>
          <w:numId w:val="9"/>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包括但不限于除上述主要内容外，本专业满足国家标准和技术需求中所要求的应当完成的其他相关工作。</w:t>
      </w:r>
    </w:p>
    <w:p>
      <w:pPr>
        <w:keepLines/>
        <w:numPr>
          <w:ilvl w:val="2"/>
          <w:numId w:val="2"/>
        </w:numPr>
        <w:adjustRightInd w:val="0"/>
        <w:spacing w:before="190" w:beforeLines="50" w:after="190" w:afterLines="50" w:line="440" w:lineRule="exact"/>
        <w:ind w:left="0" w:firstLine="0"/>
        <w:jc w:val="left"/>
        <w:textAlignment w:val="baseline"/>
        <w:outlineLvl w:val="2"/>
        <w:rPr>
          <w:rFonts w:ascii="楷体" w:hAnsi="楷体" w:eastAsia="仿宋" w:cs="Times New Roman"/>
          <w:b/>
          <w:kern w:val="2"/>
          <w:sz w:val="28"/>
          <w:szCs w:val="21"/>
          <w:lang w:val="en-US" w:eastAsia="zh-CN" w:bidi="ar-SA"/>
        </w:rPr>
      </w:pPr>
      <w:bookmarkStart w:id="132" w:name="_Toc2690"/>
      <w:r>
        <w:rPr>
          <w:rFonts w:hint="eastAsia" w:ascii="楷体" w:hAnsi="楷体" w:eastAsia="仿宋" w:cs="Times New Roman"/>
          <w:b/>
          <w:kern w:val="2"/>
          <w:sz w:val="28"/>
          <w:szCs w:val="21"/>
          <w:lang w:val="en-US" w:eastAsia="zh-CN" w:bidi="ar-SA"/>
        </w:rPr>
        <w:t>智能化系统</w:t>
      </w:r>
      <w:bookmarkEnd w:id="132"/>
    </w:p>
    <w:p>
      <w:pPr>
        <w:numPr>
          <w:ilvl w:val="3"/>
          <w:numId w:val="2"/>
        </w:numPr>
        <w:spacing w:before="190" w:beforeLines="50" w:after="190" w:afterLines="50"/>
        <w:ind w:left="0" w:firstLine="0"/>
        <w:jc w:val="both"/>
        <w:outlineLvl w:val="3"/>
        <w:rPr>
          <w:rFonts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设计范围</w:t>
      </w:r>
    </w:p>
    <w:p>
      <w:pPr>
        <w:widowControl/>
        <w:spacing w:line="560" w:lineRule="exact"/>
        <w:ind w:firstLine="280" w:firstLineChars="100"/>
        <w:rPr>
          <w:rFonts w:ascii="Calibri" w:hAnsi="Calibri" w:eastAsia="仿宋" w:cs="Times New Roman"/>
          <w:sz w:val="28"/>
          <w:szCs w:val="20"/>
        </w:rPr>
      </w:pPr>
      <w:r>
        <w:rPr>
          <w:rFonts w:hint="eastAsia" w:ascii="Calibri" w:hAnsi="Calibri" w:eastAsia="仿宋" w:cs="Times New Roman"/>
          <w:sz w:val="28"/>
          <w:szCs w:val="20"/>
        </w:rPr>
        <w:t>负责本项目内的办公运维及智能化布线系统（注：业务生产网另行章节单项说明），安全防范系统（包括：安全防范管理平台、视频监控系统、入侵报警系统、出入口控制系统），</w:t>
      </w:r>
      <w:r>
        <w:rPr>
          <w:rFonts w:hint="eastAsia" w:ascii="Calibri" w:hAnsi="Calibri" w:eastAsia="仿宋" w:cs="Times New Roman"/>
          <w:sz w:val="28"/>
          <w:szCs w:val="20"/>
          <w:lang w:eastAsia="zh-CN"/>
        </w:rPr>
        <w:t>数据中心基础设施管理系统</w:t>
      </w:r>
      <w:r>
        <w:rPr>
          <w:rFonts w:hint="eastAsia" w:ascii="Calibri" w:hAnsi="Calibri" w:eastAsia="仿宋" w:cs="Times New Roman"/>
          <w:sz w:val="28"/>
          <w:szCs w:val="20"/>
        </w:rPr>
        <w:t>。总控中心包括：</w:t>
      </w:r>
      <w:r>
        <w:rPr>
          <w:rFonts w:hint="eastAsia" w:ascii="仿宋" w:hAnsi="仿宋" w:eastAsia="仿宋" w:cs="仿宋"/>
          <w:bCs/>
          <w:sz w:val="28"/>
          <w:szCs w:val="28"/>
        </w:rPr>
        <w:t>大屏幕显示控制系统</w:t>
      </w:r>
      <w:r>
        <w:rPr>
          <w:rFonts w:hint="eastAsia" w:ascii="Calibri" w:hAnsi="Calibri" w:eastAsia="仿宋" w:cs="Times New Roman"/>
          <w:sz w:val="28"/>
          <w:szCs w:val="20"/>
        </w:rPr>
        <w:t>，极早期烟雾探测报警系统，电梯管理系统改造等本专业内全部设计内容、点位表</w:t>
      </w:r>
      <w:r>
        <w:rPr>
          <w:rFonts w:hint="eastAsia" w:ascii="仿宋" w:hAnsi="仿宋" w:eastAsia="仿宋" w:cs="Times New Roman"/>
          <w:sz w:val="28"/>
          <w:szCs w:val="20"/>
        </w:rPr>
        <w:t>以及满足招标约定所需的相关文件</w:t>
      </w:r>
      <w:r>
        <w:rPr>
          <w:rFonts w:hint="eastAsia" w:ascii="Calibri" w:hAnsi="Calibri" w:eastAsia="仿宋" w:cs="Times New Roman"/>
          <w:sz w:val="28"/>
          <w:szCs w:val="20"/>
        </w:rPr>
        <w:t>。</w:t>
      </w:r>
    </w:p>
    <w:p>
      <w:pPr>
        <w:numPr>
          <w:ilvl w:val="3"/>
          <w:numId w:val="2"/>
        </w:numPr>
        <w:spacing w:before="190" w:beforeLines="50" w:after="190" w:afterLines="50"/>
        <w:ind w:left="0" w:firstLine="0"/>
        <w:jc w:val="both"/>
        <w:outlineLvl w:val="3"/>
        <w:rPr>
          <w:rFonts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施工范围</w:t>
      </w:r>
    </w:p>
    <w:p>
      <w:pPr>
        <w:widowControl/>
        <w:numPr>
          <w:ilvl w:val="0"/>
          <w:numId w:val="10"/>
        </w:numPr>
        <w:spacing w:line="560" w:lineRule="exact"/>
        <w:ind w:left="0" w:firstLine="0"/>
        <w:rPr>
          <w:rFonts w:hint="eastAsia" w:ascii="仿宋" w:hAnsi="仿宋" w:eastAsia="仿宋" w:cs="仿宋"/>
          <w:bCs/>
          <w:sz w:val="28"/>
          <w:szCs w:val="28"/>
        </w:rPr>
      </w:pPr>
      <w:r>
        <w:rPr>
          <w:rFonts w:hint="eastAsia" w:ascii="Calibri" w:hAnsi="Calibri" w:eastAsia="仿宋" w:cs="Times New Roman"/>
          <w:sz w:val="28"/>
          <w:szCs w:val="20"/>
        </w:rPr>
        <w:t>负责实施并完成</w:t>
      </w:r>
      <w:r>
        <w:rPr>
          <w:rFonts w:hint="eastAsia" w:ascii="仿宋" w:hAnsi="仿宋" w:eastAsia="仿宋" w:cs="仿宋"/>
          <w:bCs/>
          <w:sz w:val="28"/>
          <w:szCs w:val="28"/>
        </w:rPr>
        <w:t>办公运维及智能化布线系统。</w:t>
      </w:r>
    </w:p>
    <w:p>
      <w:pPr>
        <w:widowControl/>
        <w:numPr>
          <w:ilvl w:val="0"/>
          <w:numId w:val="10"/>
        </w:numPr>
        <w:spacing w:line="560" w:lineRule="exact"/>
        <w:ind w:left="0" w:firstLine="0"/>
        <w:rPr>
          <w:rFonts w:hint="eastAsia" w:ascii="仿宋" w:hAnsi="仿宋" w:eastAsia="仿宋" w:cs="Times New Roman"/>
          <w:sz w:val="28"/>
          <w:szCs w:val="20"/>
        </w:rPr>
      </w:pPr>
      <w:r>
        <w:rPr>
          <w:rFonts w:hint="eastAsia" w:ascii="Calibri" w:hAnsi="Calibri" w:eastAsia="仿宋" w:cs="Times New Roman"/>
          <w:sz w:val="28"/>
          <w:szCs w:val="20"/>
        </w:rPr>
        <w:t>负责实施并完成</w:t>
      </w:r>
      <w:r>
        <w:rPr>
          <w:rFonts w:hint="eastAsia" w:ascii="Calibri" w:hAnsi="Calibri" w:eastAsia="仿宋" w:cs="Times New Roman"/>
          <w:sz w:val="28"/>
          <w:szCs w:val="20"/>
          <w:lang w:eastAsia="zh-CN"/>
        </w:rPr>
        <w:t>数据中心基础设施管理系统</w:t>
      </w:r>
      <w:r>
        <w:rPr>
          <w:rFonts w:hint="eastAsia" w:ascii="仿宋" w:hAnsi="仿宋" w:eastAsia="仿宋" w:cs="仿宋"/>
          <w:bCs/>
          <w:sz w:val="28"/>
          <w:szCs w:val="28"/>
        </w:rPr>
        <w:t>，包括：数据中心有关设</w:t>
      </w:r>
      <w:r>
        <w:rPr>
          <w:rFonts w:hint="eastAsia" w:ascii="仿宋" w:hAnsi="仿宋" w:eastAsia="仿宋" w:cs="Times New Roman"/>
          <w:sz w:val="28"/>
          <w:szCs w:val="20"/>
        </w:rPr>
        <w:t>备用房的环境监测（漏水、洁净度、温湿度、压差、氢化物等）、精密空调、舒适空调、密集母排、新/排风机组、各级配电柜、末端设备配电系统等的监视、控制及参数测量等功能等</w:t>
      </w:r>
      <w:r>
        <w:rPr>
          <w:rFonts w:hint="eastAsia" w:ascii="仿宋" w:hAnsi="仿宋" w:eastAsia="仿宋" w:cs="Times New Roman"/>
          <w:sz w:val="28"/>
          <w:szCs w:val="20"/>
          <w:lang w:eastAsia="zh-CN"/>
        </w:rPr>
        <w:t>，</w:t>
      </w:r>
      <w:r>
        <w:rPr>
          <w:rFonts w:hint="eastAsia" w:ascii="仿宋" w:hAnsi="仿宋" w:eastAsia="仿宋" w:cs="Times New Roman"/>
          <w:sz w:val="28"/>
          <w:szCs w:val="20"/>
        </w:rPr>
        <w:t>除了</w:t>
      </w:r>
      <w:r>
        <w:rPr>
          <w:rFonts w:hint="eastAsia" w:ascii="仿宋" w:hAnsi="仿宋" w:eastAsia="仿宋" w:cs="仿宋"/>
          <w:bCs/>
          <w:sz w:val="28"/>
          <w:szCs w:val="28"/>
        </w:rPr>
        <w:t>数据中心基础设施管理系统硬件平台的安装外，还包括系统软件调试及根据业主需求进行定制开发</w:t>
      </w:r>
      <w:r>
        <w:rPr>
          <w:rFonts w:hint="eastAsia" w:ascii="仿宋" w:hAnsi="仿宋" w:eastAsia="仿宋" w:cs="Times New Roman"/>
          <w:sz w:val="28"/>
          <w:szCs w:val="20"/>
        </w:rPr>
        <w:t>。</w:t>
      </w:r>
    </w:p>
    <w:p>
      <w:pPr>
        <w:widowControl/>
        <w:numPr>
          <w:ilvl w:val="0"/>
          <w:numId w:val="10"/>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负责实施并完成安全防范系统，包括安全防范管理平台、视频监控系统、入侵报警及出入口控制系统。</w:t>
      </w:r>
    </w:p>
    <w:p>
      <w:pPr>
        <w:widowControl/>
        <w:numPr>
          <w:ilvl w:val="0"/>
          <w:numId w:val="10"/>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负责实施并完成总控中心（ECC）：包括大屏幕显示控制系统等。</w:t>
      </w:r>
    </w:p>
    <w:p>
      <w:pPr>
        <w:widowControl/>
        <w:numPr>
          <w:ilvl w:val="0"/>
          <w:numId w:val="10"/>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负责实施并完成极早期空气采样探测报警系统。</w:t>
      </w:r>
    </w:p>
    <w:p>
      <w:pPr>
        <w:widowControl/>
        <w:numPr>
          <w:ilvl w:val="0"/>
          <w:numId w:val="10"/>
        </w:numPr>
        <w:spacing w:line="560" w:lineRule="exact"/>
        <w:ind w:left="0" w:firstLine="0"/>
        <w:rPr>
          <w:rFonts w:ascii="仿宋" w:hAnsi="仿宋" w:eastAsia="仿宋" w:cs="Times New Roman"/>
          <w:sz w:val="28"/>
          <w:szCs w:val="20"/>
        </w:rPr>
      </w:pPr>
      <w:r>
        <w:rPr>
          <w:rFonts w:hint="eastAsia" w:ascii="仿宋" w:hAnsi="仿宋" w:eastAsia="仿宋" w:cs="Times New Roman"/>
          <w:sz w:val="28"/>
          <w:szCs w:val="20"/>
        </w:rPr>
        <w:t>负责完成本项目与原主生产中心ECC的所有相关的基础环境监控，实现无人值守及远程管理，具体详见专项需求。</w:t>
      </w:r>
    </w:p>
    <w:p>
      <w:pPr>
        <w:widowControl/>
        <w:numPr>
          <w:ilvl w:val="0"/>
          <w:numId w:val="10"/>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包括但不限于除上述主要内容外，本专业满足国家标准和技术需求中所要求的应当完成的其他相关工作。</w:t>
      </w:r>
    </w:p>
    <w:p>
      <w:pPr>
        <w:keepLines/>
        <w:numPr>
          <w:ilvl w:val="2"/>
          <w:numId w:val="2"/>
        </w:numPr>
        <w:adjustRightInd w:val="0"/>
        <w:spacing w:before="190" w:beforeLines="50" w:after="190" w:afterLines="50" w:line="440" w:lineRule="exact"/>
        <w:ind w:left="0" w:firstLine="0"/>
        <w:jc w:val="left"/>
        <w:textAlignment w:val="baseline"/>
        <w:outlineLvl w:val="2"/>
        <w:rPr>
          <w:rFonts w:ascii="楷体" w:hAnsi="楷体" w:eastAsia="仿宋" w:cs="Times New Roman"/>
          <w:b/>
          <w:kern w:val="2"/>
          <w:sz w:val="28"/>
          <w:szCs w:val="21"/>
          <w:lang w:val="en-US" w:eastAsia="zh-CN" w:bidi="ar-SA"/>
        </w:rPr>
      </w:pPr>
      <w:bookmarkStart w:id="133" w:name="_Toc32435"/>
      <w:r>
        <w:rPr>
          <w:rFonts w:hint="eastAsia" w:ascii="楷体" w:hAnsi="楷体" w:eastAsia="仿宋" w:cs="Times New Roman"/>
          <w:b/>
          <w:kern w:val="2"/>
          <w:sz w:val="28"/>
          <w:szCs w:val="21"/>
          <w:lang w:val="en-US" w:eastAsia="zh-CN" w:bidi="ar-SA"/>
        </w:rPr>
        <w:t>网络与布线</w:t>
      </w:r>
      <w:bookmarkEnd w:id="133"/>
    </w:p>
    <w:p>
      <w:pPr>
        <w:numPr>
          <w:ilvl w:val="3"/>
          <w:numId w:val="2"/>
        </w:numPr>
        <w:spacing w:before="190" w:beforeLines="50" w:after="190" w:afterLines="50"/>
        <w:ind w:left="0" w:firstLine="0"/>
        <w:jc w:val="both"/>
        <w:outlineLvl w:val="3"/>
        <w:rPr>
          <w:rFonts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设计范围</w:t>
      </w:r>
    </w:p>
    <w:p>
      <w:pPr>
        <w:widowControl/>
        <w:spacing w:line="560" w:lineRule="exact"/>
        <w:ind w:firstLine="280" w:firstLineChars="100"/>
        <w:rPr>
          <w:rFonts w:hint="eastAsia" w:ascii="Calibri" w:hAnsi="Calibri" w:eastAsia="仿宋" w:cs="Times New Roman"/>
          <w:sz w:val="28"/>
          <w:szCs w:val="20"/>
        </w:rPr>
      </w:pPr>
      <w:r>
        <w:rPr>
          <w:rFonts w:hint="eastAsia" w:ascii="Calibri" w:hAnsi="Calibri" w:eastAsia="仿宋" w:cs="Times New Roman"/>
          <w:sz w:val="28"/>
          <w:szCs w:val="20"/>
        </w:rPr>
        <w:t xml:space="preserve"> 提供和完成本项目内的主机房布线系统（生产业务网）生产业务网管槽系统、</w:t>
      </w:r>
      <w:r>
        <w:rPr>
          <w:rFonts w:hint="eastAsia" w:ascii="仿宋" w:hAnsi="仿宋" w:eastAsia="仿宋" w:cs="Times New Roman"/>
          <w:sz w:val="28"/>
          <w:szCs w:val="20"/>
        </w:rPr>
        <w:t>机柜及冷通道封闭</w:t>
      </w:r>
      <w:r>
        <w:rPr>
          <w:rFonts w:hint="eastAsia" w:ascii="Calibri" w:hAnsi="Calibri" w:eastAsia="仿宋" w:cs="Times New Roman"/>
          <w:sz w:val="28"/>
          <w:szCs w:val="20"/>
        </w:rPr>
        <w:t>等本专业内全部设计内容、点位表以及满足招标约定所需的相关文件。</w:t>
      </w:r>
    </w:p>
    <w:p>
      <w:pPr>
        <w:numPr>
          <w:ilvl w:val="3"/>
          <w:numId w:val="2"/>
        </w:numPr>
        <w:spacing w:before="190" w:beforeLines="50" w:after="190" w:afterLines="50"/>
        <w:ind w:left="0" w:firstLine="0"/>
        <w:jc w:val="both"/>
        <w:outlineLvl w:val="3"/>
        <w:rPr>
          <w:rFonts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施工范围</w:t>
      </w:r>
    </w:p>
    <w:p>
      <w:pPr>
        <w:widowControl/>
        <w:numPr>
          <w:ilvl w:val="0"/>
          <w:numId w:val="11"/>
        </w:numPr>
        <w:spacing w:line="560" w:lineRule="exact"/>
        <w:ind w:left="0" w:firstLine="0"/>
        <w:rPr>
          <w:rFonts w:hint="eastAsia" w:ascii="仿宋" w:hAnsi="仿宋" w:eastAsia="仿宋" w:cs="仿宋"/>
          <w:bCs/>
          <w:sz w:val="28"/>
          <w:szCs w:val="28"/>
        </w:rPr>
      </w:pPr>
      <w:r>
        <w:rPr>
          <w:rFonts w:hint="eastAsia" w:ascii="Calibri" w:hAnsi="Calibri" w:eastAsia="仿宋" w:cs="Times New Roman"/>
          <w:sz w:val="28"/>
          <w:szCs w:val="20"/>
        </w:rPr>
        <w:t>负责实施并完成</w:t>
      </w:r>
      <w:r>
        <w:rPr>
          <w:rFonts w:hint="eastAsia" w:ascii="仿宋" w:hAnsi="仿宋" w:eastAsia="仿宋" w:cs="仿宋"/>
          <w:bCs/>
          <w:sz w:val="28"/>
          <w:szCs w:val="28"/>
        </w:rPr>
        <w:t>一</w:t>
      </w:r>
      <w:r>
        <w:rPr>
          <w:rFonts w:hint="eastAsia" w:ascii="仿宋" w:hAnsi="仿宋" w:eastAsia="仿宋" w:cs="Times New Roman"/>
          <w:sz w:val="28"/>
          <w:szCs w:val="20"/>
        </w:rPr>
        <w:t>阶段</w:t>
      </w:r>
      <w:r>
        <w:rPr>
          <w:rFonts w:hint="eastAsia" w:ascii="仿宋" w:hAnsi="仿宋" w:eastAsia="仿宋" w:cs="仿宋"/>
          <w:bCs/>
          <w:sz w:val="28"/>
          <w:szCs w:val="28"/>
        </w:rPr>
        <w:t>业务生产网综合布线系统（含带外管理、上联、互联、存储），</w:t>
      </w:r>
      <w:r>
        <w:rPr>
          <w:rFonts w:hint="eastAsia" w:ascii="仿宋" w:hAnsi="仿宋" w:eastAsia="仿宋" w:cs="仿宋"/>
          <w:bCs/>
          <w:sz w:val="28"/>
          <w:szCs w:val="28"/>
          <w:lang w:eastAsia="zh-CN"/>
        </w:rPr>
        <w:t>布置第</w:t>
      </w:r>
      <w:r>
        <w:rPr>
          <w:rFonts w:hint="eastAsia" w:ascii="仿宋" w:hAnsi="仿宋" w:eastAsia="仿宋" w:cs="仿宋"/>
          <w:bCs/>
          <w:sz w:val="28"/>
          <w:szCs w:val="28"/>
        </w:rPr>
        <w:t>二阶段的机柜综合布线</w:t>
      </w:r>
      <w:r>
        <w:rPr>
          <w:rFonts w:hint="eastAsia" w:ascii="仿宋" w:hAnsi="仿宋" w:eastAsia="仿宋" w:cs="仿宋"/>
          <w:bCs/>
          <w:sz w:val="28"/>
          <w:szCs w:val="28"/>
          <w:lang w:eastAsia="zh-CN"/>
        </w:rPr>
        <w:t>骨干线</w:t>
      </w:r>
      <w:r>
        <w:rPr>
          <w:rFonts w:hint="eastAsia" w:ascii="仿宋" w:hAnsi="仿宋" w:eastAsia="仿宋" w:cs="仿宋"/>
          <w:bCs/>
          <w:sz w:val="28"/>
          <w:szCs w:val="28"/>
        </w:rPr>
        <w:t>。</w:t>
      </w:r>
    </w:p>
    <w:p>
      <w:pPr>
        <w:widowControl/>
        <w:numPr>
          <w:ilvl w:val="0"/>
          <w:numId w:val="11"/>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负责实施并完成所需布线系统的链路测试等。</w:t>
      </w:r>
    </w:p>
    <w:p>
      <w:pPr>
        <w:widowControl/>
        <w:numPr>
          <w:ilvl w:val="0"/>
          <w:numId w:val="11"/>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负责实施并完成一、二阶段相关光缆及铜缆的桥架等。</w:t>
      </w:r>
    </w:p>
    <w:p>
      <w:pPr>
        <w:widowControl/>
        <w:numPr>
          <w:ilvl w:val="0"/>
          <w:numId w:val="11"/>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负责实施并完成一阶段的机柜及冷通道封闭系统。</w:t>
      </w:r>
    </w:p>
    <w:p>
      <w:pPr>
        <w:widowControl/>
        <w:numPr>
          <w:ilvl w:val="0"/>
          <w:numId w:val="11"/>
        </w:numPr>
        <w:spacing w:line="560" w:lineRule="exact"/>
        <w:ind w:left="0" w:firstLine="0"/>
        <w:rPr>
          <w:rFonts w:ascii="仿宋" w:hAnsi="仿宋" w:eastAsia="仿宋" w:cs="Times New Roman"/>
          <w:sz w:val="28"/>
          <w:szCs w:val="20"/>
        </w:rPr>
      </w:pPr>
      <w:r>
        <w:rPr>
          <w:rFonts w:hint="eastAsia" w:ascii="仿宋" w:hAnsi="仿宋" w:eastAsia="仿宋" w:cs="Times New Roman"/>
          <w:sz w:val="28"/>
          <w:szCs w:val="20"/>
        </w:rPr>
        <w:t>负责实施并完成二阶段的机柜及冷通道封闭系统。</w:t>
      </w:r>
    </w:p>
    <w:p>
      <w:pPr>
        <w:widowControl/>
        <w:numPr>
          <w:ilvl w:val="0"/>
          <w:numId w:val="11"/>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包括但不限于除上述主要内容外，本专业满足国家标准和技术需求中所要求的应当完成的其他相关工作。</w:t>
      </w:r>
    </w:p>
    <w:p>
      <w:pPr>
        <w:keepLines/>
        <w:numPr>
          <w:ilvl w:val="2"/>
          <w:numId w:val="2"/>
        </w:numPr>
        <w:adjustRightInd w:val="0"/>
        <w:spacing w:before="190" w:beforeLines="50" w:after="190" w:afterLines="50" w:line="440" w:lineRule="exact"/>
        <w:ind w:left="0" w:firstLine="0"/>
        <w:jc w:val="left"/>
        <w:textAlignment w:val="baseline"/>
        <w:outlineLvl w:val="2"/>
        <w:rPr>
          <w:rFonts w:ascii="楷体" w:hAnsi="楷体" w:eastAsia="仿宋" w:cs="Times New Roman"/>
          <w:b/>
          <w:kern w:val="2"/>
          <w:sz w:val="28"/>
          <w:szCs w:val="21"/>
          <w:lang w:val="en-US" w:eastAsia="zh-CN" w:bidi="ar-SA"/>
        </w:rPr>
      </w:pPr>
      <w:bookmarkStart w:id="134" w:name="_Toc30976"/>
      <w:r>
        <w:rPr>
          <w:rFonts w:hint="eastAsia" w:ascii="楷体" w:hAnsi="楷体" w:eastAsia="仿宋" w:cs="Times New Roman"/>
          <w:b/>
          <w:kern w:val="2"/>
          <w:sz w:val="28"/>
          <w:szCs w:val="21"/>
          <w:lang w:val="en-US" w:eastAsia="zh-CN" w:bidi="ar-SA"/>
        </w:rPr>
        <w:t>消防与安全</w:t>
      </w:r>
      <w:bookmarkEnd w:id="134"/>
    </w:p>
    <w:p>
      <w:pPr>
        <w:numPr>
          <w:ilvl w:val="3"/>
          <w:numId w:val="2"/>
        </w:numPr>
        <w:spacing w:before="190" w:beforeLines="50" w:after="190" w:afterLines="50"/>
        <w:ind w:left="0" w:firstLine="0"/>
        <w:jc w:val="both"/>
        <w:outlineLvl w:val="3"/>
        <w:rPr>
          <w:rFonts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设计范围</w:t>
      </w:r>
    </w:p>
    <w:p>
      <w:pPr>
        <w:widowControl/>
        <w:numPr>
          <w:ilvl w:val="0"/>
          <w:numId w:val="12"/>
        </w:numPr>
        <w:spacing w:line="560" w:lineRule="exact"/>
        <w:ind w:left="0" w:firstLine="0"/>
        <w:rPr>
          <w:rFonts w:hint="eastAsia" w:ascii="仿宋" w:hAnsi="仿宋" w:eastAsia="仿宋" w:cs="Times New Roman"/>
          <w:sz w:val="28"/>
          <w:szCs w:val="22"/>
        </w:rPr>
      </w:pPr>
      <w:r>
        <w:rPr>
          <w:rFonts w:hint="eastAsia" w:ascii="仿宋" w:hAnsi="仿宋" w:eastAsia="仿宋" w:cs="Times New Roman"/>
          <w:sz w:val="28"/>
          <w:szCs w:val="22"/>
        </w:rPr>
        <w:t>提供并完成气体灭火系统、水灭火系统和消火栓灭火系统改造、消防排烟系统、火灾自动报警及消防联动控制系统、防火门监控系统、消防电源监控系统等本专业内全部设计内容、计算书以及满足招标约定所需的相关文件。</w:t>
      </w:r>
    </w:p>
    <w:p>
      <w:pPr>
        <w:widowControl/>
        <w:numPr>
          <w:ilvl w:val="0"/>
          <w:numId w:val="12"/>
        </w:numPr>
        <w:spacing w:line="560" w:lineRule="exact"/>
        <w:ind w:left="0" w:firstLine="0"/>
        <w:rPr>
          <w:rFonts w:hint="eastAsia" w:ascii="仿宋" w:hAnsi="仿宋" w:eastAsia="仿宋" w:cs="Times New Roman"/>
          <w:sz w:val="28"/>
          <w:szCs w:val="22"/>
        </w:rPr>
      </w:pPr>
      <w:r>
        <w:rPr>
          <w:rFonts w:hint="eastAsia" w:ascii="仿宋" w:hAnsi="仿宋" w:eastAsia="仿宋" w:cs="Times New Roman"/>
          <w:sz w:val="28"/>
          <w:szCs w:val="22"/>
        </w:rPr>
        <w:t>消防系统工程的设计应符合现行国家有关消防标准规范。最终设计应符合当地有关消防主管部门的认可、报审及验收，并包括提供有关文件。</w:t>
      </w:r>
    </w:p>
    <w:p>
      <w:pPr>
        <w:numPr>
          <w:ilvl w:val="3"/>
          <w:numId w:val="2"/>
        </w:numPr>
        <w:spacing w:before="190" w:beforeLines="50" w:after="190" w:afterLines="50"/>
        <w:ind w:left="0" w:firstLine="0"/>
        <w:jc w:val="both"/>
        <w:outlineLvl w:val="3"/>
        <w:rPr>
          <w:rFonts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施工范围</w:t>
      </w:r>
    </w:p>
    <w:p>
      <w:pPr>
        <w:widowControl/>
        <w:numPr>
          <w:ilvl w:val="0"/>
          <w:numId w:val="13"/>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负责实施并完成有管网气体灭火系统。</w:t>
      </w:r>
    </w:p>
    <w:p>
      <w:pPr>
        <w:widowControl/>
        <w:numPr>
          <w:ilvl w:val="0"/>
          <w:numId w:val="13"/>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负责实施并完成水喷淋灭火系统（改造）。</w:t>
      </w:r>
    </w:p>
    <w:p>
      <w:pPr>
        <w:widowControl/>
        <w:numPr>
          <w:ilvl w:val="0"/>
          <w:numId w:val="13"/>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负责实施并完成消防栓灭火系统（改造）。</w:t>
      </w:r>
    </w:p>
    <w:p>
      <w:pPr>
        <w:widowControl/>
        <w:numPr>
          <w:ilvl w:val="0"/>
          <w:numId w:val="13"/>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负责实施并完成消防排烟系统。</w:t>
      </w:r>
    </w:p>
    <w:p>
      <w:pPr>
        <w:widowControl/>
        <w:numPr>
          <w:ilvl w:val="0"/>
          <w:numId w:val="13"/>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w:t>
      </w:r>
      <w:r>
        <w:rPr>
          <w:rFonts w:hint="eastAsia" w:ascii="Calibri" w:hAnsi="Calibri" w:eastAsia="仿宋" w:cs="Times New Roman"/>
          <w:sz w:val="28"/>
          <w:szCs w:val="20"/>
        </w:rPr>
        <w:t>火灾自动报警及消防联动控制系统</w:t>
      </w:r>
      <w:r>
        <w:rPr>
          <w:rFonts w:hint="eastAsia" w:ascii="仿宋" w:hAnsi="仿宋" w:eastAsia="仿宋" w:cs="Times New Roman"/>
          <w:sz w:val="28"/>
          <w:szCs w:val="20"/>
        </w:rPr>
        <w:t>。</w:t>
      </w:r>
    </w:p>
    <w:p>
      <w:pPr>
        <w:widowControl/>
        <w:numPr>
          <w:ilvl w:val="0"/>
          <w:numId w:val="13"/>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负责实施并完成防火门监控系统。</w:t>
      </w:r>
    </w:p>
    <w:p>
      <w:pPr>
        <w:widowControl/>
        <w:numPr>
          <w:ilvl w:val="0"/>
          <w:numId w:val="13"/>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负责实施并完成消防电源监控系统。</w:t>
      </w:r>
    </w:p>
    <w:p>
      <w:pPr>
        <w:widowControl/>
        <w:numPr>
          <w:ilvl w:val="0"/>
          <w:numId w:val="13"/>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包括但不限于除上述主要内容外，本专业满足国家标准和技术需求中所要求的应当完成的其他相关工作。</w:t>
      </w:r>
    </w:p>
    <w:p>
      <w:pPr>
        <w:keepLines/>
        <w:numPr>
          <w:ilvl w:val="2"/>
          <w:numId w:val="2"/>
        </w:numPr>
        <w:adjustRightInd w:val="0"/>
        <w:spacing w:before="190" w:beforeLines="50" w:after="190" w:afterLines="50" w:line="440" w:lineRule="exact"/>
        <w:ind w:left="0" w:firstLine="0"/>
        <w:jc w:val="left"/>
        <w:textAlignment w:val="baseline"/>
        <w:outlineLvl w:val="2"/>
        <w:rPr>
          <w:rFonts w:ascii="楷体" w:hAnsi="楷体" w:eastAsia="仿宋" w:cs="Times New Roman"/>
          <w:b/>
          <w:kern w:val="2"/>
          <w:sz w:val="28"/>
          <w:szCs w:val="21"/>
          <w:lang w:val="en-US" w:eastAsia="zh-CN" w:bidi="ar-SA"/>
        </w:rPr>
      </w:pPr>
      <w:bookmarkStart w:id="135" w:name="_Toc11435"/>
      <w:r>
        <w:rPr>
          <w:rFonts w:hint="eastAsia" w:ascii="楷体" w:hAnsi="楷体" w:eastAsia="仿宋" w:cs="Times New Roman"/>
          <w:b/>
          <w:kern w:val="2"/>
          <w:sz w:val="28"/>
          <w:szCs w:val="21"/>
          <w:lang w:val="en-US" w:eastAsia="zh-CN" w:bidi="ar-SA"/>
        </w:rPr>
        <w:t>其它</w:t>
      </w:r>
      <w:bookmarkEnd w:id="135"/>
    </w:p>
    <w:p>
      <w:pPr>
        <w:widowControl/>
        <w:numPr>
          <w:ilvl w:val="0"/>
          <w:numId w:val="14"/>
        </w:numPr>
        <w:spacing w:line="560" w:lineRule="exact"/>
        <w:ind w:left="0" w:firstLine="0"/>
        <w:rPr>
          <w:rFonts w:hint="eastAsia" w:ascii="仿宋" w:hAnsi="仿宋" w:eastAsia="仿宋" w:cs="仿宋"/>
          <w:bCs/>
          <w:sz w:val="28"/>
          <w:szCs w:val="28"/>
        </w:rPr>
      </w:pPr>
      <w:r>
        <w:rPr>
          <w:rFonts w:hint="eastAsia" w:ascii="仿宋" w:hAnsi="仿宋" w:eastAsia="仿宋" w:cs="Times New Roman"/>
          <w:sz w:val="28"/>
          <w:szCs w:val="20"/>
        </w:rPr>
        <w:t>负责实施并完成</w:t>
      </w:r>
      <w:r>
        <w:rPr>
          <w:rFonts w:hint="eastAsia" w:ascii="仿宋" w:hAnsi="仿宋" w:eastAsia="仿宋" w:cs="仿宋"/>
          <w:bCs/>
          <w:sz w:val="28"/>
          <w:szCs w:val="28"/>
        </w:rPr>
        <w:t>标识系统。需</w:t>
      </w:r>
      <w:r>
        <w:rPr>
          <w:rFonts w:hint="eastAsia" w:ascii="仿宋" w:hAnsi="仿宋" w:eastAsia="仿宋" w:cs="Times New Roman"/>
          <w:sz w:val="28"/>
          <w:szCs w:val="20"/>
        </w:rPr>
        <w:t>配合</w:t>
      </w:r>
      <w:r>
        <w:rPr>
          <w:rFonts w:hint="eastAsia" w:ascii="仿宋" w:hAnsi="仿宋" w:eastAsia="仿宋" w:cs="仿宋"/>
          <w:bCs/>
          <w:sz w:val="28"/>
          <w:szCs w:val="28"/>
        </w:rPr>
        <w:t>招标人完成标识系统各类指示牌的设计、定制和安装，包括但不限于楼层标识、房间门牌、指示标牌等内容，制作材质、设计方案需经过招标人确认。</w:t>
      </w:r>
    </w:p>
    <w:p>
      <w:pPr>
        <w:widowControl/>
        <w:numPr>
          <w:ilvl w:val="0"/>
          <w:numId w:val="14"/>
        </w:numPr>
        <w:spacing w:line="560" w:lineRule="exact"/>
        <w:ind w:left="0" w:firstLine="0"/>
        <w:rPr>
          <w:rFonts w:ascii="仿宋" w:hAnsi="仿宋" w:eastAsia="仿宋" w:cs="仿宋"/>
          <w:b/>
          <w:bCs/>
          <w:sz w:val="28"/>
          <w:szCs w:val="28"/>
        </w:rPr>
      </w:pPr>
      <w:r>
        <w:rPr>
          <w:rFonts w:hint="eastAsia" w:ascii="仿宋" w:hAnsi="仿宋" w:eastAsia="仿宋" w:cs="Times New Roman"/>
          <w:sz w:val="28"/>
          <w:szCs w:val="20"/>
        </w:rPr>
        <w:t>负责实施并完成</w:t>
      </w:r>
      <w:r>
        <w:rPr>
          <w:rFonts w:hint="eastAsia" w:ascii="仿宋" w:hAnsi="仿宋" w:eastAsia="仿宋" w:cs="仿宋"/>
          <w:bCs/>
          <w:sz w:val="28"/>
          <w:szCs w:val="28"/>
        </w:rPr>
        <w:t>防火封堵。</w:t>
      </w:r>
    </w:p>
    <w:p>
      <w:pPr>
        <w:widowControl/>
        <w:numPr>
          <w:ilvl w:val="0"/>
          <w:numId w:val="14"/>
        </w:numPr>
        <w:spacing w:line="560" w:lineRule="exact"/>
        <w:ind w:left="0" w:firstLine="0"/>
        <w:rPr>
          <w:rFonts w:ascii="仿宋" w:hAnsi="仿宋" w:eastAsia="仿宋" w:cs="仿宋"/>
          <w:b/>
          <w:bCs/>
          <w:sz w:val="28"/>
          <w:szCs w:val="28"/>
        </w:rPr>
      </w:pPr>
      <w:r>
        <w:rPr>
          <w:rFonts w:hint="eastAsia" w:ascii="仿宋" w:hAnsi="仿宋" w:eastAsia="仿宋" w:cs="仿宋"/>
          <w:bCs/>
          <w:sz w:val="28"/>
          <w:szCs w:val="28"/>
        </w:rPr>
        <w:t>负责实施机房消防报警与大楼消防报警联网工作。</w:t>
      </w:r>
    </w:p>
    <w:p>
      <w:pPr>
        <w:numPr>
          <w:ilvl w:val="0"/>
          <w:numId w:val="14"/>
        </w:numPr>
        <w:spacing w:line="560" w:lineRule="exact"/>
        <w:rPr>
          <w:rFonts w:ascii="仿宋" w:hAnsi="仿宋" w:cs="仿宋"/>
          <w:b/>
          <w:bCs/>
          <w:szCs w:val="28"/>
        </w:rPr>
        <w:sectPr>
          <w:footerReference r:id="rId8" w:type="first"/>
          <w:footerReference r:id="rId7" w:type="default"/>
          <w:pgSz w:w="11906" w:h="16838"/>
          <w:pgMar w:top="1440" w:right="1800" w:bottom="1440" w:left="1800" w:header="851" w:footer="992" w:gutter="0"/>
          <w:pgNumType w:fmt="decimal"/>
          <w:cols w:space="720" w:num="1"/>
          <w:docGrid w:type="lines" w:linePitch="381" w:charSpace="0"/>
        </w:sectPr>
      </w:pPr>
      <w:r>
        <w:rPr>
          <w:rFonts w:hint="eastAsia" w:ascii="仿宋" w:hAnsi="仿宋" w:eastAsia="仿宋" w:cs="仿宋"/>
          <w:sz w:val="28"/>
          <w:szCs w:val="28"/>
        </w:rPr>
        <w:t>本章节如存在未提及的内容，但结合本项目是实际需要的，均应包含在本次设计和施工一体化的范围。</w:t>
      </w:r>
    </w:p>
    <w:p>
      <w:pPr>
        <w:numPr>
          <w:ilvl w:val="0"/>
          <w:numId w:val="2"/>
        </w:numPr>
        <w:spacing w:line="560" w:lineRule="exact"/>
        <w:jc w:val="center"/>
        <w:textAlignment w:val="baseline"/>
        <w:outlineLvl w:val="0"/>
        <w:rPr>
          <w:rFonts w:hint="eastAsia" w:ascii="仿宋" w:hAnsi="仿宋" w:eastAsia="仿宋" w:cs="仿宋"/>
          <w:b/>
          <w:color w:val="000000"/>
          <w:kern w:val="2"/>
          <w:sz w:val="30"/>
          <w:szCs w:val="30"/>
          <w:lang w:val="en-US" w:eastAsia="zh-CN" w:bidi="ar-SA"/>
        </w:rPr>
      </w:pPr>
      <w:bookmarkStart w:id="136" w:name="_Toc29802"/>
      <w:r>
        <w:rPr>
          <w:rFonts w:hint="eastAsia" w:ascii="仿宋" w:hAnsi="仿宋" w:eastAsia="仿宋" w:cs="仿宋"/>
          <w:b/>
          <w:color w:val="000000"/>
          <w:kern w:val="2"/>
          <w:sz w:val="30"/>
          <w:szCs w:val="30"/>
          <w:lang w:val="en-US" w:eastAsia="zh-CN" w:bidi="ar-SA"/>
        </w:rPr>
        <w:t>总体规划设计说明</w:t>
      </w:r>
      <w:bookmarkEnd w:id="136"/>
    </w:p>
    <w:p>
      <w:pPr>
        <w:widowControl/>
        <w:tabs>
          <w:tab w:val="left" w:pos="6300"/>
        </w:tabs>
        <w:spacing w:line="5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依据招标人提供的供参考版建筑平面图，及结合现场勘查的实际情况进行各子系统的设计，并且可在满足以下基本需求的前提下提出更加安全可靠、绿色环保、超前不落后、可扩容的设计方案。包括但不限于以下功能间：</w:t>
      </w: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137" w:name="_Toc21914"/>
      <w:bookmarkStart w:id="138" w:name="_Toc262680177"/>
      <w:bookmarkStart w:id="139" w:name="_Toc262677969"/>
      <w:bookmarkStart w:id="140" w:name="_Toc4611"/>
      <w:bookmarkStart w:id="141" w:name="_Toc22177"/>
      <w:bookmarkStart w:id="142" w:name="_Toc357878127"/>
      <w:bookmarkStart w:id="143" w:name="_Toc262678177"/>
      <w:bookmarkStart w:id="144" w:name="_Toc22816"/>
      <w:bookmarkStart w:id="145" w:name="_Toc19386"/>
      <w:bookmarkStart w:id="146" w:name="_Toc357502749"/>
      <w:r>
        <w:rPr>
          <w:rFonts w:hint="eastAsia" w:ascii="仿宋" w:hAnsi="仿宋" w:eastAsia="仿宋" w:cs="仿宋"/>
          <w:b/>
          <w:bCs/>
          <w:kern w:val="2"/>
          <w:sz w:val="28"/>
          <w:szCs w:val="28"/>
          <w:lang w:val="en-US" w:eastAsia="zh-CN" w:bidi="ar-SA"/>
        </w:rPr>
        <w:t>平面布置（三层）</w:t>
      </w:r>
      <w:bookmarkEnd w:id="137"/>
    </w:p>
    <w:tbl>
      <w:tblPr>
        <w:tblStyle w:val="24"/>
        <w:tblW w:w="0" w:type="auto"/>
        <w:jc w:val="center"/>
        <w:tblLayout w:type="fixed"/>
        <w:tblCellMar>
          <w:top w:w="0" w:type="dxa"/>
          <w:left w:w="15" w:type="dxa"/>
          <w:bottom w:w="0" w:type="dxa"/>
          <w:right w:w="15" w:type="dxa"/>
        </w:tblCellMar>
      </w:tblPr>
      <w:tblGrid>
        <w:gridCol w:w="526"/>
        <w:gridCol w:w="1190"/>
        <w:gridCol w:w="6237"/>
        <w:gridCol w:w="383"/>
      </w:tblGrid>
      <w:tr>
        <w:tblPrEx>
          <w:tblCellMar>
            <w:top w:w="0" w:type="dxa"/>
            <w:left w:w="15" w:type="dxa"/>
            <w:bottom w:w="0" w:type="dxa"/>
            <w:right w:w="15" w:type="dxa"/>
          </w:tblCellMar>
        </w:tblPrEx>
        <w:trPr>
          <w:trHeight w:val="285"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b/>
                <w:bCs/>
                <w:sz w:val="24"/>
                <w:szCs w:val="24"/>
              </w:rPr>
            </w:pPr>
            <w:r>
              <w:rPr>
                <w:rFonts w:hint="eastAsia" w:ascii="仿宋" w:hAnsi="仿宋" w:eastAsia="仿宋" w:cs="Times New Roman"/>
                <w:b/>
                <w:bCs/>
                <w:sz w:val="24"/>
                <w:szCs w:val="24"/>
              </w:rPr>
              <w:t>序号</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b/>
                <w:bCs/>
                <w:sz w:val="24"/>
                <w:szCs w:val="24"/>
              </w:rPr>
            </w:pPr>
            <w:r>
              <w:rPr>
                <w:rFonts w:hint="eastAsia" w:ascii="仿宋" w:hAnsi="仿宋" w:eastAsia="仿宋" w:cs="Times New Roman"/>
                <w:b/>
                <w:bCs/>
                <w:sz w:val="24"/>
                <w:szCs w:val="24"/>
              </w:rPr>
              <w:t>功能间</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b/>
                <w:bCs/>
                <w:sz w:val="24"/>
                <w:szCs w:val="24"/>
              </w:rPr>
            </w:pPr>
            <w:r>
              <w:rPr>
                <w:rFonts w:hint="eastAsia" w:ascii="仿宋" w:hAnsi="仿宋" w:eastAsia="仿宋" w:cs="Times New Roman"/>
                <w:b/>
                <w:bCs/>
                <w:sz w:val="24"/>
                <w:szCs w:val="24"/>
              </w:rPr>
              <w:t>主要用途</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b/>
                <w:bCs/>
                <w:sz w:val="24"/>
                <w:szCs w:val="24"/>
              </w:rPr>
            </w:pPr>
            <w:r>
              <w:rPr>
                <w:rFonts w:hint="eastAsia" w:ascii="仿宋" w:hAnsi="仿宋" w:eastAsia="仿宋" w:cs="Times New Roman"/>
                <w:b/>
                <w:bCs/>
                <w:sz w:val="24"/>
                <w:szCs w:val="24"/>
              </w:rPr>
              <w:t>备注</w:t>
            </w:r>
          </w:p>
        </w:tc>
      </w:tr>
      <w:tr>
        <w:tblPrEx>
          <w:tblCellMar>
            <w:top w:w="0" w:type="dxa"/>
            <w:left w:w="15" w:type="dxa"/>
            <w:bottom w:w="0" w:type="dxa"/>
            <w:right w:w="15" w:type="dxa"/>
          </w:tblCellMar>
        </w:tblPrEx>
        <w:trPr>
          <w:trHeight w:val="203"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机房模块</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ascii="仿宋" w:hAnsi="仿宋" w:eastAsia="仿宋" w:cs="Times New Roman"/>
                <w:sz w:val="24"/>
                <w:szCs w:val="24"/>
              </w:rPr>
            </w:pPr>
            <w:r>
              <w:rPr>
                <w:rFonts w:hint="eastAsia" w:ascii="仿宋" w:hAnsi="仿宋" w:eastAsia="仿宋" w:cs="Times New Roman"/>
                <w:sz w:val="24"/>
                <w:szCs w:val="24"/>
              </w:rPr>
              <w:t>机柜台数不小于93台，其中包含电信运营商机柜</w:t>
            </w:r>
            <w:r>
              <w:rPr>
                <w:rFonts w:ascii="仿宋" w:hAnsi="仿宋" w:eastAsia="仿宋" w:cs="Times New Roman"/>
                <w:sz w:val="24"/>
                <w:szCs w:val="24"/>
              </w:rPr>
              <w:t>4</w:t>
            </w:r>
            <w:r>
              <w:rPr>
                <w:rFonts w:hint="eastAsia" w:ascii="仿宋" w:hAnsi="仿宋" w:eastAsia="仿宋" w:cs="Times New Roman"/>
                <w:sz w:val="24"/>
                <w:szCs w:val="24"/>
              </w:rPr>
              <w:t>台（与服务器机柜区域隔离）。</w:t>
            </w:r>
          </w:p>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机柜规格要求如下：</w:t>
            </w:r>
          </w:p>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（1）机柜尺寸要求：600mm*1200mm*42U不少于82台。</w:t>
            </w:r>
          </w:p>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（2）机柜尺寸要求：800mm*1200mm*42U不少于11台。</w:t>
            </w:r>
          </w:p>
        </w:tc>
        <w:tc>
          <w:tcPr>
            <w:tcW w:w="3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hint="eastAsia" w:ascii="仿宋" w:hAnsi="仿宋" w:eastAsia="仿宋" w:cs="Times New Roman"/>
                <w:sz w:val="24"/>
                <w:szCs w:val="24"/>
              </w:rPr>
            </w:pPr>
          </w:p>
        </w:tc>
      </w:tr>
      <w:tr>
        <w:tblPrEx>
          <w:tblCellMar>
            <w:top w:w="0" w:type="dxa"/>
            <w:left w:w="15" w:type="dxa"/>
            <w:bottom w:w="0" w:type="dxa"/>
            <w:right w:w="15" w:type="dxa"/>
          </w:tblCellMar>
        </w:tblPrEx>
        <w:trPr>
          <w:trHeight w:val="405"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空调维护通道</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用于控制维修人员，放置精密空调、外置加湿器、末端切换等设备。</w:t>
            </w:r>
          </w:p>
        </w:tc>
        <w:tc>
          <w:tcPr>
            <w:tcW w:w="3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hint="eastAsia" w:ascii="仿宋" w:hAnsi="仿宋" w:eastAsia="仿宋" w:cs="Times New Roman"/>
                <w:sz w:val="24"/>
                <w:szCs w:val="24"/>
              </w:rPr>
            </w:pPr>
          </w:p>
        </w:tc>
      </w:tr>
      <w:tr>
        <w:tblPrEx>
          <w:tblCellMar>
            <w:top w:w="0" w:type="dxa"/>
            <w:left w:w="15" w:type="dxa"/>
            <w:bottom w:w="0" w:type="dxa"/>
            <w:right w:w="15" w:type="dxa"/>
          </w:tblCellMar>
        </w:tblPrEx>
        <w:trPr>
          <w:trHeight w:val="476"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监控中心</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按比例自行合理设计显示屏系统，配置专业监控工位</w:t>
            </w:r>
            <w:r>
              <w:rPr>
                <w:rFonts w:ascii="仿宋" w:hAnsi="仿宋" w:eastAsia="仿宋" w:cs="Times New Roman"/>
                <w:sz w:val="24"/>
                <w:szCs w:val="24"/>
              </w:rPr>
              <w:t>9</w:t>
            </w:r>
            <w:r>
              <w:rPr>
                <w:rFonts w:hint="eastAsia" w:ascii="仿宋" w:hAnsi="仿宋" w:eastAsia="仿宋" w:cs="Times New Roman"/>
                <w:sz w:val="24"/>
                <w:szCs w:val="24"/>
              </w:rPr>
              <w:t>人位，需保证最佳的视觉距离。</w:t>
            </w:r>
          </w:p>
        </w:tc>
        <w:tc>
          <w:tcPr>
            <w:tcW w:w="3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hint="eastAsia" w:ascii="仿宋" w:hAnsi="仿宋" w:eastAsia="仿宋" w:cs="Times New Roman"/>
                <w:sz w:val="24"/>
                <w:szCs w:val="24"/>
              </w:rPr>
            </w:pPr>
          </w:p>
        </w:tc>
      </w:tr>
      <w:tr>
        <w:tblPrEx>
          <w:tblCellMar>
            <w:top w:w="0" w:type="dxa"/>
            <w:left w:w="15" w:type="dxa"/>
            <w:bottom w:w="0" w:type="dxa"/>
            <w:right w:w="15" w:type="dxa"/>
          </w:tblCellMar>
        </w:tblPrEx>
        <w:trPr>
          <w:trHeight w:val="30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4</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A/B组UPS配电室室</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仿宋gb2312"/>
                <w:sz w:val="24"/>
                <w:szCs w:val="24"/>
              </w:rPr>
              <w:t>放置UPS主机，IT与动力的总开关柜及相关的分支配电柜。</w:t>
            </w:r>
          </w:p>
        </w:tc>
        <w:tc>
          <w:tcPr>
            <w:tcW w:w="3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hint="eastAsia" w:ascii="仿宋" w:hAnsi="仿宋" w:eastAsia="仿宋" w:cs="仿宋gb2312"/>
                <w:sz w:val="24"/>
                <w:szCs w:val="24"/>
              </w:rPr>
            </w:pPr>
          </w:p>
        </w:tc>
      </w:tr>
      <w:tr>
        <w:tblPrEx>
          <w:tblCellMar>
            <w:top w:w="0" w:type="dxa"/>
            <w:left w:w="15" w:type="dxa"/>
            <w:bottom w:w="0" w:type="dxa"/>
            <w:right w:w="15" w:type="dxa"/>
          </w:tblCellMar>
        </w:tblPrEx>
        <w:trPr>
          <w:trHeight w:val="30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A/B组UPS电池室</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仿宋gb2312"/>
                <w:sz w:val="24"/>
                <w:szCs w:val="24"/>
              </w:rPr>
            </w:pPr>
            <w:r>
              <w:rPr>
                <w:rFonts w:hint="eastAsia" w:ascii="仿宋" w:hAnsi="仿宋" w:eastAsia="仿宋" w:cs="仿宋gb2312"/>
                <w:sz w:val="24"/>
                <w:szCs w:val="24"/>
              </w:rPr>
              <w:t>放置UPS配套蓄电池组及电池开关箱等相关设备。</w:t>
            </w:r>
          </w:p>
        </w:tc>
        <w:tc>
          <w:tcPr>
            <w:tcW w:w="3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hint="eastAsia" w:ascii="仿宋" w:hAnsi="仿宋" w:eastAsia="仿宋" w:cs="仿宋gb2312"/>
                <w:sz w:val="24"/>
                <w:szCs w:val="24"/>
              </w:rPr>
            </w:pPr>
          </w:p>
        </w:tc>
      </w:tr>
      <w:tr>
        <w:tblPrEx>
          <w:tblCellMar>
            <w:top w:w="0" w:type="dxa"/>
            <w:left w:w="15" w:type="dxa"/>
            <w:bottom w:w="0" w:type="dxa"/>
            <w:right w:w="15" w:type="dxa"/>
          </w:tblCellMar>
        </w:tblPrEx>
        <w:trPr>
          <w:trHeight w:val="30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6</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钢瓶室</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放置灭火气体钢瓶及相关设备。</w:t>
            </w:r>
          </w:p>
        </w:tc>
        <w:tc>
          <w:tcPr>
            <w:tcW w:w="3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hint="eastAsia" w:ascii="仿宋" w:hAnsi="仿宋" w:eastAsia="仿宋" w:cs="Times New Roman"/>
                <w:sz w:val="24"/>
                <w:szCs w:val="24"/>
              </w:rPr>
            </w:pPr>
          </w:p>
        </w:tc>
      </w:tr>
      <w:tr>
        <w:tblPrEx>
          <w:tblCellMar>
            <w:top w:w="0" w:type="dxa"/>
            <w:left w:w="15" w:type="dxa"/>
            <w:bottom w:w="0" w:type="dxa"/>
            <w:right w:w="15" w:type="dxa"/>
          </w:tblCellMar>
        </w:tblPrEx>
        <w:trPr>
          <w:trHeight w:val="285"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7</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新风室</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放置新风机组、相关过滤设备。</w:t>
            </w:r>
          </w:p>
        </w:tc>
        <w:tc>
          <w:tcPr>
            <w:tcW w:w="3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hint="eastAsia" w:ascii="仿宋" w:hAnsi="仿宋" w:eastAsia="仿宋" w:cs="Times New Roman"/>
                <w:sz w:val="24"/>
                <w:szCs w:val="24"/>
              </w:rPr>
            </w:pPr>
          </w:p>
        </w:tc>
      </w:tr>
      <w:tr>
        <w:tblPrEx>
          <w:tblCellMar>
            <w:top w:w="0" w:type="dxa"/>
            <w:left w:w="15" w:type="dxa"/>
            <w:bottom w:w="0" w:type="dxa"/>
            <w:right w:w="15" w:type="dxa"/>
          </w:tblCellMar>
        </w:tblPrEx>
        <w:trPr>
          <w:trHeight w:val="285"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8</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客梯前室</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用于防烟及防火，并作为人流主出入口。</w:t>
            </w:r>
          </w:p>
        </w:tc>
        <w:tc>
          <w:tcPr>
            <w:tcW w:w="3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hint="eastAsia" w:ascii="仿宋" w:hAnsi="仿宋" w:eastAsia="仿宋" w:cs="Times New Roman"/>
                <w:sz w:val="24"/>
                <w:szCs w:val="24"/>
              </w:rPr>
            </w:pPr>
          </w:p>
        </w:tc>
      </w:tr>
    </w:tbl>
    <w:p>
      <w:pPr>
        <w:spacing w:line="560" w:lineRule="exact"/>
        <w:jc w:val="center"/>
        <w:rPr>
          <w:rFonts w:hint="eastAsia" w:ascii="仿宋" w:hAnsi="仿宋"/>
          <w:sz w:val="24"/>
          <w:szCs w:val="24"/>
        </w:rPr>
        <w:sectPr>
          <w:footerReference r:id="rId10" w:type="first"/>
          <w:footerReference r:id="rId9" w:type="default"/>
          <w:pgSz w:w="11906" w:h="16838"/>
          <w:pgMar w:top="1440" w:right="1800" w:bottom="1440" w:left="1800" w:header="851" w:footer="992" w:gutter="0"/>
          <w:pgNumType w:fmt="decimal"/>
          <w:cols w:space="720" w:num="1"/>
          <w:titlePg/>
          <w:docGrid w:type="lines" w:linePitch="381" w:charSpace="0"/>
        </w:sectPr>
      </w:pPr>
    </w:p>
    <w:tbl>
      <w:tblPr>
        <w:tblStyle w:val="24"/>
        <w:tblW w:w="0" w:type="auto"/>
        <w:jc w:val="center"/>
        <w:tblLayout w:type="fixed"/>
        <w:tblCellMar>
          <w:top w:w="0" w:type="dxa"/>
          <w:left w:w="15" w:type="dxa"/>
          <w:bottom w:w="0" w:type="dxa"/>
          <w:right w:w="15" w:type="dxa"/>
        </w:tblCellMar>
      </w:tblPr>
      <w:tblGrid>
        <w:gridCol w:w="526"/>
        <w:gridCol w:w="1474"/>
        <w:gridCol w:w="5953"/>
        <w:gridCol w:w="383"/>
      </w:tblGrid>
      <w:tr>
        <w:tblPrEx>
          <w:tblCellMar>
            <w:top w:w="0" w:type="dxa"/>
            <w:left w:w="15" w:type="dxa"/>
            <w:bottom w:w="0" w:type="dxa"/>
            <w:right w:w="15" w:type="dxa"/>
          </w:tblCellMar>
        </w:tblPrEx>
        <w:trPr>
          <w:trHeight w:val="285"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9</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缓冲区</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用于控制人员的出入，且需带防尾随功能，放置鞋套机、储物柜。</w:t>
            </w:r>
          </w:p>
        </w:tc>
        <w:tc>
          <w:tcPr>
            <w:tcW w:w="3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hint="eastAsia" w:ascii="仿宋" w:hAnsi="仿宋" w:eastAsia="仿宋" w:cs="Times New Roman"/>
                <w:sz w:val="24"/>
                <w:szCs w:val="24"/>
              </w:rPr>
            </w:pPr>
          </w:p>
        </w:tc>
      </w:tr>
      <w:tr>
        <w:tblPrEx>
          <w:tblCellMar>
            <w:top w:w="0" w:type="dxa"/>
            <w:left w:w="15" w:type="dxa"/>
            <w:bottom w:w="0" w:type="dxa"/>
            <w:right w:w="15" w:type="dxa"/>
          </w:tblCellMar>
        </w:tblPrEx>
        <w:trPr>
          <w:trHeight w:val="285"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10</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A/B组强电井</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仿宋gb2312"/>
                <w:sz w:val="24"/>
                <w:szCs w:val="24"/>
              </w:rPr>
              <w:t>敷设IT母排及相关动力的线缆。</w:t>
            </w:r>
          </w:p>
        </w:tc>
        <w:tc>
          <w:tcPr>
            <w:tcW w:w="3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hint="eastAsia" w:ascii="仿宋" w:hAnsi="仿宋" w:eastAsia="仿宋" w:cs="仿宋gb2312"/>
                <w:sz w:val="24"/>
                <w:szCs w:val="24"/>
              </w:rPr>
            </w:pPr>
          </w:p>
        </w:tc>
      </w:tr>
      <w:tr>
        <w:tblPrEx>
          <w:tblCellMar>
            <w:top w:w="0" w:type="dxa"/>
            <w:left w:w="15" w:type="dxa"/>
            <w:bottom w:w="0" w:type="dxa"/>
            <w:right w:w="15" w:type="dxa"/>
          </w:tblCellMar>
        </w:tblPrEx>
        <w:trPr>
          <w:trHeight w:val="285"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11</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A/B组弱电井</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仿宋gb2312"/>
                <w:sz w:val="24"/>
                <w:szCs w:val="24"/>
              </w:rPr>
              <w:t>敷设弱电所有相关系统的线缆。</w:t>
            </w:r>
          </w:p>
        </w:tc>
        <w:tc>
          <w:tcPr>
            <w:tcW w:w="3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hint="eastAsia" w:ascii="仿宋" w:hAnsi="仿宋" w:eastAsia="仿宋" w:cs="仿宋gb2312"/>
                <w:sz w:val="24"/>
                <w:szCs w:val="24"/>
              </w:rPr>
            </w:pPr>
          </w:p>
        </w:tc>
      </w:tr>
      <w:tr>
        <w:tblPrEx>
          <w:tblCellMar>
            <w:top w:w="0" w:type="dxa"/>
            <w:left w:w="15" w:type="dxa"/>
            <w:bottom w:w="0" w:type="dxa"/>
            <w:right w:w="15" w:type="dxa"/>
          </w:tblCellMar>
        </w:tblPrEx>
        <w:trPr>
          <w:trHeight w:val="285"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12</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卫生间</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供ECC及值班人员使用，共用。</w:t>
            </w:r>
          </w:p>
        </w:tc>
        <w:tc>
          <w:tcPr>
            <w:tcW w:w="3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hint="eastAsia" w:ascii="仿宋" w:hAnsi="仿宋" w:eastAsia="仿宋" w:cs="Times New Roman"/>
                <w:sz w:val="24"/>
                <w:szCs w:val="24"/>
              </w:rPr>
            </w:pPr>
          </w:p>
        </w:tc>
      </w:tr>
      <w:tr>
        <w:tblPrEx>
          <w:tblCellMar>
            <w:top w:w="0" w:type="dxa"/>
            <w:left w:w="15" w:type="dxa"/>
            <w:bottom w:w="0" w:type="dxa"/>
            <w:right w:w="15" w:type="dxa"/>
          </w:tblCellMar>
        </w:tblPrEx>
        <w:trPr>
          <w:trHeight w:val="285"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3</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其他</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24"/>
              </w:rPr>
            </w:pPr>
            <w:r>
              <w:rPr>
                <w:rFonts w:hint="eastAsia" w:ascii="仿宋" w:hAnsi="仿宋" w:eastAsia="仿宋" w:cs="Times New Roman"/>
                <w:sz w:val="24"/>
                <w:szCs w:val="24"/>
              </w:rPr>
              <w:t>储存间或休息室。</w:t>
            </w:r>
          </w:p>
        </w:tc>
        <w:tc>
          <w:tcPr>
            <w:tcW w:w="3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hint="eastAsia" w:ascii="仿宋" w:hAnsi="仿宋" w:eastAsia="仿宋" w:cs="Times New Roman"/>
                <w:sz w:val="24"/>
                <w:szCs w:val="24"/>
              </w:rPr>
            </w:pPr>
          </w:p>
        </w:tc>
      </w:tr>
    </w:tbl>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147" w:name="_Toc9901"/>
      <w:r>
        <w:rPr>
          <w:rFonts w:hint="eastAsia" w:ascii="仿宋" w:hAnsi="仿宋" w:eastAsia="仿宋" w:cs="仿宋"/>
          <w:b/>
          <w:bCs/>
          <w:kern w:val="2"/>
          <w:sz w:val="28"/>
          <w:szCs w:val="28"/>
          <w:lang w:val="en-US" w:eastAsia="zh-CN" w:bidi="ar-SA"/>
        </w:rPr>
        <w:t>参考平面布置图（三层）</w:t>
      </w:r>
      <w:bookmarkEnd w:id="147"/>
    </w:p>
    <w:p>
      <w:pPr>
        <w:widowControl/>
        <w:rPr>
          <w:rFonts w:ascii="Calibri" w:hAnsi="Calibri" w:eastAsia="仿宋" w:cs="Times New Roman"/>
          <w:sz w:val="28"/>
          <w:szCs w:val="20"/>
        </w:rPr>
      </w:pPr>
      <w:r>
        <w:rPr>
          <w:rFonts w:ascii="Calibri" w:hAnsi="Calibri" w:eastAsia="仿宋" w:cs="Times New Roman"/>
          <w:sz w:val="28"/>
          <w:szCs w:val="20"/>
        </w:rPr>
        <w:drawing>
          <wp:inline distT="0" distB="0" distL="114300" distR="114300">
            <wp:extent cx="5272405" cy="4203700"/>
            <wp:effectExtent l="0" t="0" r="4445" b="6350"/>
            <wp:docPr id="1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
                    <pic:cNvPicPr>
                      <a:picLocks noChangeAspect="1"/>
                    </pic:cNvPicPr>
                  </pic:nvPicPr>
                  <pic:blipFill>
                    <a:blip r:embed="rId25"/>
                    <a:stretch>
                      <a:fillRect/>
                    </a:stretch>
                  </pic:blipFill>
                  <pic:spPr>
                    <a:xfrm>
                      <a:off x="0" y="0"/>
                      <a:ext cx="5272405" cy="4203700"/>
                    </a:xfrm>
                    <a:prstGeom prst="rect">
                      <a:avLst/>
                    </a:prstGeom>
                    <a:noFill/>
                    <a:ln>
                      <a:noFill/>
                    </a:ln>
                  </pic:spPr>
                </pic:pic>
              </a:graphicData>
            </a:graphic>
          </wp:inline>
        </w:drawing>
      </w:r>
    </w:p>
    <w:p>
      <w:pPr>
        <w:widowControl/>
        <w:rPr>
          <w:rFonts w:hint="eastAsia" w:ascii="Calibri" w:hAnsi="Calibri" w:eastAsia="仿宋" w:cs="Times New Roman"/>
          <w:sz w:val="28"/>
          <w:szCs w:val="20"/>
        </w:rPr>
      </w:pPr>
      <w:r>
        <w:rPr>
          <w:rFonts w:hint="eastAsia" w:ascii="Calibri" w:hAnsi="Calibri" w:eastAsia="仿宋" w:cs="Times New Roman"/>
          <w:sz w:val="28"/>
          <w:szCs w:val="20"/>
        </w:rPr>
        <w:t>注：此图并非最终设计图，投标人须在此平面布置图基础上参考其他需求内容进行深化设计。</w:t>
      </w: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148" w:name="_Toc15290"/>
      <w:r>
        <w:rPr>
          <w:rFonts w:hint="eastAsia" w:ascii="仿宋" w:hAnsi="仿宋" w:eastAsia="仿宋" w:cs="仿宋"/>
          <w:b/>
          <w:bCs/>
          <w:kern w:val="2"/>
          <w:sz w:val="28"/>
          <w:szCs w:val="28"/>
          <w:lang w:val="en-US" w:eastAsia="zh-CN" w:bidi="ar-SA"/>
        </w:rPr>
        <w:t>室外平台</w:t>
      </w:r>
      <w:bookmarkEnd w:id="148"/>
    </w:p>
    <w:tbl>
      <w:tblPr>
        <w:tblStyle w:val="24"/>
        <w:tblW w:w="0" w:type="auto"/>
        <w:jc w:val="center"/>
        <w:tblLayout w:type="fixed"/>
        <w:tblCellMar>
          <w:top w:w="0" w:type="dxa"/>
          <w:left w:w="15" w:type="dxa"/>
          <w:bottom w:w="0" w:type="dxa"/>
          <w:right w:w="15" w:type="dxa"/>
        </w:tblCellMar>
      </w:tblPr>
      <w:tblGrid>
        <w:gridCol w:w="518"/>
        <w:gridCol w:w="1923"/>
        <w:gridCol w:w="3953"/>
        <w:gridCol w:w="1942"/>
      </w:tblGrid>
      <w:tr>
        <w:tblPrEx>
          <w:tblCellMar>
            <w:top w:w="0" w:type="dxa"/>
            <w:left w:w="15" w:type="dxa"/>
            <w:bottom w:w="0" w:type="dxa"/>
            <w:right w:w="15" w:type="dxa"/>
          </w:tblCellMar>
        </w:tblPrEx>
        <w:trPr>
          <w:trHeight w:val="285"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b/>
                <w:bCs/>
                <w:sz w:val="24"/>
                <w:szCs w:val="18"/>
              </w:rPr>
            </w:pPr>
            <w:r>
              <w:rPr>
                <w:rFonts w:hint="eastAsia" w:ascii="仿宋" w:hAnsi="仿宋" w:eastAsia="仿宋" w:cs="Times New Roman"/>
                <w:b/>
                <w:bCs/>
                <w:sz w:val="24"/>
                <w:szCs w:val="18"/>
              </w:rPr>
              <w:t>序号</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b/>
                <w:bCs/>
                <w:sz w:val="24"/>
                <w:szCs w:val="18"/>
              </w:rPr>
            </w:pPr>
            <w:r>
              <w:rPr>
                <w:rFonts w:hint="eastAsia" w:ascii="仿宋" w:hAnsi="仿宋" w:eastAsia="仿宋" w:cs="Times New Roman"/>
                <w:b/>
                <w:bCs/>
                <w:sz w:val="24"/>
                <w:szCs w:val="18"/>
              </w:rPr>
              <w:t>功能间名称</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b/>
                <w:bCs/>
                <w:sz w:val="24"/>
                <w:szCs w:val="18"/>
              </w:rPr>
            </w:pPr>
            <w:r>
              <w:rPr>
                <w:rFonts w:hint="eastAsia" w:ascii="仿宋" w:hAnsi="仿宋" w:eastAsia="仿宋" w:cs="Times New Roman"/>
                <w:b/>
                <w:bCs/>
                <w:sz w:val="24"/>
                <w:szCs w:val="18"/>
              </w:rPr>
              <w:t>主要用途</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501"/>
              <w:jc w:val="center"/>
              <w:rPr>
                <w:rFonts w:hint="eastAsia" w:ascii="仿宋" w:hAnsi="仿宋" w:eastAsia="仿宋" w:cs="Times New Roman"/>
                <w:b/>
                <w:bCs/>
                <w:sz w:val="24"/>
                <w:szCs w:val="18"/>
              </w:rPr>
            </w:pPr>
            <w:r>
              <w:rPr>
                <w:rFonts w:hint="eastAsia" w:ascii="仿宋" w:hAnsi="仿宋" w:eastAsia="仿宋" w:cs="Times New Roman"/>
                <w:b/>
                <w:bCs/>
                <w:sz w:val="24"/>
                <w:szCs w:val="18"/>
              </w:rPr>
              <w:t>备注</w:t>
            </w:r>
          </w:p>
        </w:tc>
      </w:tr>
      <w:tr>
        <w:tblPrEx>
          <w:tblCellMar>
            <w:top w:w="0" w:type="dxa"/>
            <w:left w:w="15" w:type="dxa"/>
            <w:bottom w:w="0" w:type="dxa"/>
            <w:right w:w="15" w:type="dxa"/>
          </w:tblCellMar>
        </w:tblPrEx>
        <w:trPr>
          <w:trHeight w:val="264"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sz w:val="24"/>
                <w:szCs w:val="18"/>
              </w:rPr>
            </w:pPr>
            <w:r>
              <w:rPr>
                <w:rFonts w:hint="eastAsia" w:ascii="仿宋" w:hAnsi="仿宋" w:eastAsia="仿宋" w:cs="Times New Roman"/>
                <w:sz w:val="24"/>
                <w:szCs w:val="18"/>
              </w:rPr>
              <w:t>1</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Times New Roman"/>
                <w:sz w:val="24"/>
                <w:szCs w:val="18"/>
              </w:rPr>
            </w:pPr>
            <w:r>
              <w:rPr>
                <w:rFonts w:hint="eastAsia" w:ascii="仿宋" w:hAnsi="仿宋" w:eastAsia="仿宋" w:cs="Times New Roman"/>
                <w:sz w:val="24"/>
                <w:szCs w:val="18"/>
              </w:rPr>
              <w:t>室外机安装区域</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hint="eastAsia" w:ascii="仿宋" w:hAnsi="仿宋" w:eastAsia="仿宋" w:cs="Times New Roman"/>
                <w:sz w:val="24"/>
                <w:szCs w:val="18"/>
              </w:rPr>
            </w:pPr>
            <w:r>
              <w:rPr>
                <w:rFonts w:hint="eastAsia" w:ascii="仿宋" w:hAnsi="仿宋" w:eastAsia="仿宋" w:cs="仿宋gb2312"/>
                <w:sz w:val="24"/>
                <w:szCs w:val="18"/>
              </w:rPr>
              <w:t>三层所有相关空调的室外机设备等。</w:t>
            </w:r>
          </w:p>
        </w:tc>
        <w:tc>
          <w:tcPr>
            <w:tcW w:w="1942"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rPr>
                <w:rFonts w:hint="eastAsia" w:ascii="仿宋" w:hAnsi="仿宋" w:eastAsia="仿宋" w:cs="仿宋gb2312"/>
                <w:sz w:val="24"/>
                <w:szCs w:val="18"/>
              </w:rPr>
            </w:pPr>
          </w:p>
        </w:tc>
      </w:tr>
    </w:tbl>
    <w:p>
      <w:pPr>
        <w:widowControl/>
        <w:spacing w:line="560" w:lineRule="exact"/>
        <w:textAlignment w:val="center"/>
        <w:rPr>
          <w:rFonts w:hint="eastAsia" w:ascii="仿宋" w:hAnsi="仿宋" w:eastAsia="仿宋" w:cs="仿宋"/>
          <w:b/>
          <w:bCs/>
          <w:sz w:val="28"/>
          <w:szCs w:val="28"/>
        </w:rPr>
      </w:pPr>
    </w:p>
    <w:p>
      <w:pPr>
        <w:widowControl/>
        <w:spacing w:line="560" w:lineRule="exact"/>
        <w:textAlignment w:val="center"/>
        <w:rPr>
          <w:rFonts w:hint="eastAsia" w:ascii="仿宋" w:hAnsi="仿宋" w:eastAsia="仿宋" w:cs="仿宋"/>
          <w:sz w:val="28"/>
          <w:szCs w:val="28"/>
        </w:rPr>
      </w:pPr>
      <w:r>
        <w:rPr>
          <w:rFonts w:hint="eastAsia" w:ascii="仿宋" w:hAnsi="仿宋" w:eastAsia="仿宋" w:cs="仿宋"/>
          <w:b/>
          <w:bCs/>
          <w:sz w:val="28"/>
          <w:szCs w:val="28"/>
        </w:rPr>
        <w:t>注：</w:t>
      </w:r>
      <w:r>
        <w:rPr>
          <w:rFonts w:hint="eastAsia" w:ascii="仿宋" w:hAnsi="仿宋" w:eastAsia="仿宋" w:cs="仿宋"/>
          <w:sz w:val="28"/>
          <w:szCs w:val="28"/>
        </w:rPr>
        <w:t>本章节如存在未提及的内容，但结合本项目是实际需要的，均应包含在本次设计和施工一体化的范围内。</w:t>
      </w:r>
    </w:p>
    <w:p>
      <w:pPr>
        <w:spacing w:line="560" w:lineRule="exact"/>
        <w:textAlignment w:val="center"/>
        <w:rPr>
          <w:rFonts w:hint="eastAsia" w:ascii="仿宋" w:hAnsi="仿宋" w:cs="仿宋"/>
          <w:szCs w:val="28"/>
        </w:rPr>
        <w:sectPr>
          <w:footerReference r:id="rId12" w:type="first"/>
          <w:footerReference r:id="rId11" w:type="default"/>
          <w:pgSz w:w="11906" w:h="16838"/>
          <w:pgMar w:top="1440" w:right="1800" w:bottom="1440" w:left="1800" w:header="851" w:footer="992" w:gutter="0"/>
          <w:pgNumType w:fmt="decimal"/>
          <w:cols w:space="720" w:num="1"/>
          <w:titlePg/>
          <w:docGrid w:type="lines" w:linePitch="381" w:charSpace="0"/>
        </w:sectPr>
      </w:pPr>
    </w:p>
    <w:p>
      <w:pPr>
        <w:numPr>
          <w:ilvl w:val="0"/>
          <w:numId w:val="2"/>
        </w:numPr>
        <w:spacing w:line="560" w:lineRule="exact"/>
        <w:jc w:val="center"/>
        <w:textAlignment w:val="baseline"/>
        <w:outlineLvl w:val="0"/>
        <w:rPr>
          <w:rFonts w:hint="eastAsia" w:ascii="仿宋" w:hAnsi="仿宋" w:eastAsia="仿宋" w:cs="仿宋"/>
          <w:b/>
          <w:color w:val="000000"/>
          <w:kern w:val="2"/>
          <w:sz w:val="30"/>
          <w:szCs w:val="30"/>
          <w:lang w:val="en-US" w:eastAsia="zh-CN" w:bidi="ar-SA"/>
        </w:rPr>
      </w:pPr>
      <w:bookmarkStart w:id="149" w:name="_Toc28982"/>
      <w:r>
        <w:rPr>
          <w:rFonts w:hint="eastAsia" w:ascii="仿宋" w:hAnsi="仿宋" w:eastAsia="仿宋" w:cs="仿宋"/>
          <w:b/>
          <w:color w:val="000000"/>
          <w:kern w:val="2"/>
          <w:sz w:val="30"/>
          <w:szCs w:val="30"/>
          <w:lang w:val="en-US" w:eastAsia="zh-CN" w:bidi="ar-SA"/>
        </w:rPr>
        <w:t>各专业设计与施工要求</w:t>
      </w:r>
      <w:bookmarkEnd w:id="149"/>
    </w:p>
    <w:bookmarkEnd w:id="138"/>
    <w:bookmarkEnd w:id="139"/>
    <w:bookmarkEnd w:id="140"/>
    <w:bookmarkEnd w:id="141"/>
    <w:bookmarkEnd w:id="142"/>
    <w:bookmarkEnd w:id="143"/>
    <w:bookmarkEnd w:id="144"/>
    <w:bookmarkEnd w:id="145"/>
    <w:bookmarkEnd w:id="146"/>
    <w:p>
      <w:pPr>
        <w:widowControl w:val="0"/>
        <w:numPr>
          <w:ilvl w:val="1"/>
          <w:numId w:val="2"/>
        </w:numPr>
        <w:spacing w:line="560" w:lineRule="exact"/>
        <w:jc w:val="left"/>
        <w:textAlignment w:val="baseline"/>
        <w:outlineLvl w:val="1"/>
        <w:rPr>
          <w:rFonts w:ascii="仿宋" w:hAnsi="仿宋" w:eastAsia="仿宋" w:cs="仿宋"/>
          <w:b/>
          <w:bCs/>
          <w:kern w:val="2"/>
          <w:sz w:val="28"/>
          <w:szCs w:val="28"/>
          <w:lang w:val="en-US" w:eastAsia="zh-CN" w:bidi="ar-SA"/>
        </w:rPr>
      </w:pPr>
      <w:bookmarkStart w:id="150" w:name="_Toc24893"/>
      <w:bookmarkStart w:id="151" w:name="_Toc2698"/>
      <w:bookmarkStart w:id="152" w:name="_Toc262677970"/>
      <w:bookmarkStart w:id="153" w:name="_Toc262678178"/>
      <w:bookmarkStart w:id="154" w:name="_Toc29898"/>
      <w:bookmarkStart w:id="155" w:name="_Toc14019"/>
      <w:bookmarkStart w:id="156" w:name="_Toc5835"/>
      <w:bookmarkStart w:id="157" w:name="_Toc262680178"/>
      <w:r>
        <w:rPr>
          <w:rFonts w:hint="eastAsia" w:ascii="仿宋" w:hAnsi="仿宋" w:eastAsia="仿宋" w:cs="仿宋"/>
          <w:b/>
          <w:bCs/>
          <w:kern w:val="2"/>
          <w:sz w:val="28"/>
          <w:szCs w:val="28"/>
          <w:lang w:val="en-US" w:eastAsia="zh-CN" w:bidi="ar-SA"/>
        </w:rPr>
        <w:t>装饰装修系统</w:t>
      </w:r>
      <w:bookmarkEnd w:id="150"/>
      <w:bookmarkEnd w:id="151"/>
      <w:bookmarkEnd w:id="152"/>
      <w:bookmarkEnd w:id="153"/>
      <w:bookmarkEnd w:id="154"/>
      <w:bookmarkEnd w:id="155"/>
      <w:bookmarkEnd w:id="156"/>
      <w:bookmarkEnd w:id="157"/>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158" w:name="_Toc2594"/>
      <w:bookmarkStart w:id="159" w:name="_Toc262678179"/>
      <w:bookmarkStart w:id="160" w:name="_Toc28253"/>
      <w:bookmarkStart w:id="161" w:name="_Toc262680179"/>
      <w:bookmarkStart w:id="162" w:name="_Toc31227"/>
      <w:bookmarkStart w:id="163" w:name="_Toc26445"/>
      <w:bookmarkStart w:id="164" w:name="_Toc505"/>
      <w:bookmarkStart w:id="165" w:name="_Toc262677971"/>
      <w:r>
        <w:rPr>
          <w:rFonts w:hint="eastAsia" w:ascii="楷体" w:hAnsi="楷体" w:eastAsia="仿宋" w:cs="Times New Roman"/>
          <w:b/>
          <w:kern w:val="2"/>
          <w:sz w:val="28"/>
          <w:lang w:val="en-US" w:eastAsia="zh-CN" w:bidi="ar-SA"/>
        </w:rPr>
        <w:t>装修设计原则</w:t>
      </w:r>
      <w:bookmarkEnd w:id="158"/>
      <w:bookmarkEnd w:id="159"/>
      <w:bookmarkEnd w:id="160"/>
      <w:bookmarkEnd w:id="161"/>
      <w:bookmarkEnd w:id="162"/>
      <w:bookmarkEnd w:id="163"/>
      <w:bookmarkEnd w:id="164"/>
      <w:bookmarkEnd w:id="165"/>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机房总体装修方案需要建立在满足使用功能及具备合理性，为室内空间发展争取更大的自由度，并体现机房的文化内涵及现代和谐气息，要求安全可靠、绿色节能、方便实用、经济节约，在空间使用最大化的设计前提下实现可持续发展。</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166" w:name="_Toc29422"/>
      <w:bookmarkStart w:id="167" w:name="_Toc262680180"/>
      <w:bookmarkStart w:id="168" w:name="_Toc262678180"/>
      <w:bookmarkStart w:id="169" w:name="_Toc8456"/>
      <w:bookmarkStart w:id="170" w:name="_Toc23769"/>
      <w:bookmarkStart w:id="171" w:name="_Toc31791"/>
      <w:bookmarkStart w:id="172" w:name="_Toc32207"/>
      <w:bookmarkStart w:id="173" w:name="_Toc262677972"/>
      <w:r>
        <w:rPr>
          <w:rFonts w:hint="eastAsia" w:ascii="楷体" w:hAnsi="楷体" w:eastAsia="仿宋" w:cs="Times New Roman"/>
          <w:b/>
          <w:kern w:val="2"/>
          <w:sz w:val="28"/>
          <w:lang w:val="en-US" w:eastAsia="zh-CN" w:bidi="ar-SA"/>
        </w:rPr>
        <w:t>装饰装修基本需求</w:t>
      </w:r>
      <w:bookmarkEnd w:id="166"/>
      <w:bookmarkEnd w:id="167"/>
      <w:bookmarkEnd w:id="168"/>
      <w:bookmarkEnd w:id="169"/>
      <w:bookmarkEnd w:id="170"/>
      <w:bookmarkEnd w:id="171"/>
      <w:bookmarkEnd w:id="172"/>
      <w:bookmarkEnd w:id="173"/>
    </w:p>
    <w:p>
      <w:pPr>
        <w:widowControl/>
        <w:numPr>
          <w:ilvl w:val="0"/>
          <w:numId w:val="15"/>
        </w:numPr>
        <w:spacing w:line="560" w:lineRule="exact"/>
        <w:ind w:left="0" w:firstLine="0"/>
        <w:rPr>
          <w:rFonts w:hint="eastAsia" w:ascii="仿宋" w:hAnsi="仿宋" w:eastAsia="仿宋" w:cs="仿宋"/>
          <w:bCs/>
          <w:sz w:val="28"/>
          <w:szCs w:val="28"/>
        </w:rPr>
      </w:pPr>
      <w:r>
        <w:rPr>
          <w:rFonts w:hint="eastAsia" w:ascii="仿宋" w:hAnsi="仿宋" w:eastAsia="仿宋" w:cs="仿宋"/>
          <w:bCs/>
          <w:sz w:val="28"/>
          <w:szCs w:val="28"/>
        </w:rPr>
        <w:t>材料选用遵循简洁、明快、大方的宗旨，强调规范性、标准性、实用性。强调现代数据中心的整体效果，避免大面积的平淡感，采用板块元素构筑的吊顶、墙面和地面，互相呼应，展现数据中心的立体效果。用材应选用气密性好、不起尘、易清洁、变形小，具有防火、防潮性能；宜选用亚光材料，避免在数据中心内产生各种干扰光线（反射光、折射光、弦光等）。</w:t>
      </w:r>
    </w:p>
    <w:p>
      <w:pPr>
        <w:widowControl/>
        <w:numPr>
          <w:ilvl w:val="0"/>
          <w:numId w:val="15"/>
        </w:numPr>
        <w:spacing w:line="560" w:lineRule="exact"/>
        <w:ind w:left="0" w:firstLine="0"/>
        <w:rPr>
          <w:rFonts w:hint="eastAsia" w:ascii="仿宋" w:hAnsi="仿宋" w:eastAsia="仿宋" w:cs="仿宋"/>
          <w:bCs/>
          <w:sz w:val="28"/>
          <w:szCs w:val="28"/>
        </w:rPr>
      </w:pPr>
      <w:r>
        <w:rPr>
          <w:rFonts w:hint="eastAsia" w:ascii="仿宋" w:hAnsi="仿宋" w:eastAsia="仿宋" w:cs="仿宋"/>
          <w:bCs/>
          <w:sz w:val="28"/>
          <w:szCs w:val="28"/>
        </w:rPr>
        <w:t>室内天花安装的灯具、风口、火灾探测器等应协调布置，能满足各专业的技术要求，安装位置应整齐、统一，细节尺寸合理、美观。</w:t>
      </w:r>
    </w:p>
    <w:p>
      <w:pPr>
        <w:widowControl/>
        <w:numPr>
          <w:ilvl w:val="0"/>
          <w:numId w:val="15"/>
        </w:numPr>
        <w:spacing w:line="560" w:lineRule="exact"/>
        <w:ind w:left="0" w:firstLine="0"/>
        <w:rPr>
          <w:rFonts w:hint="eastAsia" w:ascii="仿宋" w:hAnsi="仿宋" w:eastAsia="仿宋" w:cs="仿宋"/>
          <w:bCs/>
          <w:sz w:val="28"/>
          <w:szCs w:val="28"/>
        </w:rPr>
      </w:pPr>
      <w:r>
        <w:rPr>
          <w:rFonts w:hint="eastAsia" w:ascii="仿宋" w:hAnsi="仿宋" w:eastAsia="仿宋" w:cs="仿宋"/>
          <w:bCs/>
          <w:sz w:val="28"/>
          <w:szCs w:val="28"/>
        </w:rPr>
        <w:t>数据中心内所有与外界连接的管线槽接口处均应做专用防火封堵处理，以防止虫、鼠进入数据中心。</w:t>
      </w:r>
    </w:p>
    <w:p>
      <w:pPr>
        <w:widowControl/>
        <w:numPr>
          <w:ilvl w:val="0"/>
          <w:numId w:val="15"/>
        </w:numPr>
        <w:spacing w:line="560" w:lineRule="exact"/>
        <w:ind w:left="0" w:firstLine="0"/>
        <w:rPr>
          <w:rFonts w:hint="eastAsia" w:ascii="仿宋" w:hAnsi="仿宋" w:eastAsia="仿宋" w:cs="仿宋"/>
          <w:bCs/>
          <w:sz w:val="28"/>
          <w:szCs w:val="28"/>
        </w:rPr>
      </w:pPr>
      <w:r>
        <w:rPr>
          <w:rFonts w:hint="eastAsia" w:ascii="仿宋" w:hAnsi="仿宋" w:eastAsia="仿宋" w:cs="仿宋"/>
          <w:bCs/>
          <w:sz w:val="28"/>
          <w:szCs w:val="28"/>
        </w:rPr>
        <w:t>所有功能间的楼板及顶部需找平处理，并需在四层楼板全层做防水处理，并需通过防水测试。</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174" w:name="_Toc10477"/>
      <w:bookmarkStart w:id="175" w:name="_Toc9331"/>
      <w:bookmarkStart w:id="176" w:name="_Toc262680182"/>
      <w:bookmarkStart w:id="177" w:name="_Toc262677974"/>
      <w:bookmarkStart w:id="178" w:name="_Toc17975"/>
      <w:bookmarkStart w:id="179" w:name="_Toc3031"/>
      <w:bookmarkStart w:id="180" w:name="_Toc262678182"/>
      <w:bookmarkStart w:id="181" w:name="_Toc14326"/>
      <w:bookmarkStart w:id="182" w:name="_Toc395697954"/>
      <w:r>
        <w:rPr>
          <w:rFonts w:hint="eastAsia" w:ascii="楷体" w:hAnsi="楷体" w:eastAsia="仿宋" w:cs="Times New Roman"/>
          <w:b/>
          <w:kern w:val="2"/>
          <w:sz w:val="28"/>
          <w:lang w:val="en-US" w:eastAsia="zh-CN" w:bidi="ar-SA"/>
        </w:rPr>
        <w:t>各部位设计需求说明</w:t>
      </w:r>
      <w:bookmarkEnd w:id="174"/>
      <w:bookmarkEnd w:id="175"/>
      <w:bookmarkEnd w:id="176"/>
      <w:bookmarkEnd w:id="177"/>
      <w:bookmarkEnd w:id="178"/>
      <w:bookmarkEnd w:id="179"/>
      <w:bookmarkEnd w:id="180"/>
      <w:bookmarkEnd w:id="181"/>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顶面装修</w:t>
      </w:r>
    </w:p>
    <w:p>
      <w:pPr>
        <w:widowControl/>
        <w:numPr>
          <w:ilvl w:val="0"/>
          <w:numId w:val="16"/>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整个机房采用组合式</w:t>
      </w:r>
      <w:r>
        <w:rPr>
          <w:rFonts w:hint="eastAsia" w:ascii="仿宋" w:hAnsi="仿宋" w:eastAsia="仿宋" w:cs="仿宋"/>
          <w:bCs/>
          <w:sz w:val="28"/>
          <w:szCs w:val="28"/>
        </w:rPr>
        <w:t>金属</w:t>
      </w:r>
      <w:r>
        <w:rPr>
          <w:rFonts w:hint="eastAsia" w:ascii="仿宋" w:hAnsi="仿宋" w:eastAsia="仿宋" w:cs="Times New Roman"/>
          <w:sz w:val="28"/>
          <w:szCs w:val="28"/>
        </w:rPr>
        <w:t>吊挂灯带，配置节能灯具和LED灯搭配等。</w:t>
      </w:r>
    </w:p>
    <w:p>
      <w:pPr>
        <w:widowControl/>
        <w:numPr>
          <w:ilvl w:val="0"/>
          <w:numId w:val="1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要求对施工范围内的顶梁进行相关平整处理（外露）。</w:t>
      </w:r>
    </w:p>
    <w:p>
      <w:pPr>
        <w:widowControl/>
        <w:numPr>
          <w:ilvl w:val="0"/>
          <w:numId w:val="1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主机房、空调间、A</w:t>
      </w:r>
      <w:r>
        <w:rPr>
          <w:rFonts w:ascii="仿宋" w:hAnsi="仿宋" w:eastAsia="仿宋" w:cs="Times New Roman"/>
          <w:sz w:val="28"/>
          <w:szCs w:val="28"/>
        </w:rPr>
        <w:t>.B</w:t>
      </w:r>
      <w:r>
        <w:rPr>
          <w:rFonts w:hint="eastAsia" w:ascii="仿宋" w:hAnsi="仿宋" w:eastAsia="仿宋" w:cs="Times New Roman"/>
          <w:sz w:val="28"/>
          <w:szCs w:val="28"/>
        </w:rPr>
        <w:t>配电室、A</w:t>
      </w:r>
      <w:r>
        <w:rPr>
          <w:rFonts w:ascii="仿宋" w:hAnsi="仿宋" w:eastAsia="仿宋" w:cs="Times New Roman"/>
          <w:sz w:val="28"/>
          <w:szCs w:val="28"/>
        </w:rPr>
        <w:t>.B</w:t>
      </w:r>
      <w:r>
        <w:rPr>
          <w:rFonts w:hint="eastAsia" w:ascii="仿宋" w:hAnsi="仿宋" w:eastAsia="仿宋" w:cs="Times New Roman"/>
          <w:sz w:val="28"/>
          <w:szCs w:val="28"/>
        </w:rPr>
        <w:t>电池室等区域顶板保温完成后采用瓦楞板或金属板封闭（烤漆面、IT灰）、吊顶系统、照明灯槽颜色需统一整体考虑。</w:t>
      </w:r>
    </w:p>
    <w:p>
      <w:pPr>
        <w:widowControl/>
        <w:numPr>
          <w:ilvl w:val="0"/>
          <w:numId w:val="16"/>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要求对有密闭吊顶的区域，顶板在封闭前应该在招标人、监理工程师共同进行隐蔽工程检收验收合格后进行。</w:t>
      </w:r>
    </w:p>
    <w:p>
      <w:pPr>
        <w:widowControl/>
        <w:numPr>
          <w:ilvl w:val="0"/>
          <w:numId w:val="1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其他未说明的按国家标准和行业通用做法进行设计和施工。</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地面装修</w:t>
      </w:r>
      <w:bookmarkEnd w:id="182"/>
    </w:p>
    <w:p>
      <w:pPr>
        <w:widowControl/>
        <w:numPr>
          <w:ilvl w:val="0"/>
          <w:numId w:val="17"/>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本项目机房模块区域已有600mm下沉降板处理（7~</w:t>
      </w:r>
      <w:r>
        <w:rPr>
          <w:rFonts w:ascii="仿宋" w:hAnsi="仿宋" w:eastAsia="仿宋" w:cs="Times New Roman"/>
          <w:sz w:val="28"/>
          <w:szCs w:val="28"/>
        </w:rPr>
        <w:t>9</w:t>
      </w:r>
      <w:r>
        <w:rPr>
          <w:rFonts w:hint="eastAsia" w:ascii="仿宋" w:hAnsi="仿宋" w:eastAsia="仿宋" w:cs="Times New Roman"/>
          <w:sz w:val="28"/>
          <w:szCs w:val="28"/>
        </w:rPr>
        <w:t>轴与A~</w:t>
      </w:r>
      <w:r>
        <w:rPr>
          <w:rFonts w:ascii="仿宋" w:hAnsi="仿宋" w:eastAsia="仿宋" w:cs="Times New Roman"/>
          <w:sz w:val="28"/>
          <w:szCs w:val="28"/>
        </w:rPr>
        <w:t>C</w:t>
      </w:r>
      <w:r>
        <w:rPr>
          <w:rFonts w:hint="eastAsia" w:ascii="仿宋" w:hAnsi="仿宋" w:eastAsia="仿宋" w:cs="Times New Roman"/>
          <w:sz w:val="28"/>
          <w:szCs w:val="28"/>
        </w:rPr>
        <w:t>轴），具体请自行现场勘查。</w:t>
      </w:r>
    </w:p>
    <w:p>
      <w:pPr>
        <w:widowControl/>
        <w:numPr>
          <w:ilvl w:val="0"/>
          <w:numId w:val="17"/>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机房铺设防静电地板的区域既可覆盖地板下诸多管线，又形成专用空调送风静压箱。要求下送风的区域全部采用硬性封闭式保温（区域为：地板下地面、地板下四周墙体和柱面，工艺做法要求一致），并在专用空调区周围地板下做挡水围堰（外包合金处理）并设专用地漏，地漏须符合GB50174-2017的要求。</w:t>
      </w:r>
    </w:p>
    <w:p>
      <w:pPr>
        <w:widowControl/>
        <w:numPr>
          <w:ilvl w:val="0"/>
          <w:numId w:val="17"/>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防静电地板的通风地板数量可根据设备实际使用功率核计，同时通风地板应带可调风功能，设计时须注明出风率。</w:t>
      </w:r>
    </w:p>
    <w:p>
      <w:pPr>
        <w:widowControl/>
        <w:numPr>
          <w:ilvl w:val="0"/>
          <w:numId w:val="17"/>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未采用下送风的区域，地板下不需做保温，但需做环氧自流平处理。</w:t>
      </w:r>
    </w:p>
    <w:p>
      <w:pPr>
        <w:widowControl/>
        <w:numPr>
          <w:ilvl w:val="0"/>
          <w:numId w:val="17"/>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地板工艺安装要求。活动地板的下面和地板表面应清洁、无灰尘及遗留的物品；地板表面无划痕，无涂层脱落，边条无破损；铺装后地板整体应稳定牢固，人员在上面行走不应有摇晃感，不应有声响；地板的边条应保证一直线，相邻地板错位不大于1mm；地板的铺设应在室内土建及其余装修面完毕后进行；地板应平整、清洁、干燥、无杂物、无灰尘；重型设备基座固定应完工，设备安装在基座上，基座高度应与地板表面完成高度一致。</w:t>
      </w:r>
    </w:p>
    <w:p>
      <w:pPr>
        <w:widowControl/>
        <w:numPr>
          <w:ilvl w:val="0"/>
          <w:numId w:val="17"/>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其他未说明的按国家标准和行业通用做法进行设计和施工。</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墙体隔断</w:t>
      </w:r>
    </w:p>
    <w:p>
      <w:pPr>
        <w:widowControl/>
        <w:numPr>
          <w:ilvl w:val="0"/>
          <w:numId w:val="18"/>
        </w:numPr>
        <w:spacing w:line="560" w:lineRule="exact"/>
        <w:ind w:left="0" w:firstLine="0"/>
        <w:rPr>
          <w:rFonts w:hint="eastAsia" w:ascii="仿宋" w:hAnsi="仿宋" w:eastAsia="仿宋" w:cs="Times New Roman"/>
          <w:kern w:val="0"/>
          <w:sz w:val="28"/>
          <w:szCs w:val="28"/>
        </w:rPr>
      </w:pPr>
      <w:r>
        <w:rPr>
          <w:rFonts w:hint="eastAsia" w:ascii="仿宋" w:hAnsi="仿宋" w:eastAsia="仿宋" w:cs="Times New Roman"/>
          <w:kern w:val="0"/>
          <w:sz w:val="28"/>
          <w:szCs w:val="28"/>
        </w:rPr>
        <w:t>根据机房实际面积，考虑功能、管理及气体消防等方面的因素，进行适当及合理的隔断分割，且具有一定的防火、隔音、隔热和减少尘埃附着的性能。</w:t>
      </w:r>
    </w:p>
    <w:p>
      <w:pPr>
        <w:widowControl/>
        <w:numPr>
          <w:ilvl w:val="0"/>
          <w:numId w:val="18"/>
        </w:numPr>
        <w:spacing w:line="560" w:lineRule="exact"/>
        <w:ind w:left="0" w:firstLine="0"/>
        <w:rPr>
          <w:rFonts w:ascii="仿宋" w:hAnsi="仿宋" w:eastAsia="仿宋" w:cs="Times New Roman"/>
          <w:kern w:val="0"/>
          <w:sz w:val="28"/>
          <w:szCs w:val="28"/>
        </w:rPr>
      </w:pPr>
      <w:r>
        <w:rPr>
          <w:rFonts w:hint="eastAsia" w:ascii="仿宋" w:hAnsi="仿宋" w:eastAsia="仿宋" w:cs="Times New Roman"/>
          <w:kern w:val="0"/>
          <w:sz w:val="28"/>
          <w:szCs w:val="28"/>
        </w:rPr>
        <w:t>要求不同气体</w:t>
      </w:r>
      <w:r>
        <w:rPr>
          <w:rFonts w:hint="eastAsia" w:ascii="仿宋" w:hAnsi="仿宋" w:eastAsia="仿宋" w:cs="Times New Roman"/>
          <w:sz w:val="28"/>
          <w:szCs w:val="28"/>
        </w:rPr>
        <w:t>灭火</w:t>
      </w:r>
      <w:r>
        <w:rPr>
          <w:rFonts w:hint="eastAsia" w:ascii="仿宋" w:hAnsi="仿宋" w:eastAsia="仿宋" w:cs="Times New Roman"/>
          <w:kern w:val="0"/>
          <w:sz w:val="28"/>
          <w:szCs w:val="28"/>
        </w:rPr>
        <w:t>分区之间的隔断应达到GB50370-2005《气体灭火系统设计规范》及GB50016-2014《建筑设计防火规范》的维护结构承压和耐火极限要求。</w:t>
      </w:r>
    </w:p>
    <w:p>
      <w:pPr>
        <w:widowControl/>
        <w:numPr>
          <w:ilvl w:val="0"/>
          <w:numId w:val="18"/>
        </w:numPr>
        <w:spacing w:line="560" w:lineRule="exact"/>
        <w:ind w:left="0" w:firstLine="0"/>
        <w:rPr>
          <w:rFonts w:ascii="仿宋" w:hAnsi="仿宋" w:eastAsia="仿宋" w:cs="Times New Roman"/>
          <w:kern w:val="0"/>
          <w:sz w:val="28"/>
          <w:szCs w:val="28"/>
        </w:rPr>
      </w:pPr>
      <w:r>
        <w:rPr>
          <w:rFonts w:hint="eastAsia" w:ascii="仿宋" w:hAnsi="仿宋" w:eastAsia="仿宋" w:cs="Times New Roman"/>
          <w:kern w:val="0"/>
          <w:sz w:val="28"/>
          <w:szCs w:val="28"/>
        </w:rPr>
        <w:t>考虑到机房层的参观效果，适当区域的隔断墙体应采用防火玻璃隔断或钢化玻璃隔断，所有玻璃隔断包边的材质要求采用氟碳喷涂材质设计。</w:t>
      </w:r>
    </w:p>
    <w:p>
      <w:pPr>
        <w:widowControl/>
        <w:numPr>
          <w:ilvl w:val="0"/>
          <w:numId w:val="18"/>
        </w:numPr>
        <w:spacing w:line="560" w:lineRule="exact"/>
        <w:ind w:left="0" w:firstLine="0"/>
        <w:rPr>
          <w:rFonts w:hint="eastAsia" w:ascii="仿宋" w:hAnsi="仿宋" w:eastAsia="仿宋" w:cs="Times New Roman"/>
          <w:kern w:val="0"/>
          <w:sz w:val="28"/>
          <w:szCs w:val="28"/>
        </w:rPr>
      </w:pPr>
      <w:r>
        <w:rPr>
          <w:rFonts w:hint="eastAsia" w:ascii="仿宋" w:hAnsi="仿宋" w:eastAsia="仿宋" w:cs="Times New Roman"/>
          <w:kern w:val="0"/>
          <w:sz w:val="28"/>
          <w:szCs w:val="28"/>
        </w:rPr>
        <w:t>要求防火玻璃隔断上方至楼板底部需做相互隔离，采用</w:t>
      </w:r>
      <w:r>
        <w:rPr>
          <w:rFonts w:hint="eastAsia" w:ascii="仿宋" w:hAnsi="仿宋" w:eastAsia="仿宋" w:cs="Times New Roman"/>
          <w:sz w:val="28"/>
          <w:szCs w:val="28"/>
        </w:rPr>
        <w:t>单面双层或双面双层硅酸钙板，并内填保温，</w:t>
      </w:r>
      <w:r>
        <w:rPr>
          <w:rFonts w:hint="eastAsia" w:ascii="仿宋" w:hAnsi="仿宋" w:eastAsia="仿宋" w:cs="Times New Roman"/>
          <w:kern w:val="0"/>
          <w:sz w:val="28"/>
          <w:szCs w:val="28"/>
        </w:rPr>
        <w:t>满足防火规范要求。</w:t>
      </w:r>
    </w:p>
    <w:p>
      <w:pPr>
        <w:widowControl/>
        <w:numPr>
          <w:ilvl w:val="0"/>
          <w:numId w:val="18"/>
        </w:numPr>
        <w:spacing w:line="560" w:lineRule="exact"/>
        <w:ind w:left="0" w:firstLine="0"/>
        <w:rPr>
          <w:rFonts w:ascii="仿宋" w:hAnsi="仿宋" w:eastAsia="仿宋" w:cs="Times New Roman"/>
          <w:kern w:val="0"/>
          <w:sz w:val="28"/>
          <w:szCs w:val="28"/>
        </w:rPr>
      </w:pPr>
      <w:r>
        <w:rPr>
          <w:rFonts w:hint="eastAsia" w:ascii="仿宋" w:hAnsi="仿宋" w:eastAsia="仿宋" w:cs="Times New Roman"/>
          <w:kern w:val="0"/>
          <w:sz w:val="28"/>
          <w:szCs w:val="28"/>
        </w:rPr>
        <w:t>不同消防分区隔断处地板下，均采用同地板高度相等的钢筋混凝土浇筑并做防水、防尘、保温处理，个别管线穿墙需预留孔洞并在安装完成后，采用专用材料封堵严密。</w:t>
      </w:r>
    </w:p>
    <w:p>
      <w:pPr>
        <w:widowControl/>
        <w:numPr>
          <w:ilvl w:val="0"/>
          <w:numId w:val="18"/>
        </w:numPr>
        <w:spacing w:line="560" w:lineRule="exact"/>
        <w:ind w:left="0" w:firstLine="0"/>
        <w:rPr>
          <w:rFonts w:ascii="仿宋" w:hAnsi="仿宋" w:eastAsia="仿宋" w:cs="Times New Roman"/>
          <w:sz w:val="28"/>
          <w:szCs w:val="21"/>
        </w:rPr>
      </w:pPr>
      <w:r>
        <w:rPr>
          <w:rFonts w:hint="eastAsia" w:ascii="仿宋" w:hAnsi="仿宋" w:eastAsia="仿宋" w:cs="Times New Roman"/>
          <w:kern w:val="0"/>
          <w:sz w:val="28"/>
          <w:szCs w:val="28"/>
        </w:rPr>
        <w:t>为了保持机房室内正压，在施工过程中要针对各种管线、线槽等墙面、地面、顶面的开孔做好封堵。密封件及密封材料选用具有优良的防火、防水、防鼠害及渗漏功能的产品。</w:t>
      </w:r>
    </w:p>
    <w:p>
      <w:pPr>
        <w:widowControl/>
        <w:numPr>
          <w:ilvl w:val="0"/>
          <w:numId w:val="18"/>
        </w:numPr>
        <w:spacing w:line="560" w:lineRule="exact"/>
        <w:ind w:left="0" w:firstLine="0"/>
        <w:rPr>
          <w:rFonts w:hint="eastAsia" w:ascii="仿宋" w:hAnsi="仿宋" w:eastAsia="仿宋" w:cs="Times New Roman"/>
          <w:sz w:val="28"/>
          <w:szCs w:val="21"/>
        </w:rPr>
      </w:pPr>
      <w:r>
        <w:rPr>
          <w:rFonts w:hint="eastAsia" w:ascii="仿宋" w:hAnsi="仿宋" w:eastAsia="仿宋" w:cs="Times New Roman"/>
          <w:sz w:val="28"/>
          <w:szCs w:val="28"/>
        </w:rPr>
        <w:t>其他未说明的按国家标准和行业通用做法进行设计和施工。</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4"/>
          <w:lang w:val="en-US" w:eastAsia="zh-CN" w:bidi="ar-SA"/>
        </w:rPr>
      </w:pPr>
      <w:bookmarkStart w:id="183" w:name="_Toc225045554"/>
      <w:r>
        <w:rPr>
          <w:rFonts w:hint="eastAsia" w:ascii="楷体" w:hAnsi="楷体" w:eastAsia="仿宋" w:cs="Times New Roman"/>
          <w:b/>
          <w:kern w:val="2"/>
          <w:sz w:val="28"/>
          <w:szCs w:val="24"/>
          <w:lang w:val="en-US" w:eastAsia="zh-CN" w:bidi="ar-SA"/>
        </w:rPr>
        <w:t>墙面柱面</w:t>
      </w:r>
    </w:p>
    <w:p>
      <w:pPr>
        <w:widowControl/>
        <w:numPr>
          <w:ilvl w:val="0"/>
          <w:numId w:val="1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墙面装修对机房影响极大，本机房墙面要求无论是基层还是面层均应采用防火材料，墙面要求板材强度高，防火及抗电磁干扰能力强，耐污染，易清洗，色调柔和无眩光。</w:t>
      </w:r>
    </w:p>
    <w:p>
      <w:pPr>
        <w:widowControl/>
        <w:numPr>
          <w:ilvl w:val="0"/>
          <w:numId w:val="19"/>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要求主机房及参观走廊区域墙身采用彩钢板处理。机房内若有独立柱体要求采用包圆角，对机柜列中间夹有柱子或因柱子影响无法安装机柜处，应采用与机柜相同的外貌及颜色作假装处理。</w:t>
      </w:r>
    </w:p>
    <w:p>
      <w:pPr>
        <w:widowControl/>
        <w:numPr>
          <w:ilvl w:val="0"/>
          <w:numId w:val="19"/>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彩钢板墙身的踢脚线，应采用合金氟碳喷涂材料并嵌入墙身处理，踢脚线高80~100mm。</w:t>
      </w:r>
    </w:p>
    <w:p>
      <w:pPr>
        <w:widowControl/>
        <w:numPr>
          <w:ilvl w:val="0"/>
          <w:numId w:val="1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 xml:space="preserve">其他功能间如新风室、配电室、电池室、气瓶室等墙身均可采用防火类的饰面材料（如：无机涂料 </w:t>
      </w:r>
      <w:r>
        <w:rPr>
          <w:rFonts w:ascii="仿宋" w:hAnsi="仿宋" w:eastAsia="仿宋" w:cs="Times New Roman"/>
          <w:sz w:val="28"/>
          <w:szCs w:val="28"/>
        </w:rPr>
        <w:t>A</w:t>
      </w:r>
      <w:r>
        <w:rPr>
          <w:rFonts w:hint="eastAsia" w:ascii="仿宋" w:hAnsi="仿宋" w:eastAsia="仿宋" w:cs="Times New Roman"/>
          <w:sz w:val="28"/>
          <w:szCs w:val="28"/>
        </w:rPr>
        <w:t>级）。</w:t>
      </w:r>
    </w:p>
    <w:p>
      <w:pPr>
        <w:widowControl/>
        <w:numPr>
          <w:ilvl w:val="0"/>
          <w:numId w:val="19"/>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彩钢板工艺要求。梁底150mm~200mm以下全部采用彩钢板，以上墙面需采用单面双层或双面双层硅酸钙板封闭严密，并刷与顶板颜色（IT灰）一致的无机涂料（彩钢板与硅酸钙板之间需做合金凹槽伸缩缝）。</w:t>
      </w:r>
    </w:p>
    <w:p>
      <w:pPr>
        <w:widowControl/>
        <w:numPr>
          <w:ilvl w:val="0"/>
          <w:numId w:val="1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其他未说明的按国家标准和行业通用做法进行设计和施工。</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门窗</w:t>
      </w:r>
      <w:bookmarkEnd w:id="183"/>
      <w:r>
        <w:rPr>
          <w:rFonts w:hint="eastAsia" w:ascii="楷体" w:hAnsi="楷体" w:eastAsia="仿宋" w:cs="Times New Roman"/>
          <w:b/>
          <w:kern w:val="2"/>
          <w:sz w:val="28"/>
          <w:szCs w:val="24"/>
          <w:lang w:val="en-US" w:eastAsia="zh-CN" w:bidi="ar-SA"/>
        </w:rPr>
        <w:t>工程</w:t>
      </w:r>
    </w:p>
    <w:p>
      <w:pPr>
        <w:widowControl/>
        <w:numPr>
          <w:ilvl w:val="0"/>
          <w:numId w:val="20"/>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主机房模块、空调间等重要功能区域不应设外窗，如有外窗需进行二次防护封堵，同时应考虑保温、防水及遮挡措施，并需保证不影响大楼外立面的美观。</w:t>
      </w:r>
    </w:p>
    <w:p>
      <w:pPr>
        <w:widowControl/>
        <w:numPr>
          <w:ilvl w:val="0"/>
          <w:numId w:val="20"/>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机房层的玻璃玻璃外窗均应考虑封堵。还应考虑玻璃破碎、更换、维护等的影响，以及考虑防水、应急排水、隔热等处理措施，避免影响机房的使用。封堵的同时要考虑合适的防水措施及遮挡措施，保证大楼外立面的美观。</w:t>
      </w:r>
    </w:p>
    <w:p>
      <w:pPr>
        <w:widowControl/>
        <w:numPr>
          <w:ilvl w:val="0"/>
          <w:numId w:val="20"/>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要求本项目的门采用钢质甲级防火门和玻璃防火门。防火玻璃隔断上的门采用相同等级的配套玻璃防火门，根据情况配防撞门档。门框应与墙面需平齐安装。</w:t>
      </w:r>
    </w:p>
    <w:p>
      <w:pPr>
        <w:widowControl/>
        <w:numPr>
          <w:ilvl w:val="0"/>
          <w:numId w:val="20"/>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所有受门禁系统控制门均应与消防报警信号联动，当有消防警情时应能自动开启，不得影响消防疏散。</w:t>
      </w:r>
    </w:p>
    <w:p>
      <w:pPr>
        <w:widowControl/>
        <w:numPr>
          <w:ilvl w:val="0"/>
          <w:numId w:val="20"/>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所有门框两侧应预留300mm的实体，用于安装相关的门禁及消防设备。</w:t>
      </w:r>
    </w:p>
    <w:p>
      <w:pPr>
        <w:widowControl/>
        <w:numPr>
          <w:ilvl w:val="0"/>
          <w:numId w:val="20"/>
        </w:numPr>
        <w:spacing w:line="560" w:lineRule="exact"/>
        <w:ind w:left="0" w:firstLine="0"/>
        <w:rPr>
          <w:rFonts w:ascii="仿宋" w:hAnsi="仿宋" w:eastAsia="仿宋" w:cs="Times New Roman"/>
          <w:sz w:val="28"/>
          <w:szCs w:val="28"/>
        </w:rPr>
      </w:pPr>
      <w:r>
        <w:rPr>
          <w:rFonts w:hint="eastAsia" w:ascii="仿宋" w:hAnsi="仿宋" w:eastAsia="仿宋" w:cs="仿宋_GB2312"/>
          <w:sz w:val="28"/>
          <w:szCs w:val="28"/>
        </w:rPr>
        <w:t>从机房层通往室外平台，需在原有墙体适当的位置进行开孔及增加门扇，门扇应满足运输最大设备至室外平台的尺寸，且门体需具备防火、防水及带门禁的功能，门体的上方及底部需做特殊的防水处理，且必须原貌修复。</w:t>
      </w:r>
    </w:p>
    <w:p>
      <w:pPr>
        <w:widowControl/>
        <w:numPr>
          <w:ilvl w:val="0"/>
          <w:numId w:val="20"/>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其他未说明的按国家标准和行业通用做法进行设计和施工。</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设备运输</w:t>
      </w:r>
    </w:p>
    <w:p>
      <w:pPr>
        <w:widowControl/>
        <w:spacing w:line="56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应向大楼提出建筑配合机房设备运输及需求条件，例如货梯、吊装口、地面至机房运输路由（宽度、弯曲半径、荷载等）等。</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防尘</w:t>
      </w:r>
    </w:p>
    <w:p>
      <w:pPr>
        <w:widowControl/>
        <w:numPr>
          <w:ilvl w:val="0"/>
          <w:numId w:val="21"/>
        </w:numPr>
        <w:spacing w:line="560" w:lineRule="exact"/>
        <w:ind w:left="0" w:firstLine="0"/>
        <w:rPr>
          <w:rFonts w:hint="eastAsia" w:ascii="仿宋" w:hAnsi="仿宋" w:eastAsia="仿宋" w:cs="仿宋"/>
          <w:sz w:val="28"/>
          <w:szCs w:val="28"/>
        </w:rPr>
      </w:pPr>
      <w:r>
        <w:rPr>
          <w:rFonts w:hint="eastAsia" w:ascii="仿宋" w:hAnsi="仿宋" w:eastAsia="仿宋" w:cs="仿宋"/>
          <w:sz w:val="28"/>
          <w:szCs w:val="28"/>
        </w:rPr>
        <w:t>机房人员主</w:t>
      </w:r>
      <w:r>
        <w:rPr>
          <w:rFonts w:hint="eastAsia" w:ascii="仿宋" w:hAnsi="仿宋" w:eastAsia="仿宋" w:cs="Times New Roman"/>
          <w:sz w:val="28"/>
          <w:szCs w:val="28"/>
        </w:rPr>
        <w:t>出口</w:t>
      </w:r>
      <w:r>
        <w:rPr>
          <w:rFonts w:hint="eastAsia" w:ascii="仿宋" w:hAnsi="仿宋" w:eastAsia="仿宋" w:cs="仿宋"/>
          <w:sz w:val="28"/>
          <w:szCs w:val="28"/>
        </w:rPr>
        <w:t>或通道上需设置一级、二级防尘、防尘带。</w:t>
      </w:r>
    </w:p>
    <w:p>
      <w:pPr>
        <w:widowControl/>
        <w:numPr>
          <w:ilvl w:val="0"/>
          <w:numId w:val="21"/>
        </w:numPr>
        <w:spacing w:line="560" w:lineRule="exact"/>
        <w:ind w:left="0" w:firstLine="0"/>
        <w:rPr>
          <w:rFonts w:ascii="仿宋" w:hAnsi="仿宋" w:eastAsia="仿宋" w:cs="仿宋"/>
          <w:sz w:val="28"/>
          <w:szCs w:val="28"/>
        </w:rPr>
      </w:pPr>
      <w:r>
        <w:rPr>
          <w:rFonts w:hint="eastAsia" w:ascii="仿宋" w:hAnsi="仿宋" w:eastAsia="仿宋" w:cs="仿宋"/>
          <w:sz w:val="28"/>
          <w:szCs w:val="28"/>
        </w:rPr>
        <w:t>所有相关设备的成品保护。</w:t>
      </w:r>
    </w:p>
    <w:p>
      <w:pPr>
        <w:widowControl/>
        <w:numPr>
          <w:ilvl w:val="0"/>
          <w:numId w:val="21"/>
        </w:numPr>
        <w:spacing w:line="560" w:lineRule="exact"/>
        <w:ind w:left="0" w:firstLine="0"/>
        <w:rPr>
          <w:rFonts w:hint="eastAsia" w:ascii="仿宋" w:hAnsi="仿宋" w:eastAsia="仿宋" w:cs="仿宋"/>
          <w:sz w:val="28"/>
          <w:szCs w:val="28"/>
        </w:rPr>
      </w:pPr>
      <w:r>
        <w:rPr>
          <w:rFonts w:hint="eastAsia" w:ascii="仿宋" w:hAnsi="仿宋" w:eastAsia="仿宋" w:cs="Times New Roman"/>
          <w:sz w:val="28"/>
          <w:szCs w:val="28"/>
        </w:rPr>
        <w:t>其他未说明的按国家标准和行业通用做法进行设计和施工。</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钢架基础</w:t>
      </w:r>
    </w:p>
    <w:p>
      <w:pPr>
        <w:widowControl/>
        <w:numPr>
          <w:ilvl w:val="0"/>
          <w:numId w:val="22"/>
        </w:numPr>
        <w:spacing w:line="560" w:lineRule="exact"/>
        <w:ind w:left="0" w:firstLine="0"/>
        <w:rPr>
          <w:rFonts w:hint="eastAsia" w:ascii="仿宋" w:hAnsi="仿宋" w:eastAsia="仿宋" w:cs="仿宋"/>
          <w:sz w:val="28"/>
          <w:szCs w:val="28"/>
        </w:rPr>
      </w:pPr>
      <w:r>
        <w:rPr>
          <w:rFonts w:hint="eastAsia" w:ascii="仿宋" w:hAnsi="仿宋" w:eastAsia="仿宋" w:cs="仿宋"/>
          <w:sz w:val="28"/>
          <w:szCs w:val="28"/>
        </w:rPr>
        <w:t>模块内的一、二阶段机柜均需要制作钢架底座（采用暗装方式）。</w:t>
      </w:r>
    </w:p>
    <w:p>
      <w:pPr>
        <w:widowControl/>
        <w:numPr>
          <w:ilvl w:val="0"/>
          <w:numId w:val="22"/>
        </w:numPr>
        <w:spacing w:line="560" w:lineRule="exact"/>
        <w:ind w:left="0" w:firstLine="0"/>
        <w:rPr>
          <w:rFonts w:hint="eastAsia" w:ascii="仿宋" w:hAnsi="仿宋" w:eastAsia="仿宋" w:cs="仿宋"/>
          <w:sz w:val="28"/>
          <w:szCs w:val="28"/>
        </w:rPr>
      </w:pPr>
      <w:r>
        <w:rPr>
          <w:rFonts w:hint="eastAsia" w:ascii="仿宋" w:hAnsi="仿宋" w:eastAsia="仿宋" w:cs="仿宋"/>
          <w:sz w:val="28"/>
          <w:szCs w:val="28"/>
        </w:rPr>
        <w:t>要求重型设备如精密空调、U</w:t>
      </w:r>
      <w:r>
        <w:rPr>
          <w:rFonts w:ascii="仿宋" w:hAnsi="仿宋" w:eastAsia="仿宋" w:cs="仿宋"/>
          <w:sz w:val="28"/>
          <w:szCs w:val="28"/>
        </w:rPr>
        <w:t>PS</w:t>
      </w:r>
      <w:r>
        <w:rPr>
          <w:rFonts w:hint="eastAsia" w:ascii="仿宋" w:hAnsi="仿宋" w:eastAsia="仿宋" w:cs="仿宋"/>
          <w:sz w:val="28"/>
          <w:szCs w:val="28"/>
        </w:rPr>
        <w:t>等均需做钢架提升底座，钢架底座需满足设备承重要求，长宽为设备大小，高度应与地板完成面高度需一致。</w:t>
      </w:r>
    </w:p>
    <w:p>
      <w:pPr>
        <w:widowControl/>
        <w:numPr>
          <w:ilvl w:val="0"/>
          <w:numId w:val="22"/>
        </w:numPr>
        <w:spacing w:line="560" w:lineRule="exact"/>
        <w:ind w:left="0" w:firstLine="0"/>
        <w:rPr>
          <w:rFonts w:hint="eastAsia" w:ascii="仿宋" w:hAnsi="仿宋" w:eastAsia="仿宋" w:cs="仿宋"/>
          <w:sz w:val="28"/>
          <w:szCs w:val="28"/>
        </w:rPr>
      </w:pPr>
      <w:r>
        <w:rPr>
          <w:rFonts w:hint="eastAsia" w:ascii="仿宋" w:hAnsi="仿宋" w:eastAsia="仿宋" w:cs="仿宋"/>
          <w:sz w:val="28"/>
          <w:szCs w:val="28"/>
        </w:rPr>
        <w:t>辅助功能区所有相关的设备不能直接安装在地台板面，均需做钢架提升底座，钢架底座需满足设备承重要求，长宽为设备大小，高度应与地台板完成面高度需一致。</w:t>
      </w:r>
    </w:p>
    <w:p>
      <w:pPr>
        <w:widowControl/>
        <w:numPr>
          <w:ilvl w:val="0"/>
          <w:numId w:val="22"/>
        </w:numPr>
        <w:spacing w:line="560" w:lineRule="exact"/>
        <w:ind w:left="0" w:firstLine="0"/>
        <w:rPr>
          <w:rFonts w:hint="eastAsia" w:ascii="仿宋" w:hAnsi="仿宋" w:eastAsia="仿宋" w:cs="仿宋"/>
          <w:sz w:val="28"/>
          <w:szCs w:val="28"/>
        </w:rPr>
      </w:pPr>
      <w:r>
        <w:rPr>
          <w:rFonts w:hint="eastAsia" w:ascii="仿宋" w:hAnsi="仿宋" w:eastAsia="仿宋" w:cs="仿宋"/>
          <w:sz w:val="28"/>
          <w:szCs w:val="28"/>
        </w:rPr>
        <w:t>室外机等相关设备均需做槽钢提升底座，需满足设备的承重及通风条件。</w:t>
      </w:r>
    </w:p>
    <w:p>
      <w:pPr>
        <w:widowControl/>
        <w:numPr>
          <w:ilvl w:val="0"/>
          <w:numId w:val="22"/>
        </w:numPr>
        <w:spacing w:line="560" w:lineRule="exact"/>
        <w:ind w:left="0" w:firstLine="0"/>
        <w:rPr>
          <w:rFonts w:hint="eastAsia" w:ascii="仿宋" w:hAnsi="仿宋" w:eastAsia="仿宋" w:cs="仿宋"/>
          <w:sz w:val="28"/>
          <w:szCs w:val="28"/>
        </w:rPr>
      </w:pPr>
      <w:r>
        <w:rPr>
          <w:rFonts w:hint="eastAsia" w:ascii="仿宋" w:hAnsi="仿宋" w:eastAsia="仿宋" w:cs="仿宋"/>
          <w:sz w:val="28"/>
          <w:szCs w:val="28"/>
        </w:rPr>
        <w:t>所有关型钢结构需采用热镀锌材料。</w:t>
      </w:r>
    </w:p>
    <w:p>
      <w:pPr>
        <w:widowControl/>
        <w:numPr>
          <w:ilvl w:val="0"/>
          <w:numId w:val="22"/>
        </w:numPr>
        <w:spacing w:line="560" w:lineRule="exact"/>
        <w:ind w:left="0" w:firstLine="0"/>
        <w:rPr>
          <w:rFonts w:ascii="仿宋" w:hAnsi="仿宋" w:eastAsia="仿宋" w:cs="仿宋"/>
          <w:sz w:val="28"/>
          <w:szCs w:val="28"/>
        </w:rPr>
      </w:pPr>
      <w:r>
        <w:rPr>
          <w:rFonts w:hint="eastAsia" w:ascii="仿宋" w:hAnsi="仿宋" w:eastAsia="仿宋" w:cs="仿宋"/>
          <w:sz w:val="28"/>
          <w:szCs w:val="28"/>
        </w:rPr>
        <w:t>如工程所属地为地震带，所有设备的钢架基础必须从原楼板生根。</w:t>
      </w:r>
    </w:p>
    <w:p>
      <w:pPr>
        <w:widowControl/>
        <w:numPr>
          <w:ilvl w:val="0"/>
          <w:numId w:val="22"/>
        </w:numPr>
        <w:spacing w:line="560" w:lineRule="exact"/>
        <w:ind w:left="0" w:firstLine="0"/>
        <w:rPr>
          <w:rFonts w:hint="eastAsia" w:ascii="仿宋" w:hAnsi="仿宋" w:eastAsia="仿宋" w:cs="仿宋"/>
          <w:sz w:val="28"/>
          <w:szCs w:val="28"/>
        </w:rPr>
      </w:pPr>
      <w:r>
        <w:rPr>
          <w:rFonts w:hint="eastAsia" w:ascii="仿宋" w:hAnsi="仿宋" w:eastAsia="仿宋" w:cs="Times New Roman"/>
          <w:sz w:val="28"/>
          <w:szCs w:val="28"/>
        </w:rPr>
        <w:t>其他未说明的按国家标准和行业通用做法进行设计和施工。</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顶部联合吊挂系统</w:t>
      </w:r>
    </w:p>
    <w:p>
      <w:pPr>
        <w:widowControl/>
        <w:numPr>
          <w:ilvl w:val="0"/>
          <w:numId w:val="23"/>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主机房、空调间、A</w:t>
      </w:r>
      <w:r>
        <w:rPr>
          <w:rFonts w:ascii="仿宋" w:hAnsi="仿宋" w:eastAsia="仿宋" w:cs="Times New Roman"/>
          <w:sz w:val="28"/>
          <w:szCs w:val="28"/>
        </w:rPr>
        <w:t>.B</w:t>
      </w:r>
      <w:r>
        <w:rPr>
          <w:rFonts w:hint="eastAsia" w:ascii="仿宋" w:hAnsi="仿宋" w:eastAsia="仿宋" w:cs="Times New Roman"/>
          <w:sz w:val="28"/>
          <w:szCs w:val="28"/>
        </w:rPr>
        <w:t>配电室、A</w:t>
      </w:r>
      <w:r>
        <w:rPr>
          <w:rFonts w:ascii="仿宋" w:hAnsi="仿宋" w:eastAsia="仿宋" w:cs="Times New Roman"/>
          <w:sz w:val="28"/>
          <w:szCs w:val="28"/>
        </w:rPr>
        <w:t>.B</w:t>
      </w:r>
      <w:r>
        <w:rPr>
          <w:rFonts w:hint="eastAsia" w:ascii="仿宋" w:hAnsi="仿宋" w:eastAsia="仿宋" w:cs="Times New Roman"/>
          <w:sz w:val="28"/>
          <w:szCs w:val="28"/>
        </w:rPr>
        <w:t>电池室等区域设置联合吊挂系统，要求实现装配式及无尘施工，除气体灭火管道外，顶棚所有强、弱电线槽及相关的设备，需固定在吊挂系统型钢。</w:t>
      </w:r>
    </w:p>
    <w:p>
      <w:pPr>
        <w:widowControl/>
        <w:numPr>
          <w:ilvl w:val="0"/>
          <w:numId w:val="2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为满足现状及未来机房的改造及扩容需要，联合吊挂系统设计及施工，均需包含全部横担及所有关的配件，系统的承受力应满足所有设备要求，日后实施时需要求做吊挂测试，所有关型钢结构需采用热镀锌材料。</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保温工程</w:t>
      </w:r>
    </w:p>
    <w:p>
      <w:pPr>
        <w:widowControl/>
        <w:numPr>
          <w:ilvl w:val="0"/>
          <w:numId w:val="24"/>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机房层的六面体均要求做保温，地面需做硬性全封闭式保温(包括地板下四周墙柱体，需与地台板内高度一致)。</w:t>
      </w:r>
    </w:p>
    <w:p>
      <w:pPr>
        <w:widowControl/>
        <w:numPr>
          <w:ilvl w:val="0"/>
          <w:numId w:val="2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其他未说明的按国家标准和行业通用做法进行设计和施工。</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防水及排水工程</w:t>
      </w:r>
    </w:p>
    <w:p>
      <w:pPr>
        <w:widowControl/>
        <w:numPr>
          <w:ilvl w:val="0"/>
          <w:numId w:val="25"/>
        </w:numPr>
        <w:spacing w:line="560" w:lineRule="exact"/>
        <w:ind w:left="0" w:firstLine="0"/>
        <w:rPr>
          <w:rFonts w:hint="eastAsia" w:ascii="仿宋" w:hAnsi="仿宋" w:eastAsia="仿宋" w:cs="Times New Roman"/>
          <w:sz w:val="28"/>
          <w:szCs w:val="28"/>
        </w:rPr>
      </w:pPr>
      <w:bookmarkStart w:id="184" w:name="_Toc269195561"/>
      <w:r>
        <w:rPr>
          <w:rFonts w:hint="eastAsia" w:ascii="仿宋" w:hAnsi="仿宋" w:eastAsia="仿宋" w:cs="Times New Roman"/>
          <w:sz w:val="28"/>
          <w:szCs w:val="28"/>
        </w:rPr>
        <w:t>重要的房间，如主机房、空调间六面体应采用专用防水涂料进行处理。</w:t>
      </w:r>
    </w:p>
    <w:p>
      <w:pPr>
        <w:widowControl/>
        <w:numPr>
          <w:ilvl w:val="0"/>
          <w:numId w:val="2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机房层及其辅助房间的隔断地板下墙体砌筑两侧需做JS防水涂料处理（不少于2遍）；</w:t>
      </w:r>
    </w:p>
    <w:p>
      <w:pPr>
        <w:widowControl/>
        <w:numPr>
          <w:ilvl w:val="0"/>
          <w:numId w:val="2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机房层内所有关隔断处地板下，均采用钢筋混凝土浇筑并做防水处理（需与地台板内高度一致）。</w:t>
      </w:r>
    </w:p>
    <w:p>
      <w:pPr>
        <w:widowControl/>
        <w:numPr>
          <w:ilvl w:val="0"/>
          <w:numId w:val="2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所有下沉区域需设置应急排水及地漏，不应出现单点。</w:t>
      </w:r>
    </w:p>
    <w:p>
      <w:pPr>
        <w:widowControl/>
        <w:numPr>
          <w:ilvl w:val="0"/>
          <w:numId w:val="2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水喷淋与气体灭火分区之间所有的门框底部需做暗装截水措施处理，不允许使用地台孔板或格栅。</w:t>
      </w:r>
    </w:p>
    <w:p>
      <w:pPr>
        <w:widowControl/>
        <w:numPr>
          <w:ilvl w:val="0"/>
          <w:numId w:val="2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如有立管穿越机房，立管的洞口需做好防水处理，立管在机房内应无接口出现，立管洞口四周地面需做好挡水坝。</w:t>
      </w:r>
    </w:p>
    <w:p>
      <w:pPr>
        <w:widowControl/>
        <w:numPr>
          <w:ilvl w:val="0"/>
          <w:numId w:val="2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机房层内应急排水区域的紧急排水必须考虑双管路设计，不能出现单点。</w:t>
      </w:r>
    </w:p>
    <w:p>
      <w:pPr>
        <w:widowControl/>
        <w:numPr>
          <w:ilvl w:val="0"/>
          <w:numId w:val="2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精密空调安装区域地板下方需设置挡水坝（需外包合金处理），挡水坝内需考虑应急排水，并设置专用地漏，立管需单独设置，不应与大楼排水管共用。</w:t>
      </w:r>
    </w:p>
    <w:p>
      <w:pPr>
        <w:widowControl/>
        <w:numPr>
          <w:ilvl w:val="0"/>
          <w:numId w:val="2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水喷淋区域需考虑应急排水，并设置专用地漏，可与精密空调区域的应急排水共用立管，但不能出现单点故障。</w:t>
      </w:r>
    </w:p>
    <w:p>
      <w:pPr>
        <w:widowControl/>
        <w:numPr>
          <w:ilvl w:val="0"/>
          <w:numId w:val="2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精密空调需设置专用排水管，且不能出现单点，用于正常运行状况下的冷凝和外置加湿器的排水。</w:t>
      </w:r>
    </w:p>
    <w:p>
      <w:pPr>
        <w:widowControl/>
        <w:numPr>
          <w:ilvl w:val="0"/>
          <w:numId w:val="2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其他未说明的按国家标准和行业通用做法进行设计和施工。</w:t>
      </w:r>
    </w:p>
    <w:p>
      <w:pPr>
        <w:numPr>
          <w:ilvl w:val="3"/>
          <w:numId w:val="2"/>
        </w:numPr>
        <w:spacing w:before="0" w:beforeLines="0" w:after="0" w:afterLines="0" w:line="560" w:lineRule="exact"/>
        <w:ind w:left="0" w:firstLine="0"/>
        <w:jc w:val="both"/>
        <w:outlineLvl w:val="3"/>
        <w:rPr>
          <w:rFonts w:ascii="楷体" w:hAnsi="楷体" w:eastAsia="仿宋" w:cs="Times New Roman"/>
          <w:b w:val="0"/>
          <w:bCs/>
          <w:kern w:val="2"/>
          <w:sz w:val="28"/>
          <w:szCs w:val="24"/>
          <w:lang w:val="en-US" w:eastAsia="zh-CN" w:bidi="ar-SA"/>
        </w:rPr>
      </w:pPr>
      <w:r>
        <w:rPr>
          <w:rFonts w:hint="eastAsia" w:ascii="楷体" w:hAnsi="楷体" w:eastAsia="仿宋" w:cs="Times New Roman"/>
          <w:b w:val="0"/>
          <w:bCs/>
          <w:kern w:val="2"/>
          <w:sz w:val="28"/>
          <w:szCs w:val="24"/>
          <w:lang w:val="en-US" w:eastAsia="zh-CN" w:bidi="ar-SA"/>
        </w:rPr>
        <w:t>机房承重</w:t>
      </w:r>
    </w:p>
    <w:p>
      <w:pPr>
        <w:widowControl/>
        <w:spacing w:line="56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本项目现有建筑荷载承重为7</w:t>
      </w:r>
      <w:r>
        <w:rPr>
          <w:rFonts w:ascii="仿宋" w:hAnsi="仿宋" w:eastAsia="仿宋" w:cs="Times New Roman"/>
          <w:bCs/>
          <w:sz w:val="28"/>
          <w:szCs w:val="28"/>
        </w:rPr>
        <w:t>.0KN</w:t>
      </w:r>
      <w:r>
        <w:rPr>
          <w:rFonts w:hint="eastAsia" w:ascii="仿宋" w:hAnsi="仿宋" w:eastAsia="仿宋" w:cs="Times New Roman"/>
          <w:bCs/>
          <w:sz w:val="28"/>
          <w:szCs w:val="28"/>
        </w:rPr>
        <w:t>/</w:t>
      </w:r>
      <w:r>
        <w:rPr>
          <w:rFonts w:ascii="仿宋" w:hAnsi="仿宋" w:eastAsia="仿宋" w:cs="Times New Roman"/>
          <w:bCs/>
          <w:sz w:val="28"/>
          <w:szCs w:val="28"/>
        </w:rPr>
        <w:t>M</w:t>
      </w:r>
      <w:r>
        <w:rPr>
          <w:rFonts w:ascii="仿宋" w:hAnsi="仿宋" w:eastAsia="仿宋" w:cs="Times New Roman"/>
          <w:bCs/>
          <w:sz w:val="28"/>
          <w:szCs w:val="28"/>
          <w:vertAlign w:val="superscript"/>
        </w:rPr>
        <w:t>2</w:t>
      </w:r>
      <w:r>
        <w:rPr>
          <w:rFonts w:hint="eastAsia" w:ascii="仿宋" w:hAnsi="仿宋" w:eastAsia="仿宋" w:cs="Times New Roman"/>
          <w:bCs/>
          <w:sz w:val="28"/>
          <w:szCs w:val="28"/>
        </w:rPr>
        <w:t>，招标人需按此数值进行主机房、UPS、配电间、电池室及其他功能区域荷载布局核算和设计。</w:t>
      </w: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185" w:name="_Toc9536"/>
      <w:r>
        <w:rPr>
          <w:rFonts w:hint="eastAsia" w:ascii="仿宋" w:hAnsi="仿宋" w:eastAsia="仿宋" w:cs="仿宋"/>
          <w:b/>
          <w:bCs/>
          <w:kern w:val="2"/>
          <w:sz w:val="28"/>
          <w:szCs w:val="28"/>
          <w:lang w:val="en-US" w:eastAsia="zh-CN" w:bidi="ar-SA"/>
        </w:rPr>
        <w:t>电气系统</w:t>
      </w:r>
      <w:bookmarkEnd w:id="185"/>
      <w:r>
        <w:rPr>
          <w:rFonts w:hint="eastAsia" w:ascii="仿宋" w:hAnsi="仿宋" w:eastAsia="仿宋" w:cs="仿宋"/>
          <w:b/>
          <w:bCs/>
          <w:kern w:val="2"/>
          <w:sz w:val="28"/>
          <w:szCs w:val="28"/>
          <w:lang w:val="en-US" w:eastAsia="zh-CN" w:bidi="ar-SA"/>
        </w:rPr>
        <w:t xml:space="preserve"> </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186" w:name="_Toc21111"/>
      <w:r>
        <w:rPr>
          <w:rFonts w:hint="eastAsia" w:ascii="楷体" w:hAnsi="楷体" w:eastAsia="仿宋" w:cs="Times New Roman"/>
          <w:b/>
          <w:kern w:val="2"/>
          <w:sz w:val="28"/>
          <w:lang w:val="en-US" w:eastAsia="zh-CN" w:bidi="ar-SA"/>
        </w:rPr>
        <w:t>系统框架</w:t>
      </w:r>
      <w:bookmarkEnd w:id="186"/>
    </w:p>
    <w:p>
      <w:pPr>
        <w:widowControl/>
        <w:numPr>
          <w:ilvl w:val="0"/>
          <w:numId w:val="2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专供机房的变配电室设置在本大楼的负一层，分别由2*630KVA变压器（互为热备）及一台0.4KV持续功率为500KW的油机组成，整体大部分已完成，但有少部分还在收尾。现大楼已完成从负一层敷设A/B组的电源及油机合共3组母排至三层，但由于有部分出现单点，因此本项目暂按在负一层完成低压母联及油机切换的程序，最终会由第三方将A/B组IT及动力的母排或电缆，接入至由机房总承包提供的A/B组IT及动力总输入端。</w:t>
      </w:r>
    </w:p>
    <w:p>
      <w:pPr>
        <w:widowControl/>
        <w:numPr>
          <w:ilvl w:val="0"/>
          <w:numId w:val="2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机房低压配电系统采用交流50HZ， 380V/220V，接地系统采用TN-S方式。</w:t>
      </w:r>
    </w:p>
    <w:p>
      <w:pPr>
        <w:widowControl/>
        <w:numPr>
          <w:ilvl w:val="0"/>
          <w:numId w:val="26"/>
        </w:numPr>
        <w:spacing w:line="560" w:lineRule="exact"/>
        <w:ind w:left="0" w:firstLine="0"/>
        <w:rPr>
          <w:rFonts w:hint="eastAsia" w:ascii="仿宋" w:hAnsi="仿宋" w:eastAsia="仿宋" w:cs="Times New Roman"/>
          <w:b/>
          <w:bCs/>
          <w:sz w:val="28"/>
          <w:szCs w:val="28"/>
        </w:rPr>
      </w:pPr>
      <w:r>
        <w:rPr>
          <w:rFonts w:hint="eastAsia" w:ascii="仿宋" w:hAnsi="仿宋" w:eastAsia="仿宋" w:cs="Times New Roman"/>
          <w:b/>
          <w:bCs/>
          <w:sz w:val="28"/>
          <w:szCs w:val="28"/>
        </w:rPr>
        <w:t>所有供电系统的架构（包括线缆、开关、智能母排等）必须按单机柜容量3.0KW进行设计及施工。</w:t>
      </w:r>
    </w:p>
    <w:p>
      <w:pPr>
        <w:widowControl/>
        <w:numPr>
          <w:ilvl w:val="0"/>
          <w:numId w:val="2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A/B组UPS配电室内各设置IT及动力的总开关柜及相关的分支配电柜，负责向整个机房供电。</w:t>
      </w:r>
    </w:p>
    <w:p>
      <w:pPr>
        <w:widowControl/>
        <w:numPr>
          <w:ilvl w:val="0"/>
          <w:numId w:val="26"/>
        </w:numPr>
        <w:spacing w:line="560" w:lineRule="exact"/>
        <w:ind w:left="0" w:firstLine="0"/>
        <w:rPr>
          <w:rFonts w:hint="eastAsia" w:ascii="仿宋" w:hAnsi="仿宋" w:eastAsia="仿宋" w:cs="Times New Roman"/>
          <w:sz w:val="28"/>
          <w:szCs w:val="28"/>
          <w:lang w:val="zh-CN"/>
        </w:rPr>
      </w:pPr>
      <w:bookmarkStart w:id="187" w:name="_Toc25651105"/>
      <w:r>
        <w:rPr>
          <w:rFonts w:hint="eastAsia" w:ascii="仿宋" w:hAnsi="仿宋" w:eastAsia="仿宋" w:cs="Times New Roman"/>
          <w:sz w:val="28"/>
          <w:szCs w:val="28"/>
        </w:rPr>
        <w:t>供电可靠性</w:t>
      </w:r>
      <w:bookmarkEnd w:id="187"/>
      <w:r>
        <w:rPr>
          <w:rFonts w:hint="eastAsia" w:ascii="仿宋" w:hAnsi="仿宋" w:eastAsia="仿宋" w:cs="Times New Roman"/>
          <w:sz w:val="28"/>
          <w:szCs w:val="28"/>
        </w:rPr>
        <w:t>：</w:t>
      </w:r>
      <w:r>
        <w:rPr>
          <w:rFonts w:hint="eastAsia" w:ascii="仿宋" w:hAnsi="仿宋" w:eastAsia="仿宋" w:cs="Times New Roman"/>
          <w:sz w:val="28"/>
          <w:szCs w:val="28"/>
          <w:lang w:val="zh-CN"/>
        </w:rPr>
        <w:t>本数据中心的精密空调、消防设备、应急照明、重要照明等均属一级负荷，其余的动力、照明属二级负荷。</w:t>
      </w:r>
      <w:r>
        <w:rPr>
          <w:rFonts w:hint="eastAsia" w:ascii="仿宋" w:hAnsi="仿宋" w:eastAsia="仿宋" w:cs="Times New Roman"/>
          <w:sz w:val="28"/>
          <w:szCs w:val="28"/>
        </w:rPr>
        <w:t>对于</w:t>
      </w:r>
      <w:r>
        <w:rPr>
          <w:rFonts w:hint="eastAsia" w:ascii="仿宋" w:hAnsi="仿宋" w:eastAsia="仿宋" w:cs="Times New Roman"/>
          <w:sz w:val="28"/>
          <w:szCs w:val="28"/>
          <w:lang w:val="zh-CN"/>
        </w:rPr>
        <w:t>一级负荷中的数据生产</w:t>
      </w:r>
      <w:r>
        <w:rPr>
          <w:rFonts w:hint="eastAsia" w:ascii="仿宋" w:hAnsi="仿宋" w:eastAsia="仿宋" w:cs="Times New Roman"/>
          <w:sz w:val="28"/>
          <w:szCs w:val="28"/>
        </w:rPr>
        <w:t>及相关的</w:t>
      </w:r>
      <w:r>
        <w:rPr>
          <w:rFonts w:hint="eastAsia" w:ascii="仿宋" w:hAnsi="仿宋" w:eastAsia="仿宋" w:cs="Times New Roman"/>
          <w:sz w:val="28"/>
          <w:szCs w:val="28"/>
          <w:lang w:val="zh-CN"/>
        </w:rPr>
        <w:t>设备、精密空调、</w:t>
      </w:r>
      <w:r>
        <w:rPr>
          <w:rFonts w:hint="eastAsia" w:ascii="仿宋" w:hAnsi="仿宋" w:eastAsia="仿宋" w:cs="Times New Roman"/>
          <w:sz w:val="28"/>
          <w:szCs w:val="28"/>
        </w:rPr>
        <w:t>监控中心的空调</w:t>
      </w:r>
      <w:r>
        <w:rPr>
          <w:rFonts w:hint="eastAsia" w:ascii="仿宋" w:hAnsi="仿宋" w:eastAsia="仿宋" w:cs="Times New Roman"/>
          <w:sz w:val="28"/>
          <w:szCs w:val="28"/>
          <w:lang w:val="zh-CN"/>
        </w:rPr>
        <w:t>等则为特别重要负荷。</w:t>
      </w:r>
    </w:p>
    <w:p>
      <w:pPr>
        <w:widowControl/>
        <w:numPr>
          <w:ilvl w:val="0"/>
          <w:numId w:val="2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设置A/B组UPS系统专供机房模块的IT设备，且还应考虑单电源的IT设备。</w:t>
      </w:r>
    </w:p>
    <w:p>
      <w:pPr>
        <w:widowControl/>
        <w:numPr>
          <w:ilvl w:val="0"/>
          <w:numId w:val="2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rPr>
        <w:t>两路市电电源同时发生故障时，油机自动投入(设置), 并承担机房全部的重要负荷。</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188" w:name="_Toc21172"/>
      <w:bookmarkStart w:id="189" w:name="_Toc298314874"/>
      <w:bookmarkStart w:id="190" w:name="_Toc243392573"/>
      <w:bookmarkStart w:id="191" w:name="_Toc254620734"/>
      <w:bookmarkStart w:id="192" w:name="_Toc305230652"/>
      <w:bookmarkStart w:id="193" w:name="_Toc19056"/>
      <w:bookmarkStart w:id="194" w:name="_Toc250016917"/>
      <w:bookmarkStart w:id="195" w:name="_Toc28014"/>
      <w:bookmarkStart w:id="196" w:name="_Toc7908"/>
      <w:r>
        <w:rPr>
          <w:rFonts w:hint="eastAsia" w:ascii="楷体" w:hAnsi="楷体" w:eastAsia="仿宋" w:cs="Times New Roman"/>
          <w:b/>
          <w:kern w:val="2"/>
          <w:sz w:val="28"/>
          <w:lang w:val="en-US" w:eastAsia="zh-CN" w:bidi="ar-SA"/>
        </w:rPr>
        <w:t>低压配电要求</w:t>
      </w:r>
      <w:bookmarkEnd w:id="188"/>
    </w:p>
    <w:bookmarkEnd w:id="189"/>
    <w:bookmarkEnd w:id="190"/>
    <w:bookmarkEnd w:id="191"/>
    <w:bookmarkEnd w:id="192"/>
    <w:bookmarkEnd w:id="193"/>
    <w:bookmarkEnd w:id="194"/>
    <w:bookmarkEnd w:id="195"/>
    <w:bookmarkEnd w:id="196"/>
    <w:p>
      <w:pPr>
        <w:numPr>
          <w:ilvl w:val="3"/>
          <w:numId w:val="2"/>
        </w:numPr>
        <w:spacing w:before="0" w:beforeLines="0" w:after="0" w:afterLines="0" w:line="560" w:lineRule="exact"/>
        <w:ind w:left="0" w:firstLine="0"/>
        <w:jc w:val="both"/>
        <w:outlineLvl w:val="3"/>
        <w:rPr>
          <w:rFonts w:hint="eastAsia" w:ascii="仿宋" w:hAnsi="仿宋" w:eastAsia="仿宋" w:cs="Times New Roman"/>
          <w:b/>
          <w:kern w:val="2"/>
          <w:sz w:val="28"/>
          <w:szCs w:val="24"/>
          <w:lang w:val="en-US" w:eastAsia="zh-CN" w:bidi="ar-SA"/>
        </w:rPr>
      </w:pPr>
      <w:bookmarkStart w:id="197" w:name="_Toc29544"/>
      <w:r>
        <w:rPr>
          <w:rFonts w:hint="eastAsia" w:ascii="仿宋" w:hAnsi="仿宋" w:eastAsia="仿宋" w:cs="Times New Roman"/>
          <w:b/>
          <w:kern w:val="2"/>
          <w:sz w:val="28"/>
          <w:szCs w:val="24"/>
          <w:lang w:val="en-US" w:eastAsia="zh-CN" w:bidi="ar-SA"/>
        </w:rPr>
        <w:t>配电设备基本要求</w:t>
      </w:r>
    </w:p>
    <w:p>
      <w:pPr>
        <w:widowControl/>
        <w:numPr>
          <w:ilvl w:val="0"/>
          <w:numId w:val="27"/>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所有的配电线缆、配电柜及相应的电路，都应满足用电峰值为其设计负荷。</w:t>
      </w:r>
    </w:p>
    <w:p>
      <w:pPr>
        <w:widowControl/>
        <w:numPr>
          <w:ilvl w:val="0"/>
          <w:numId w:val="27"/>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机房低压配电设备需选用可靠性高的，且为一般机房首选的一线知名品牌，由指定授权盘柜厂生产的成套配</w:t>
      </w:r>
      <w:bookmarkEnd w:id="197"/>
      <w:r>
        <w:rPr>
          <w:rFonts w:hint="eastAsia" w:ascii="仿宋" w:hAnsi="仿宋" w:eastAsia="仿宋" w:cs="Times New Roman"/>
          <w:sz w:val="28"/>
          <w:szCs w:val="28"/>
        </w:rPr>
        <w:t>电柜, 并包括设备安装调试等技术支持服务。</w:t>
      </w:r>
    </w:p>
    <w:p>
      <w:pPr>
        <w:widowControl/>
        <w:numPr>
          <w:ilvl w:val="0"/>
          <w:numId w:val="27"/>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 xml:space="preserve"> 低压配电柜所有回路需配置智能电量仪表，可监测例如电压、电流、功率因数、谐波含量等电量参数，并带RS485通讯接口，可免费上传所有监测参数至机房监控系统。</w:t>
      </w:r>
    </w:p>
    <w:p>
      <w:pPr>
        <w:widowControl/>
        <w:numPr>
          <w:ilvl w:val="0"/>
          <w:numId w:val="27"/>
        </w:numPr>
        <w:spacing w:line="560" w:lineRule="exact"/>
        <w:ind w:left="0" w:firstLine="0"/>
        <w:rPr>
          <w:rFonts w:hint="eastAsia" w:ascii="仿宋" w:hAnsi="仿宋" w:eastAsia="仿宋" w:cs="Times New Roman"/>
          <w:sz w:val="28"/>
          <w:szCs w:val="28"/>
        </w:rPr>
      </w:pPr>
      <w:r>
        <w:rPr>
          <w:rFonts w:hint="eastAsia" w:ascii="仿宋" w:hAnsi="仿宋" w:eastAsia="仿宋" w:cs="仿宋"/>
          <w:sz w:val="28"/>
          <w:szCs w:val="28"/>
        </w:rPr>
        <w:t xml:space="preserve"> </w:t>
      </w:r>
      <w:r>
        <w:rPr>
          <w:rFonts w:hint="eastAsia" w:ascii="仿宋" w:hAnsi="仿宋" w:eastAsia="仿宋" w:cs="Times New Roman"/>
          <w:sz w:val="28"/>
          <w:szCs w:val="28"/>
        </w:rPr>
        <w:t>配电柜内的空调动力、事故排风及新风、一般排风、照明、维修插座等应设消防联动装置，确保在发生火灾时能迅速切断电源。</w:t>
      </w:r>
    </w:p>
    <w:p>
      <w:pPr>
        <w:widowControl/>
        <w:numPr>
          <w:ilvl w:val="0"/>
          <w:numId w:val="27"/>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 xml:space="preserve"> 所有低压配电柜的主、分支开关需具备辅助接点及相关的信息采集点。</w:t>
      </w:r>
      <w:bookmarkStart w:id="198" w:name="_Toc305230654"/>
      <w:bookmarkStart w:id="199" w:name="_Toc254620736"/>
      <w:bookmarkStart w:id="200" w:name="_Toc243392574"/>
      <w:bookmarkStart w:id="201" w:name="_Toc4362"/>
      <w:bookmarkStart w:id="202" w:name="_Toc1874"/>
      <w:bookmarkStart w:id="203" w:name="_Toc298314876"/>
      <w:bookmarkStart w:id="204" w:name="_Toc30234"/>
    </w:p>
    <w:bookmarkEnd w:id="198"/>
    <w:bookmarkEnd w:id="199"/>
    <w:bookmarkEnd w:id="200"/>
    <w:bookmarkEnd w:id="201"/>
    <w:bookmarkEnd w:id="202"/>
    <w:bookmarkEnd w:id="203"/>
    <w:bookmarkEnd w:id="204"/>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205" w:name="ups要求"/>
      <w:bookmarkEnd w:id="205"/>
      <w:bookmarkStart w:id="206" w:name="_Toc7622"/>
      <w:bookmarkStart w:id="207" w:name="_Toc5982"/>
      <w:bookmarkStart w:id="208" w:name="_Toc305230651"/>
      <w:bookmarkStart w:id="209" w:name="_Toc11050"/>
      <w:bookmarkStart w:id="210" w:name="_Toc254620732"/>
      <w:bookmarkStart w:id="211" w:name="_Toc243392572"/>
      <w:bookmarkStart w:id="212" w:name="_Toc6916"/>
      <w:bookmarkStart w:id="213" w:name="_Toc31645"/>
      <w:bookmarkStart w:id="214" w:name="_Toc298314873"/>
      <w:r>
        <w:rPr>
          <w:rFonts w:hint="eastAsia" w:ascii="楷体" w:hAnsi="楷体" w:eastAsia="仿宋" w:cs="Times New Roman"/>
          <w:b/>
          <w:kern w:val="2"/>
          <w:sz w:val="28"/>
          <w:lang w:val="en-US" w:eastAsia="zh-CN" w:bidi="ar-SA"/>
        </w:rPr>
        <w:t>不间断电源</w:t>
      </w:r>
      <w:bookmarkEnd w:id="206"/>
      <w:bookmarkEnd w:id="207"/>
    </w:p>
    <w:p>
      <w:pPr>
        <w:widowControl/>
        <w:numPr>
          <w:ilvl w:val="0"/>
          <w:numId w:val="28"/>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机房区IT设备供电系统由A/B两路供电系统组成，</w:t>
      </w:r>
      <w:r>
        <w:rPr>
          <w:rFonts w:hint="eastAsia" w:ascii="仿宋" w:hAnsi="仿宋" w:eastAsia="仿宋" w:cs="Times New Roman"/>
          <w:b/>
          <w:bCs/>
          <w:sz w:val="28"/>
          <w:szCs w:val="28"/>
        </w:rPr>
        <w:t>2套200KVA 高频UPS系统独立设置</w:t>
      </w:r>
      <w:r>
        <w:rPr>
          <w:rFonts w:hint="eastAsia" w:ascii="仿宋" w:hAnsi="仿宋" w:eastAsia="仿宋" w:cs="Times New Roman"/>
          <w:sz w:val="28"/>
          <w:szCs w:val="28"/>
        </w:rPr>
        <w:t>，其中一套作为机房内UPS用电设备的A电源，另外一套作为B电源，组成双路（互为热备）向机房进行供电，UPS供配电设计时需要考虑人工维修旁路，系统不能出现有任何的单点隐患。</w:t>
      </w:r>
    </w:p>
    <w:p>
      <w:pPr>
        <w:widowControl/>
        <w:numPr>
          <w:ilvl w:val="0"/>
          <w:numId w:val="28"/>
        </w:numPr>
        <w:spacing w:line="560" w:lineRule="exact"/>
        <w:ind w:left="0" w:firstLine="0"/>
        <w:rPr>
          <w:rFonts w:hint="eastAsia" w:ascii="仿宋" w:hAnsi="仿宋" w:eastAsia="仿宋" w:cs="Times New Roman"/>
          <w:sz w:val="28"/>
          <w:szCs w:val="28"/>
        </w:rPr>
      </w:pPr>
      <w:r>
        <w:rPr>
          <w:rFonts w:hint="eastAsia" w:ascii="仿宋" w:hAnsi="仿宋" w:eastAsia="仿宋" w:cs="Times New Roman"/>
          <w:b/>
          <w:bCs/>
          <w:sz w:val="28"/>
          <w:szCs w:val="28"/>
        </w:rPr>
        <w:t>每台UPS采用满载15min后备延时</w:t>
      </w:r>
      <w:r>
        <w:rPr>
          <w:rFonts w:hint="eastAsia" w:ascii="仿宋" w:hAnsi="仿宋" w:eastAsia="仿宋" w:cs="Times New Roman"/>
          <w:sz w:val="28"/>
          <w:szCs w:val="28"/>
        </w:rPr>
        <w:t>，需在布置电池位置制作散力架，并根据蓄电池数量体积、重量和机房建筑荷载核算电池室空间布局。</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215" w:name="_Toc28386"/>
      <w:bookmarkStart w:id="216" w:name="_Toc461953498"/>
      <w:r>
        <w:rPr>
          <w:rFonts w:hint="eastAsia" w:ascii="楷体" w:hAnsi="楷体" w:eastAsia="仿宋" w:cs="Times New Roman"/>
          <w:b/>
          <w:kern w:val="2"/>
          <w:sz w:val="28"/>
          <w:lang w:val="en-US" w:eastAsia="zh-CN" w:bidi="ar-SA"/>
        </w:rPr>
        <w:t>低压配电</w:t>
      </w:r>
      <w:bookmarkEnd w:id="215"/>
      <w:bookmarkEnd w:id="216"/>
    </w:p>
    <w:p>
      <w:pPr>
        <w:numPr>
          <w:ilvl w:val="3"/>
          <w:numId w:val="2"/>
        </w:numPr>
        <w:spacing w:before="0" w:beforeLines="0" w:after="0" w:afterLines="0" w:line="560" w:lineRule="exact"/>
        <w:ind w:left="0" w:firstLine="0"/>
        <w:jc w:val="both"/>
        <w:outlineLvl w:val="3"/>
        <w:rPr>
          <w:rFonts w:hint="eastAsia" w:ascii="仿宋" w:hAnsi="仿宋" w:eastAsia="仿宋" w:cs="Times New Roman"/>
          <w:b/>
          <w:kern w:val="2"/>
          <w:sz w:val="28"/>
          <w:szCs w:val="24"/>
          <w:lang w:val="en-US" w:eastAsia="zh-CN" w:bidi="ar-SA"/>
        </w:rPr>
      </w:pPr>
      <w:r>
        <w:rPr>
          <w:rFonts w:hint="eastAsia" w:ascii="仿宋" w:hAnsi="仿宋" w:eastAsia="仿宋" w:cs="Times New Roman"/>
          <w:b/>
          <w:kern w:val="2"/>
          <w:sz w:val="28"/>
          <w:szCs w:val="24"/>
          <w:lang w:val="en-US" w:eastAsia="zh-CN" w:bidi="ar-SA"/>
        </w:rPr>
        <w:t>低压</w:t>
      </w:r>
      <w:bookmarkStart w:id="217" w:name="_Toc298314875"/>
      <w:bookmarkStart w:id="218" w:name="_Toc13429"/>
      <w:bookmarkStart w:id="219" w:name="_Toc305230653"/>
      <w:bookmarkStart w:id="220" w:name="_Toc21445"/>
      <w:bookmarkStart w:id="221" w:name="_Toc12842"/>
      <w:r>
        <w:rPr>
          <w:rFonts w:hint="eastAsia" w:ascii="仿宋" w:hAnsi="仿宋" w:eastAsia="仿宋" w:cs="Times New Roman"/>
          <w:b/>
          <w:kern w:val="2"/>
          <w:sz w:val="28"/>
          <w:szCs w:val="24"/>
          <w:lang w:val="en-US" w:eastAsia="zh-CN" w:bidi="ar-SA"/>
        </w:rPr>
        <w:t>配电结构</w:t>
      </w:r>
    </w:p>
    <w:p>
      <w:pPr>
        <w:widowControl/>
        <w:spacing w:line="56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机房低压配电结构要求如下：</w:t>
      </w:r>
    </w:p>
    <w:tbl>
      <w:tblPr>
        <w:tblStyle w:val="24"/>
        <w:tblW w:w="0" w:type="auto"/>
        <w:jc w:val="center"/>
        <w:tblLayout w:type="fixed"/>
        <w:tblCellMar>
          <w:top w:w="0" w:type="dxa"/>
          <w:left w:w="0" w:type="dxa"/>
          <w:bottom w:w="0" w:type="dxa"/>
          <w:right w:w="0" w:type="dxa"/>
        </w:tblCellMar>
      </w:tblPr>
      <w:tblGrid>
        <w:gridCol w:w="657"/>
        <w:gridCol w:w="8413"/>
      </w:tblGrid>
      <w:tr>
        <w:tblPrEx>
          <w:tblCellMar>
            <w:top w:w="0" w:type="dxa"/>
            <w:left w:w="0" w:type="dxa"/>
            <w:bottom w:w="0" w:type="dxa"/>
            <w:right w:w="0" w:type="dxa"/>
          </w:tblCellMar>
        </w:tblPrEx>
        <w:trPr>
          <w:trHeight w:val="112" w:hRule="atLeast"/>
          <w:jc w:val="center"/>
        </w:trPr>
        <w:tc>
          <w:tcPr>
            <w:tcW w:w="65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序号</w:t>
            </w:r>
          </w:p>
        </w:tc>
        <w:tc>
          <w:tcPr>
            <w:tcW w:w="8413" w:type="dxa"/>
            <w:tcBorders>
              <w:top w:val="single" w:color="000000" w:sz="8" w:space="0"/>
              <w:left w:val="single" w:color="000000" w:sz="8" w:space="0"/>
              <w:bottom w:val="single" w:color="000000" w:sz="8" w:space="0"/>
              <w:right w:val="single" w:color="000000" w:sz="8" w:space="0"/>
            </w:tcBorders>
            <w:noWrap w:val="0"/>
            <w:vAlign w:val="top"/>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基本要求</w:t>
            </w:r>
          </w:p>
        </w:tc>
      </w:tr>
      <w:tr>
        <w:tblPrEx>
          <w:tblCellMar>
            <w:top w:w="0" w:type="dxa"/>
            <w:left w:w="0" w:type="dxa"/>
            <w:bottom w:w="0" w:type="dxa"/>
            <w:right w:w="0" w:type="dxa"/>
          </w:tblCellMar>
        </w:tblPrEx>
        <w:trPr>
          <w:trHeight w:val="112" w:hRule="atLeast"/>
          <w:jc w:val="center"/>
        </w:trPr>
        <w:tc>
          <w:tcPr>
            <w:tcW w:w="65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1</w:t>
            </w:r>
          </w:p>
        </w:tc>
        <w:tc>
          <w:tcPr>
            <w:tcW w:w="8413" w:type="dxa"/>
            <w:tcBorders>
              <w:top w:val="single" w:color="000000" w:sz="8" w:space="0"/>
              <w:left w:val="single" w:color="000000" w:sz="8" w:space="0"/>
              <w:bottom w:val="single" w:color="000000" w:sz="8" w:space="0"/>
              <w:right w:val="single" w:color="000000" w:sz="8" w:space="0"/>
            </w:tcBorders>
            <w:noWrap w:val="0"/>
            <w:vAlign w:val="top"/>
          </w:tcPr>
          <w:p>
            <w:pPr>
              <w:widowControl/>
              <w:spacing w:line="560" w:lineRule="exact"/>
              <w:rPr>
                <w:rFonts w:hint="eastAsia" w:ascii="仿宋" w:hAnsi="仿宋" w:eastAsia="仿宋" w:cs="仿宋"/>
                <w:sz w:val="28"/>
                <w:szCs w:val="21"/>
              </w:rPr>
            </w:pPr>
            <w:r>
              <w:rPr>
                <w:rFonts w:hint="eastAsia" w:ascii="仿宋" w:hAnsi="仿宋" w:eastAsia="仿宋" w:cs="仿宋"/>
                <w:sz w:val="28"/>
                <w:szCs w:val="21"/>
              </w:rPr>
              <w:t>机房区UPS配电、动力配电、消防及应急照明配电需有双路供电保障。</w:t>
            </w:r>
          </w:p>
        </w:tc>
      </w:tr>
      <w:tr>
        <w:tblPrEx>
          <w:tblCellMar>
            <w:top w:w="0" w:type="dxa"/>
            <w:left w:w="0" w:type="dxa"/>
            <w:bottom w:w="0" w:type="dxa"/>
            <w:right w:w="0" w:type="dxa"/>
          </w:tblCellMar>
        </w:tblPrEx>
        <w:trPr>
          <w:trHeight w:val="112" w:hRule="atLeast"/>
          <w:jc w:val="center"/>
        </w:trPr>
        <w:tc>
          <w:tcPr>
            <w:tcW w:w="65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2</w:t>
            </w:r>
          </w:p>
        </w:tc>
        <w:tc>
          <w:tcPr>
            <w:tcW w:w="8413" w:type="dxa"/>
            <w:tcBorders>
              <w:top w:val="single" w:color="000000" w:sz="8" w:space="0"/>
              <w:left w:val="single" w:color="000000" w:sz="8" w:space="0"/>
              <w:bottom w:val="single" w:color="000000" w:sz="8" w:space="0"/>
              <w:right w:val="single" w:color="000000" w:sz="8" w:space="0"/>
            </w:tcBorders>
            <w:noWrap w:val="0"/>
            <w:vAlign w:val="top"/>
          </w:tcPr>
          <w:p>
            <w:pPr>
              <w:widowControl/>
              <w:spacing w:line="560" w:lineRule="exact"/>
              <w:rPr>
                <w:rFonts w:hint="eastAsia" w:ascii="仿宋" w:hAnsi="仿宋" w:eastAsia="仿宋" w:cs="仿宋"/>
                <w:sz w:val="28"/>
                <w:szCs w:val="21"/>
              </w:rPr>
            </w:pPr>
            <w:r>
              <w:rPr>
                <w:rFonts w:hint="eastAsia" w:ascii="仿宋" w:hAnsi="仿宋" w:eastAsia="仿宋" w:cs="仿宋"/>
                <w:sz w:val="28"/>
                <w:szCs w:val="21"/>
              </w:rPr>
              <w:t>机房区UPS配电、动力配电、消防及照明配电等重要设备从配电室以放射式配电，彼此之间相对独立。一般设备的配电方式可采用放射与树干混合方式或链式配电。</w:t>
            </w:r>
          </w:p>
        </w:tc>
      </w:tr>
      <w:tr>
        <w:tblPrEx>
          <w:tblCellMar>
            <w:top w:w="0" w:type="dxa"/>
            <w:left w:w="0" w:type="dxa"/>
            <w:bottom w:w="0" w:type="dxa"/>
            <w:right w:w="0" w:type="dxa"/>
          </w:tblCellMar>
        </w:tblPrEx>
        <w:trPr>
          <w:trHeight w:val="214" w:hRule="atLeast"/>
          <w:jc w:val="center"/>
        </w:trPr>
        <w:tc>
          <w:tcPr>
            <w:tcW w:w="65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3</w:t>
            </w:r>
          </w:p>
        </w:tc>
        <w:tc>
          <w:tcPr>
            <w:tcW w:w="8413" w:type="dxa"/>
            <w:tcBorders>
              <w:top w:val="single" w:color="000000" w:sz="8" w:space="0"/>
              <w:left w:val="single" w:color="000000" w:sz="8" w:space="0"/>
              <w:bottom w:val="single" w:color="000000" w:sz="8" w:space="0"/>
              <w:right w:val="single" w:color="000000" w:sz="8" w:space="0"/>
            </w:tcBorders>
            <w:noWrap w:val="0"/>
            <w:vAlign w:val="top"/>
          </w:tcPr>
          <w:p>
            <w:pPr>
              <w:widowControl/>
              <w:spacing w:line="560" w:lineRule="exact"/>
              <w:rPr>
                <w:rFonts w:hint="eastAsia" w:ascii="仿宋" w:hAnsi="仿宋" w:eastAsia="仿宋" w:cs="仿宋"/>
                <w:sz w:val="28"/>
                <w:szCs w:val="21"/>
              </w:rPr>
            </w:pPr>
            <w:r>
              <w:rPr>
                <w:rFonts w:hint="eastAsia" w:ascii="仿宋" w:hAnsi="仿宋" w:eastAsia="仿宋" w:cs="仿宋"/>
                <w:sz w:val="28"/>
                <w:szCs w:val="21"/>
              </w:rPr>
              <w:t>采用TN-S接线方式。零线和地线分开设置，零地电压应小于1V。</w:t>
            </w:r>
          </w:p>
        </w:tc>
      </w:tr>
      <w:tr>
        <w:tblPrEx>
          <w:tblCellMar>
            <w:top w:w="0" w:type="dxa"/>
            <w:left w:w="0" w:type="dxa"/>
            <w:bottom w:w="0" w:type="dxa"/>
            <w:right w:w="0" w:type="dxa"/>
          </w:tblCellMar>
        </w:tblPrEx>
        <w:trPr>
          <w:trHeight w:val="214" w:hRule="atLeast"/>
          <w:jc w:val="center"/>
        </w:trPr>
        <w:tc>
          <w:tcPr>
            <w:tcW w:w="65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4</w:t>
            </w:r>
          </w:p>
        </w:tc>
        <w:tc>
          <w:tcPr>
            <w:tcW w:w="8413" w:type="dxa"/>
            <w:tcBorders>
              <w:top w:val="single" w:color="000000" w:sz="8" w:space="0"/>
              <w:left w:val="single" w:color="000000" w:sz="8" w:space="0"/>
              <w:bottom w:val="single" w:color="000000" w:sz="8" w:space="0"/>
              <w:right w:val="single" w:color="000000" w:sz="8" w:space="0"/>
            </w:tcBorders>
            <w:noWrap w:val="0"/>
            <w:vAlign w:val="top"/>
          </w:tcPr>
          <w:p>
            <w:pPr>
              <w:widowControl/>
              <w:spacing w:line="560" w:lineRule="exact"/>
              <w:rPr>
                <w:rFonts w:hint="eastAsia" w:ascii="仿宋" w:hAnsi="仿宋" w:eastAsia="仿宋" w:cs="仿宋"/>
                <w:sz w:val="28"/>
                <w:szCs w:val="21"/>
              </w:rPr>
            </w:pPr>
            <w:r>
              <w:rPr>
                <w:rFonts w:hint="eastAsia" w:ascii="仿宋" w:hAnsi="仿宋" w:eastAsia="仿宋" w:cs="仿宋"/>
                <w:sz w:val="28"/>
                <w:szCs w:val="21"/>
              </w:rPr>
              <w:t>机房UPS输出端到用电设备之间的配电, 宜采用分区树干式配电。</w:t>
            </w:r>
          </w:p>
        </w:tc>
      </w:tr>
      <w:tr>
        <w:tblPrEx>
          <w:tblCellMar>
            <w:top w:w="0" w:type="dxa"/>
            <w:left w:w="0" w:type="dxa"/>
            <w:bottom w:w="0" w:type="dxa"/>
            <w:right w:w="0" w:type="dxa"/>
          </w:tblCellMar>
        </w:tblPrEx>
        <w:trPr>
          <w:trHeight w:val="214" w:hRule="atLeast"/>
          <w:jc w:val="center"/>
        </w:trPr>
        <w:tc>
          <w:tcPr>
            <w:tcW w:w="65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5</w:t>
            </w:r>
          </w:p>
        </w:tc>
        <w:tc>
          <w:tcPr>
            <w:tcW w:w="8413" w:type="dxa"/>
            <w:tcBorders>
              <w:top w:val="single" w:color="000000" w:sz="8" w:space="0"/>
              <w:left w:val="single" w:color="000000" w:sz="8" w:space="0"/>
              <w:bottom w:val="single" w:color="000000" w:sz="8" w:space="0"/>
              <w:right w:val="single" w:color="000000" w:sz="8" w:space="0"/>
            </w:tcBorders>
            <w:noWrap w:val="0"/>
            <w:vAlign w:val="top"/>
          </w:tcPr>
          <w:p>
            <w:pPr>
              <w:widowControl/>
              <w:spacing w:line="560" w:lineRule="exact"/>
              <w:rPr>
                <w:rFonts w:hint="eastAsia" w:ascii="仿宋" w:hAnsi="仿宋" w:eastAsia="仿宋" w:cs="仿宋"/>
                <w:sz w:val="28"/>
                <w:szCs w:val="21"/>
              </w:rPr>
            </w:pPr>
            <w:r>
              <w:rPr>
                <w:rFonts w:hint="eastAsia" w:ascii="仿宋" w:hAnsi="仿宋" w:eastAsia="仿宋" w:cs="仿宋"/>
                <w:sz w:val="28"/>
                <w:szCs w:val="21"/>
              </w:rPr>
              <w:t>机房UPS输出端到用电设备之间的配电级数不宜超过三级。</w:t>
            </w:r>
          </w:p>
        </w:tc>
      </w:tr>
      <w:tr>
        <w:tblPrEx>
          <w:tblCellMar>
            <w:top w:w="0" w:type="dxa"/>
            <w:left w:w="0" w:type="dxa"/>
            <w:bottom w:w="0" w:type="dxa"/>
            <w:right w:w="0" w:type="dxa"/>
          </w:tblCellMar>
        </w:tblPrEx>
        <w:trPr>
          <w:trHeight w:val="214" w:hRule="atLeast"/>
          <w:jc w:val="center"/>
        </w:trPr>
        <w:tc>
          <w:tcPr>
            <w:tcW w:w="65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6</w:t>
            </w:r>
          </w:p>
        </w:tc>
        <w:tc>
          <w:tcPr>
            <w:tcW w:w="8413" w:type="dxa"/>
            <w:tcBorders>
              <w:top w:val="single" w:color="000000" w:sz="8" w:space="0"/>
              <w:left w:val="single" w:color="000000" w:sz="8" w:space="0"/>
              <w:bottom w:val="single" w:color="000000" w:sz="8" w:space="0"/>
              <w:right w:val="single" w:color="000000" w:sz="8" w:space="0"/>
            </w:tcBorders>
            <w:noWrap w:val="0"/>
            <w:vAlign w:val="top"/>
          </w:tcPr>
          <w:p>
            <w:pPr>
              <w:widowControl/>
              <w:spacing w:line="560" w:lineRule="exact"/>
              <w:rPr>
                <w:rFonts w:hint="eastAsia" w:ascii="仿宋" w:hAnsi="仿宋" w:eastAsia="仿宋" w:cs="仿宋"/>
                <w:sz w:val="28"/>
                <w:szCs w:val="21"/>
              </w:rPr>
            </w:pPr>
            <w:r>
              <w:rPr>
                <w:rFonts w:hint="eastAsia" w:ascii="仿宋" w:hAnsi="仿宋" w:eastAsia="仿宋" w:cs="仿宋"/>
                <w:sz w:val="28"/>
                <w:szCs w:val="21"/>
              </w:rPr>
              <w:t>尽量缩短机房UPS输出端到用电设备之间的距离。</w:t>
            </w:r>
          </w:p>
        </w:tc>
      </w:tr>
      <w:tr>
        <w:tblPrEx>
          <w:tblCellMar>
            <w:top w:w="0" w:type="dxa"/>
            <w:left w:w="0" w:type="dxa"/>
            <w:bottom w:w="0" w:type="dxa"/>
            <w:right w:w="0" w:type="dxa"/>
          </w:tblCellMar>
        </w:tblPrEx>
        <w:trPr>
          <w:trHeight w:val="214" w:hRule="atLeast"/>
          <w:jc w:val="center"/>
        </w:trPr>
        <w:tc>
          <w:tcPr>
            <w:tcW w:w="65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7</w:t>
            </w:r>
          </w:p>
        </w:tc>
        <w:tc>
          <w:tcPr>
            <w:tcW w:w="8413" w:type="dxa"/>
            <w:tcBorders>
              <w:top w:val="single" w:color="000000" w:sz="8" w:space="0"/>
              <w:left w:val="single" w:color="000000" w:sz="8" w:space="0"/>
              <w:bottom w:val="single" w:color="000000" w:sz="8" w:space="0"/>
              <w:right w:val="single" w:color="000000" w:sz="8" w:space="0"/>
            </w:tcBorders>
            <w:noWrap w:val="0"/>
            <w:vAlign w:val="top"/>
          </w:tcPr>
          <w:p>
            <w:pPr>
              <w:widowControl/>
              <w:spacing w:line="560" w:lineRule="exact"/>
              <w:rPr>
                <w:rFonts w:hint="eastAsia" w:ascii="仿宋" w:hAnsi="仿宋" w:eastAsia="仿宋" w:cs="仿宋"/>
                <w:sz w:val="28"/>
                <w:szCs w:val="21"/>
              </w:rPr>
            </w:pPr>
            <w:r>
              <w:rPr>
                <w:rFonts w:hint="eastAsia" w:ascii="仿宋" w:hAnsi="仿宋" w:eastAsia="仿宋" w:cs="仿宋"/>
                <w:sz w:val="28"/>
                <w:szCs w:val="21"/>
              </w:rPr>
              <w:t xml:space="preserve">机房UPS输出的各级配电柜中, 应对柜内各种配置备用开关，作为应急维修替换用或以后扩容使用。 </w:t>
            </w:r>
          </w:p>
        </w:tc>
      </w:tr>
      <w:tr>
        <w:tblPrEx>
          <w:tblCellMar>
            <w:top w:w="0" w:type="dxa"/>
            <w:left w:w="0" w:type="dxa"/>
            <w:bottom w:w="0" w:type="dxa"/>
            <w:right w:w="0" w:type="dxa"/>
          </w:tblCellMar>
        </w:tblPrEx>
        <w:trPr>
          <w:trHeight w:val="214" w:hRule="atLeast"/>
          <w:jc w:val="center"/>
        </w:trPr>
        <w:tc>
          <w:tcPr>
            <w:tcW w:w="65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8</w:t>
            </w:r>
          </w:p>
        </w:tc>
        <w:tc>
          <w:tcPr>
            <w:tcW w:w="8413" w:type="dxa"/>
            <w:tcBorders>
              <w:top w:val="single" w:color="000000" w:sz="8" w:space="0"/>
              <w:left w:val="single" w:color="000000" w:sz="8" w:space="0"/>
              <w:bottom w:val="single" w:color="000000" w:sz="8" w:space="0"/>
              <w:right w:val="single" w:color="000000" w:sz="8" w:space="0"/>
            </w:tcBorders>
            <w:noWrap w:val="0"/>
            <w:vAlign w:val="top"/>
          </w:tcPr>
          <w:p>
            <w:pPr>
              <w:widowControl/>
              <w:spacing w:line="560" w:lineRule="exact"/>
              <w:rPr>
                <w:rFonts w:hint="eastAsia" w:ascii="仿宋" w:hAnsi="仿宋" w:eastAsia="仿宋" w:cs="仿宋"/>
                <w:sz w:val="28"/>
                <w:szCs w:val="21"/>
              </w:rPr>
            </w:pPr>
            <w:r>
              <w:rPr>
                <w:rFonts w:hint="eastAsia" w:ascii="仿宋" w:hAnsi="仿宋" w:eastAsia="仿宋" w:cs="仿宋"/>
                <w:sz w:val="28"/>
                <w:szCs w:val="21"/>
              </w:rPr>
              <w:t>精密空调配电应按双路电源</w:t>
            </w:r>
            <w:bookmarkEnd w:id="217"/>
            <w:bookmarkEnd w:id="218"/>
            <w:bookmarkEnd w:id="219"/>
            <w:bookmarkEnd w:id="220"/>
            <w:bookmarkEnd w:id="221"/>
            <w:r>
              <w:rPr>
                <w:rFonts w:hint="eastAsia" w:ascii="仿宋" w:hAnsi="仿宋" w:eastAsia="仿宋" w:cs="仿宋"/>
                <w:sz w:val="28"/>
                <w:szCs w:val="21"/>
              </w:rPr>
              <w:t>末端自动切换设置</w:t>
            </w:r>
            <w:r>
              <w:rPr>
                <w:rFonts w:hint="eastAsia" w:ascii="仿宋" w:hAnsi="仿宋" w:eastAsia="仿宋" w:cs="仿宋_GB2312"/>
                <w:sz w:val="28"/>
                <w:szCs w:val="21"/>
              </w:rPr>
              <w:t>。</w:t>
            </w:r>
          </w:p>
        </w:tc>
      </w:tr>
      <w:tr>
        <w:tblPrEx>
          <w:tblCellMar>
            <w:top w:w="0" w:type="dxa"/>
            <w:left w:w="0" w:type="dxa"/>
            <w:bottom w:w="0" w:type="dxa"/>
            <w:right w:w="0" w:type="dxa"/>
          </w:tblCellMar>
        </w:tblPrEx>
        <w:trPr>
          <w:trHeight w:val="214" w:hRule="atLeast"/>
          <w:jc w:val="center"/>
        </w:trPr>
        <w:tc>
          <w:tcPr>
            <w:tcW w:w="65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9</w:t>
            </w:r>
          </w:p>
        </w:tc>
        <w:tc>
          <w:tcPr>
            <w:tcW w:w="8413" w:type="dxa"/>
            <w:tcBorders>
              <w:top w:val="single" w:color="000000" w:sz="8" w:space="0"/>
              <w:left w:val="single" w:color="000000" w:sz="8" w:space="0"/>
              <w:bottom w:val="single" w:color="000000" w:sz="8" w:space="0"/>
              <w:right w:val="single" w:color="000000" w:sz="8" w:space="0"/>
            </w:tcBorders>
            <w:noWrap w:val="0"/>
            <w:vAlign w:val="top"/>
          </w:tcPr>
          <w:p>
            <w:pPr>
              <w:widowControl/>
              <w:spacing w:line="560" w:lineRule="exact"/>
              <w:rPr>
                <w:rFonts w:hint="eastAsia" w:ascii="仿宋" w:hAnsi="仿宋" w:eastAsia="仿宋" w:cs="仿宋"/>
                <w:sz w:val="28"/>
                <w:szCs w:val="21"/>
              </w:rPr>
            </w:pPr>
            <w:r>
              <w:rPr>
                <w:rFonts w:hint="eastAsia" w:ascii="仿宋" w:hAnsi="仿宋" w:eastAsia="仿宋" w:cs="仿宋"/>
                <w:sz w:val="28"/>
                <w:szCs w:val="21"/>
              </w:rPr>
              <w:t>UPS供电回路不宜与动力供电回路共用线槽/桥架。</w:t>
            </w:r>
          </w:p>
        </w:tc>
      </w:tr>
      <w:tr>
        <w:tblPrEx>
          <w:tblCellMar>
            <w:top w:w="0" w:type="dxa"/>
            <w:left w:w="0" w:type="dxa"/>
            <w:bottom w:w="0" w:type="dxa"/>
            <w:right w:w="0" w:type="dxa"/>
          </w:tblCellMar>
        </w:tblPrEx>
        <w:trPr>
          <w:trHeight w:val="214" w:hRule="atLeast"/>
          <w:jc w:val="center"/>
        </w:trPr>
        <w:tc>
          <w:tcPr>
            <w:tcW w:w="65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10</w:t>
            </w:r>
          </w:p>
        </w:tc>
        <w:tc>
          <w:tcPr>
            <w:tcW w:w="8413" w:type="dxa"/>
            <w:tcBorders>
              <w:top w:val="single" w:color="000000" w:sz="8" w:space="0"/>
              <w:left w:val="single" w:color="000000" w:sz="8" w:space="0"/>
              <w:bottom w:val="single" w:color="000000" w:sz="8" w:space="0"/>
              <w:right w:val="single" w:color="000000" w:sz="8" w:space="0"/>
            </w:tcBorders>
            <w:noWrap w:val="0"/>
            <w:vAlign w:val="top"/>
          </w:tcPr>
          <w:p>
            <w:pPr>
              <w:widowControl/>
              <w:spacing w:line="560" w:lineRule="exact"/>
              <w:rPr>
                <w:rFonts w:hint="eastAsia" w:ascii="仿宋" w:hAnsi="仿宋" w:eastAsia="仿宋" w:cs="仿宋"/>
                <w:sz w:val="28"/>
                <w:szCs w:val="21"/>
              </w:rPr>
            </w:pPr>
            <w:r>
              <w:rPr>
                <w:rFonts w:hint="eastAsia" w:ascii="仿宋" w:hAnsi="仿宋" w:eastAsia="仿宋" w:cs="仿宋"/>
                <w:b/>
                <w:bCs/>
                <w:sz w:val="28"/>
                <w:szCs w:val="21"/>
              </w:rPr>
              <w:t>每一个运营商机柜配置一台机架式STS切换电源（16A）</w:t>
            </w:r>
            <w:r>
              <w:rPr>
                <w:rFonts w:hint="eastAsia" w:ascii="Calibri" w:hAnsi="Calibri" w:eastAsia="仿宋" w:cs="Times New Roman"/>
                <w:b/>
                <w:bCs/>
                <w:sz w:val="28"/>
                <w:szCs w:val="20"/>
              </w:rPr>
              <w:t>；网络机柜每组冷通道配备三台机架式</w:t>
            </w:r>
            <w:r>
              <w:rPr>
                <w:rFonts w:hint="eastAsia" w:ascii="仿宋" w:hAnsi="仿宋" w:eastAsia="仿宋" w:cs="仿宋"/>
                <w:b/>
                <w:bCs/>
                <w:sz w:val="28"/>
                <w:szCs w:val="21"/>
              </w:rPr>
              <w:t>STS切换电源(16A)。</w:t>
            </w:r>
          </w:p>
        </w:tc>
      </w:tr>
      <w:bookmarkEnd w:id="208"/>
      <w:bookmarkEnd w:id="209"/>
      <w:bookmarkEnd w:id="210"/>
      <w:bookmarkEnd w:id="211"/>
      <w:bookmarkEnd w:id="212"/>
      <w:bookmarkEnd w:id="213"/>
      <w:bookmarkEnd w:id="214"/>
    </w:tbl>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222" w:name="_Toc25476"/>
      <w:r>
        <w:rPr>
          <w:rFonts w:hint="eastAsia" w:ascii="楷体" w:hAnsi="楷体" w:eastAsia="仿宋" w:cs="Times New Roman"/>
          <w:b/>
          <w:kern w:val="2"/>
          <w:sz w:val="28"/>
          <w:lang w:val="en-US" w:eastAsia="zh-CN" w:bidi="ar-SA"/>
        </w:rPr>
        <w:t>线路敷设</w:t>
      </w:r>
      <w:bookmarkEnd w:id="222"/>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配电线路在穿过楼层时，通过专门的竖井，水平安装时，布放在专门设置的线槽（线管）中。线缆的固定及转弯半径等安装严格依照相关规范要求执行。所有穿墙过孔的桥架或管线均需加设套管或套筒，并需按规范进行防火封堵。</w:t>
      </w:r>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动力布线应符合《低压配电设计规范》GB50054-2011等相关国家和行业标准，动力配电要满足规划用电需求(包括空调配电、照明配电等)，控制回路能够按功能分区进行控制，并考虑一定数量的开关冗余，插座回路设漏电保护开关保护。</w:t>
      </w:r>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供配电系统电缆采用线槽敷设，电缆按电压等级及种类布置在不同的电缆桥架内，电缆截面的面积不大于电缆桥架截面的40%，桥架要求留有余量，以便扩容。水平电缆桥架内敷设的电缆，每隔2m应用尼龙卡带绑线或金属卡子进行固定，垂直在桥架内敷设的电缆，应每隔1.5m固定一次，水平或垂直达不到上述长度至少应固定一次。</w:t>
      </w:r>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所有的干线、支干线及支线电缆在有电缆桥架处均沿桥架敷设。电缆桥架上敷设的电缆在进入和引出桥架时，需穿热镀锌钢管、金属蛇皮管、挠性金属套管或配线槽等保护。配线钢管应配置到用电设备，如不到位，从钢管穿出的导线需穿金属蛇皮管或其他挠性连接管保护，其长度不超过1m。</w:t>
      </w:r>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强电线路与弱电线路应分管（槽）敷设，且两者平行距离应符合相关规范要求。</w:t>
      </w:r>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零线和接地保护线要求单独铺设，严禁零地合一。</w:t>
      </w:r>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配电主干线路采用金属桥架、分支线路采用穿管方式铺设，桥架要求留有余量，以便扩容。金属桥架和管应采用支架方式铺设。</w:t>
      </w:r>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所有机房内部动力布线的电缆和电线选取国内知名品牌的优质阻燃铜芯电缆/线。机房的不穿管电线电缆采用低烟无卤型防火阻燃电缆。</w:t>
      </w:r>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所有回路进行标识的设计和施工，配电母排、电缆、电线两端要求进行标识，以标明回路、桥架和管应进行标识的设计和施工，以标明用于铺设配电母排、电缆、电线的铺设通路。</w:t>
      </w:r>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各IT设备机柜按双电源配电考虑， UPS电源插座采用工业连接器</w:t>
      </w:r>
      <w:bookmarkStart w:id="223" w:name="_Toc1641"/>
      <w:bookmarkStart w:id="224" w:name="_Toc10850"/>
      <w:r>
        <w:rPr>
          <w:rFonts w:hint="eastAsia" w:ascii="仿宋" w:hAnsi="仿宋" w:eastAsia="仿宋" w:cs="Times New Roman"/>
          <w:sz w:val="28"/>
          <w:szCs w:val="28"/>
        </w:rPr>
        <w:t>。</w:t>
      </w:r>
      <w:bookmarkEnd w:id="223"/>
      <w:bookmarkEnd w:id="224"/>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机房模块机柜末端</w:t>
      </w:r>
      <w:r>
        <w:rPr>
          <w:rFonts w:ascii="仿宋" w:hAnsi="仿宋" w:eastAsia="仿宋" w:cs="Times New Roman"/>
          <w:sz w:val="28"/>
          <w:szCs w:val="28"/>
        </w:rPr>
        <w:t>电子信息设备配电</w:t>
      </w:r>
      <w:r>
        <w:rPr>
          <w:rFonts w:hint="eastAsia" w:ascii="仿宋" w:hAnsi="仿宋" w:eastAsia="仿宋" w:cs="Times New Roman"/>
          <w:sz w:val="28"/>
          <w:szCs w:val="28"/>
        </w:rPr>
        <w:t>采用小母线与</w:t>
      </w:r>
      <w:r>
        <w:rPr>
          <w:rFonts w:ascii="仿宋" w:hAnsi="仿宋" w:eastAsia="仿宋" w:cs="Times New Roman"/>
          <w:sz w:val="28"/>
          <w:szCs w:val="28"/>
        </w:rPr>
        <w:t>PDU</w:t>
      </w:r>
      <w:r>
        <w:rPr>
          <w:rFonts w:hint="eastAsia" w:ascii="仿宋" w:hAnsi="仿宋" w:eastAsia="仿宋" w:cs="Times New Roman"/>
          <w:sz w:val="28"/>
          <w:szCs w:val="28"/>
        </w:rPr>
        <w:t>组</w:t>
      </w:r>
      <w:r>
        <w:rPr>
          <w:rFonts w:ascii="仿宋" w:hAnsi="仿宋" w:eastAsia="仿宋" w:cs="Times New Roman"/>
          <w:sz w:val="28"/>
          <w:szCs w:val="28"/>
        </w:rPr>
        <w:t>合的</w:t>
      </w:r>
      <w:r>
        <w:rPr>
          <w:rFonts w:hint="eastAsia" w:ascii="仿宋" w:hAnsi="仿宋" w:eastAsia="仿宋" w:cs="Times New Roman"/>
          <w:sz w:val="28"/>
          <w:szCs w:val="28"/>
        </w:rPr>
        <w:t>配电系统：A、B电源输出至柜顶小母线配</w:t>
      </w:r>
      <w:r>
        <w:rPr>
          <w:rFonts w:ascii="仿宋" w:hAnsi="仿宋" w:eastAsia="仿宋" w:cs="Times New Roman"/>
          <w:sz w:val="28"/>
          <w:szCs w:val="28"/>
        </w:rPr>
        <w:t>电系统的始端箱</w:t>
      </w:r>
      <w:r>
        <w:rPr>
          <w:rFonts w:hint="eastAsia" w:ascii="仿宋" w:hAnsi="仿宋" w:eastAsia="仿宋" w:cs="Times New Roman"/>
          <w:sz w:val="28"/>
          <w:szCs w:val="28"/>
        </w:rPr>
        <w:t>，母</w:t>
      </w:r>
      <w:r>
        <w:rPr>
          <w:rFonts w:ascii="仿宋" w:hAnsi="仿宋" w:eastAsia="仿宋" w:cs="Times New Roman"/>
          <w:sz w:val="28"/>
          <w:szCs w:val="28"/>
        </w:rPr>
        <w:t>线槽与始</w:t>
      </w:r>
      <w:r>
        <w:rPr>
          <w:rFonts w:hint="eastAsia" w:ascii="仿宋" w:hAnsi="仿宋" w:eastAsia="仿宋" w:cs="Times New Roman"/>
          <w:sz w:val="28"/>
          <w:szCs w:val="28"/>
        </w:rPr>
        <w:t>端</w:t>
      </w:r>
      <w:r>
        <w:rPr>
          <w:rFonts w:ascii="仿宋" w:hAnsi="仿宋" w:eastAsia="仿宋" w:cs="Times New Roman"/>
          <w:sz w:val="28"/>
          <w:szCs w:val="28"/>
        </w:rPr>
        <w:t>箱连接安装在机柜上方，</w:t>
      </w:r>
      <w:r>
        <w:rPr>
          <w:rFonts w:hint="eastAsia" w:ascii="仿宋" w:hAnsi="仿宋" w:eastAsia="仿宋" w:cs="Times New Roman"/>
          <w:sz w:val="28"/>
          <w:szCs w:val="28"/>
        </w:rPr>
        <w:t>通过安装在母线槽上的插接箱为机柜供电。每列机柜接插箱配置原则为：最多三个机柜共用一台A电源插接箱、一台B电源插接箱。每个插接箱内设三路32A/1P断路器，并配32A/1P（单项）工业连接器，由工业连接器连接机柜PDU进线电缆。</w:t>
      </w:r>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计算机电源系统的所有接点均应镀铅锡处理，冷压连接。UPS配电要满足规划的计算机设备用电需求，控制回路的设置要合理，能够按功能分区进行控制，并考虑一定数量的开关冗余。</w:t>
      </w:r>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动力配电要满足规划用电需求(包括空调配电、照明配电等)，控制回路能够按功能分区进行控制，并考虑一定数量的开关冗余，插座回路设漏电保护开关</w:t>
      </w:r>
      <w:bookmarkStart w:id="225" w:name="_Toc3167"/>
      <w:bookmarkStart w:id="226" w:name="_Toc262677984"/>
      <w:bookmarkStart w:id="227" w:name="_Toc7418"/>
      <w:bookmarkStart w:id="228" w:name="_Toc31914"/>
      <w:bookmarkStart w:id="229" w:name="_Toc11167"/>
      <w:bookmarkStart w:id="230" w:name="_Toc262678192"/>
      <w:bookmarkStart w:id="231" w:name="_Toc262680192"/>
      <w:r>
        <w:rPr>
          <w:rFonts w:hint="eastAsia" w:ascii="仿宋" w:hAnsi="仿宋" w:eastAsia="仿宋" w:cs="Times New Roman"/>
          <w:sz w:val="28"/>
          <w:szCs w:val="28"/>
        </w:rPr>
        <w:t xml:space="preserve">保护。 </w:t>
      </w:r>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各相</w:t>
      </w:r>
      <w:bookmarkEnd w:id="225"/>
      <w:bookmarkEnd w:id="226"/>
      <w:bookmarkEnd w:id="227"/>
      <w:bookmarkEnd w:id="228"/>
      <w:bookmarkEnd w:id="229"/>
      <w:bookmarkEnd w:id="230"/>
      <w:bookmarkEnd w:id="231"/>
      <w:r>
        <w:rPr>
          <w:rFonts w:hint="eastAsia" w:ascii="仿宋" w:hAnsi="仿宋" w:eastAsia="仿宋" w:cs="Times New Roman"/>
          <w:sz w:val="28"/>
          <w:szCs w:val="28"/>
        </w:rPr>
        <w:t>用电分配要尽量均衡。</w:t>
      </w:r>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消防配电线路穿镀锌焊接钢管明敷时，应在钢管外壁涂防火涂料。消防配电设备应有明显标志。消防配电线路若在金属线槽或金属桥架内敷设时，应采用封闭式金属线槽或桥架，并应采取防火保护措施。消防用电设备的双电源供电线路宜在不同的桥架内敷设，当在同一桥架内敷设时，应采用防火隔板分开。</w:t>
      </w:r>
    </w:p>
    <w:p>
      <w:pPr>
        <w:widowControl/>
        <w:numPr>
          <w:ilvl w:val="0"/>
          <w:numId w:val="2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应急照明回路线管明敷时，需粉刷防火涂料不少于两遍。</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232" w:name="_Toc4331"/>
      <w:r>
        <w:rPr>
          <w:rFonts w:hint="eastAsia" w:ascii="楷体" w:hAnsi="楷体" w:eastAsia="仿宋" w:cs="Times New Roman"/>
          <w:b/>
          <w:kern w:val="2"/>
          <w:sz w:val="28"/>
          <w:lang w:val="en-US" w:eastAsia="zh-CN" w:bidi="ar-SA"/>
        </w:rPr>
        <w:t>电源插座位需求说明</w:t>
      </w:r>
      <w:bookmarkEnd w:id="232"/>
    </w:p>
    <w:p>
      <w:pPr>
        <w:spacing w:line="560" w:lineRule="exac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机房各区域应设置数量适中的市电电源插座, 如：走廊、监控中心、公众区域及机房内都应该设置适当数量的插座，供进行维修、清洁等工作时使用,市电辅助插座均采用墙面暗装，距地300mm,按区域使用功能要求不同设计，并合理布设，且插座回路设漏电保护开关保护。</w:t>
      </w:r>
      <w:bookmarkStart w:id="233" w:name="_Toc9252"/>
      <w:bookmarkStart w:id="234" w:name="_Toc305230657"/>
      <w:bookmarkStart w:id="235" w:name="_Toc24059"/>
      <w:bookmarkStart w:id="236" w:name="_Toc24981"/>
      <w:bookmarkStart w:id="237" w:name="_Toc298314879"/>
      <w:bookmarkStart w:id="238" w:name="_Toc254620739"/>
      <w:bookmarkStart w:id="239" w:name="_Toc243392578"/>
      <w:r>
        <w:rPr>
          <w:rFonts w:hint="eastAsia" w:ascii="仿宋" w:hAnsi="仿宋" w:eastAsia="仿宋" w:cs="仿宋"/>
          <w:kern w:val="2"/>
          <w:sz w:val="28"/>
          <w:szCs w:val="28"/>
          <w:lang w:val="en-US" w:eastAsia="zh-CN" w:bidi="ar-SA"/>
        </w:rPr>
        <w:t>同时必须使用UPS电源的区域都应设置满足使用数量需求的插座。</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240" w:name="_Toc23877"/>
      <w:r>
        <w:rPr>
          <w:rFonts w:hint="eastAsia" w:ascii="楷体" w:hAnsi="楷体" w:eastAsia="仿宋" w:cs="Times New Roman"/>
          <w:b/>
          <w:kern w:val="2"/>
          <w:sz w:val="28"/>
          <w:lang w:val="en-US" w:eastAsia="zh-CN" w:bidi="ar-SA"/>
        </w:rPr>
        <w:t>末端电子信息设备配电</w:t>
      </w:r>
      <w:bookmarkEnd w:id="240"/>
    </w:p>
    <w:p>
      <w:pPr>
        <w:widowControl/>
        <w:spacing w:line="560" w:lineRule="exact"/>
        <w:ind w:firstLine="560" w:firstLineChars="200"/>
        <w:jc w:val="left"/>
        <w:textAlignment w:val="center"/>
        <w:rPr>
          <w:rFonts w:hint="eastAsia" w:ascii="仿宋" w:hAnsi="仿宋" w:eastAsia="仿宋" w:cs="仿宋_GB2312"/>
          <w:bCs/>
          <w:kern w:val="0"/>
          <w:sz w:val="28"/>
          <w:szCs w:val="28"/>
        </w:rPr>
      </w:pPr>
      <w:r>
        <w:rPr>
          <w:rFonts w:hint="eastAsia" w:ascii="仿宋" w:hAnsi="仿宋" w:eastAsia="仿宋" w:cs="仿宋_GB2312"/>
          <w:bCs/>
          <w:kern w:val="0"/>
          <w:sz w:val="28"/>
          <w:szCs w:val="28"/>
        </w:rPr>
        <w:t>机房模块内机柜末端电子信息设备配电，由专用配电母线槽和PDU组成末端的智能配电系统。从UPS的输出端到各IT设备机柜列的始端箱之间的配电，采用配电电缆作为配电干线，从主干配线再分配到每个需要用电的IT机柜之间的配电采用专用配电母线槽配电,各配电母线槽的电源等级根据需要进行设计。</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kern w:val="2"/>
          <w:sz w:val="28"/>
          <w:szCs w:val="24"/>
          <w:lang w:val="en-US" w:eastAsia="zh-CN" w:bidi="ar-SA"/>
        </w:rPr>
      </w:pPr>
      <w:r>
        <w:rPr>
          <w:rFonts w:hint="eastAsia" w:ascii="仿宋" w:hAnsi="仿宋" w:eastAsia="仿宋" w:cs="Times New Roman"/>
          <w:b/>
          <w:kern w:val="2"/>
          <w:sz w:val="28"/>
          <w:szCs w:val="24"/>
          <w:lang w:val="en-US" w:eastAsia="zh-CN" w:bidi="ar-SA"/>
        </w:rPr>
        <w:t>末端专用配电母线槽</w:t>
      </w:r>
    </w:p>
    <w:p>
      <w:pPr>
        <w:widowControl/>
        <w:numPr>
          <w:ilvl w:val="0"/>
          <w:numId w:val="30"/>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电子信息设备的配电采用末端智能配电系统，采用专用智能配电母线，以满足随时可变的用电需求及单相、三相转换，当机柜容量或位置变化时，专用配电母线应能够灵活进行容量和位置调整，即插即用。</w:t>
      </w:r>
    </w:p>
    <w:p>
      <w:pPr>
        <w:widowControl/>
        <w:numPr>
          <w:ilvl w:val="0"/>
          <w:numId w:val="30"/>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末端专用配电母线槽系统主要由始端箱、母线槽、插接箱、母线槽连接、端口盖、悬挂或支持附件组成。母线连接、悬挂或支持需配专业附件，并使用专用工具安装，可实现在机柜上方安装固定。</w:t>
      </w:r>
    </w:p>
    <w:p>
      <w:pPr>
        <w:widowControl/>
        <w:numPr>
          <w:ilvl w:val="0"/>
          <w:numId w:val="30"/>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每列三个机柜为一组（余下一个或两个为一组），每组共用一台A路电源插接箱和一台B路电源插接箱。</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kern w:val="2"/>
          <w:sz w:val="28"/>
          <w:szCs w:val="24"/>
          <w:lang w:val="en-US" w:eastAsia="zh-CN" w:bidi="ar-SA"/>
        </w:rPr>
      </w:pPr>
      <w:r>
        <w:rPr>
          <w:rFonts w:hint="eastAsia" w:ascii="仿宋" w:hAnsi="仿宋" w:eastAsia="仿宋" w:cs="Times New Roman"/>
          <w:b/>
          <w:kern w:val="2"/>
          <w:sz w:val="28"/>
          <w:szCs w:val="24"/>
          <w:lang w:val="en-US" w:eastAsia="zh-CN" w:bidi="ar-SA"/>
        </w:rPr>
        <w:t>PDU</w:t>
      </w:r>
    </w:p>
    <w:p>
      <w:pPr>
        <w:widowControl/>
        <w:numPr>
          <w:ilvl w:val="0"/>
          <w:numId w:val="3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PDU的设计、制造、试验和绝缘等应符合中华人民共和国颁发的GB、行业标准， 以上所有标准均以最新版本为准。当上述标准不一致时按高标准执行。</w:t>
      </w:r>
    </w:p>
    <w:p>
      <w:pPr>
        <w:widowControl/>
        <w:numPr>
          <w:ilvl w:val="0"/>
          <w:numId w:val="31"/>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机房模块机柜要求双路220V供电，每台机柜配置2条PDU（配置情况暂定如下表，中标后根据招标人实际设备类型进行深化），用于IT设备供电，以保证设备的双路供电。</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241" w:name="_Toc22329"/>
      <w:r>
        <w:rPr>
          <w:rFonts w:hint="eastAsia" w:ascii="楷体" w:hAnsi="楷体" w:eastAsia="仿宋" w:cs="Times New Roman"/>
          <w:b/>
          <w:kern w:val="2"/>
          <w:sz w:val="28"/>
          <w:lang w:val="en-US" w:eastAsia="zh-CN" w:bidi="ar-SA"/>
        </w:rPr>
        <w:t>照明</w:t>
      </w:r>
      <w:bookmarkEnd w:id="241"/>
    </w:p>
    <w:p>
      <w:pPr>
        <w:numPr>
          <w:ilvl w:val="3"/>
          <w:numId w:val="2"/>
        </w:numPr>
        <w:spacing w:before="0" w:beforeLines="0" w:after="0" w:afterLines="0" w:line="560" w:lineRule="exact"/>
        <w:ind w:left="0" w:firstLine="0"/>
        <w:jc w:val="both"/>
        <w:outlineLvl w:val="3"/>
        <w:rPr>
          <w:rFonts w:hint="eastAsia" w:ascii="仿宋" w:hAnsi="仿宋" w:eastAsia="仿宋" w:cs="Times New Roman"/>
          <w:b/>
          <w:kern w:val="2"/>
          <w:sz w:val="28"/>
          <w:szCs w:val="24"/>
          <w:lang w:val="en-US" w:eastAsia="zh-CN" w:bidi="ar-SA"/>
        </w:rPr>
      </w:pPr>
      <w:r>
        <w:rPr>
          <w:rFonts w:hint="eastAsia" w:ascii="仿宋" w:hAnsi="仿宋" w:eastAsia="仿宋" w:cs="Times New Roman"/>
          <w:b/>
          <w:kern w:val="2"/>
          <w:sz w:val="28"/>
          <w:szCs w:val="24"/>
          <w:lang w:val="en-US" w:eastAsia="zh-CN" w:bidi="ar-SA"/>
        </w:rPr>
        <w:t>基本照明</w:t>
      </w:r>
    </w:p>
    <w:p>
      <w:pPr>
        <w:widowControl/>
        <w:numPr>
          <w:ilvl w:val="0"/>
          <w:numId w:val="32"/>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机房照明包括智能、正常和应急照明。</w:t>
      </w:r>
    </w:p>
    <w:p>
      <w:pPr>
        <w:widowControl/>
        <w:numPr>
          <w:ilvl w:val="0"/>
          <w:numId w:val="32"/>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走道和各功能分区均为独立的照明区域，为了达到节能照明的目的，采用节能照明方式，根据需要开启相应区域的照明。机房区采用分区控制、场景控制开关：至少能按30%、50%、100% 三种模式开启，100%时的照度为500LX。无人时，各功能分区内所有照明回路按30%的模式开启；操作人员进入一个计算机房内时，可以根据操作区域，通过就近的面板开启相应机柜上方的一列灯具，且可以选择50%、100%两种模式。</w:t>
      </w:r>
    </w:p>
    <w:p>
      <w:pPr>
        <w:widowControl/>
        <w:numPr>
          <w:ilvl w:val="0"/>
          <w:numId w:val="32"/>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所有照明的光线要求均匀柔和</w:t>
      </w:r>
      <w:bookmarkEnd w:id="233"/>
      <w:bookmarkEnd w:id="234"/>
      <w:bookmarkEnd w:id="235"/>
      <w:bookmarkEnd w:id="236"/>
      <w:bookmarkEnd w:id="237"/>
      <w:bookmarkEnd w:id="238"/>
      <w:bookmarkEnd w:id="239"/>
      <w:r>
        <w:rPr>
          <w:rFonts w:hint="eastAsia" w:ascii="仿宋" w:hAnsi="仿宋" w:eastAsia="仿宋" w:cs="Times New Roman"/>
          <w:sz w:val="28"/>
          <w:szCs w:val="28"/>
        </w:rPr>
        <w:t>、无闪烁、低眩光。</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kern w:val="2"/>
          <w:sz w:val="28"/>
          <w:szCs w:val="24"/>
          <w:lang w:val="en-US" w:eastAsia="zh-CN" w:bidi="ar-SA"/>
        </w:rPr>
      </w:pPr>
      <w:r>
        <w:rPr>
          <w:rFonts w:hint="eastAsia" w:ascii="仿宋" w:hAnsi="仿宋" w:eastAsia="仿宋" w:cs="Times New Roman"/>
          <w:b/>
          <w:kern w:val="2"/>
          <w:sz w:val="28"/>
          <w:szCs w:val="24"/>
          <w:lang w:val="en-US" w:eastAsia="zh-CN" w:bidi="ar-SA"/>
        </w:rPr>
        <w:t>应急照明</w:t>
      </w:r>
    </w:p>
    <w:p>
      <w:pPr>
        <w:widowControl/>
        <w:spacing w:line="56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Times New Roman"/>
          <w:sz w:val="28"/>
          <w:szCs w:val="28"/>
        </w:rPr>
        <w:t>应急照明平均照度为正常照明的1/10，且灯具布置均匀无死角。应急照明系统应与消防报警系统联动，消防报警时强制启动应急照明，机房出入口处及消防疏散通道等区域设置疏散照明和安全出口标志灯，疏散照明和安全出口标志灯照度不应低于0.5LX；值班照明主要是用于摄像机工作照明，最低照度应高于摄像机最低照度的10倍。照明与应急照明实现联锁功能，以实现事故照明、应急照明系统在市电照明中断后自动切换。应急照明部分灯具与正常照明共用。</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kern w:val="2"/>
          <w:sz w:val="28"/>
          <w:szCs w:val="24"/>
          <w:lang w:val="en-US" w:eastAsia="zh-CN" w:bidi="ar-SA"/>
        </w:rPr>
      </w:pPr>
      <w:r>
        <w:rPr>
          <w:rFonts w:hint="eastAsia" w:ascii="仿宋" w:hAnsi="仿宋" w:eastAsia="仿宋" w:cs="Times New Roman"/>
          <w:b/>
          <w:kern w:val="2"/>
          <w:sz w:val="28"/>
          <w:szCs w:val="24"/>
          <w:lang w:val="en-US" w:eastAsia="zh-CN" w:bidi="ar-SA"/>
        </w:rPr>
        <w:t>照明要求</w:t>
      </w:r>
    </w:p>
    <w:p>
      <w:pPr>
        <w:widowControl/>
        <w:numPr>
          <w:ilvl w:val="0"/>
          <w:numId w:val="3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机房及辅助区的照度应参照相关的规范。机房内应尽量采用环保节能灯具，一级照明光源设计选用超白光节能系列灯具，同时二级照明采用LED扩散光源，应安装在合金吊槽内。</w:t>
      </w:r>
    </w:p>
    <w:p>
      <w:pPr>
        <w:widowControl/>
        <w:numPr>
          <w:ilvl w:val="0"/>
          <w:numId w:val="3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在不吊顶的区域应采用防尘防水荧光灯具，光源采用T5或LED灯管，防护等级IP65。</w:t>
      </w:r>
    </w:p>
    <w:p>
      <w:pPr>
        <w:widowControl/>
        <w:numPr>
          <w:ilvl w:val="0"/>
          <w:numId w:val="3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电池室需安装防爆灯具。</w:t>
      </w:r>
    </w:p>
    <w:p>
      <w:pPr>
        <w:widowControl/>
        <w:numPr>
          <w:ilvl w:val="0"/>
          <w:numId w:val="3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监控中心及走廊应采用LED光源，但需配合整体装修风格。</w:t>
      </w:r>
    </w:p>
    <w:p>
      <w:pPr>
        <w:widowControl/>
        <w:numPr>
          <w:ilvl w:val="0"/>
          <w:numId w:val="3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眩光限制标准：机房内基本工作间无眩光，眩光限制等级为Ⅰ级；第一类辅助房间眩光限制等级为Ⅱ级，可以有轻微眩光；第二、三类辅助房间眩光限制等级为Ⅲ级，允许有眩光感觉。</w:t>
      </w:r>
    </w:p>
    <w:p>
      <w:pPr>
        <w:widowControl/>
        <w:numPr>
          <w:ilvl w:val="0"/>
          <w:numId w:val="3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应急照明要求：机房内设置应急照明灯，回路单独设置，照度应参照相关的规范，均匀布置无死角，同时在楼道的出口处设置应急出口标</w:t>
      </w:r>
      <w:bookmarkStart w:id="242" w:name="_Toc262680194"/>
      <w:bookmarkStart w:id="243" w:name="_Toc254620741"/>
      <w:bookmarkStart w:id="244" w:name="_Toc262678194"/>
      <w:bookmarkStart w:id="245" w:name="_Toc807"/>
      <w:bookmarkStart w:id="246" w:name="_Toc305230658"/>
      <w:bookmarkStart w:id="247" w:name="_Toc262677986"/>
      <w:bookmarkStart w:id="248" w:name="_Toc12558"/>
      <w:bookmarkStart w:id="249" w:name="_Toc243392580"/>
      <w:bookmarkStart w:id="250" w:name="_Toc27633"/>
      <w:bookmarkStart w:id="251" w:name="_Toc21731"/>
      <w:bookmarkStart w:id="252" w:name="_Toc4254"/>
      <w:bookmarkStart w:id="253" w:name="_Toc32073"/>
      <w:bookmarkStart w:id="254" w:name="_Toc298314880"/>
      <w:bookmarkStart w:id="255" w:name="_Toc429"/>
      <w:r>
        <w:rPr>
          <w:rFonts w:hint="eastAsia" w:ascii="仿宋" w:hAnsi="仿宋" w:eastAsia="仿宋" w:cs="Times New Roman"/>
          <w:sz w:val="28"/>
          <w:szCs w:val="28"/>
        </w:rPr>
        <w:t>志灯。应急照明回路应采</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hint="eastAsia" w:ascii="仿宋" w:hAnsi="仿宋" w:eastAsia="仿宋" w:cs="Times New Roman"/>
          <w:sz w:val="28"/>
          <w:szCs w:val="28"/>
        </w:rPr>
        <w:t>用</w:t>
      </w:r>
      <w:bookmarkStart w:id="256" w:name="_Toc254620742"/>
      <w:bookmarkStart w:id="257" w:name="_Toc10715"/>
      <w:bookmarkStart w:id="258" w:name="_Toc1581"/>
      <w:bookmarkStart w:id="259" w:name="_Toc298314881"/>
      <w:bookmarkStart w:id="260" w:name="_Toc3678"/>
      <w:bookmarkStart w:id="261" w:name="_Toc243392581"/>
      <w:bookmarkStart w:id="262" w:name="_Toc305230659"/>
      <w:r>
        <w:rPr>
          <w:rFonts w:hint="eastAsia" w:ascii="仿宋" w:hAnsi="仿宋" w:eastAsia="仿宋" w:cs="Times New Roman"/>
          <w:sz w:val="28"/>
          <w:szCs w:val="28"/>
        </w:rPr>
        <w:t>耐火电缆/电线</w:t>
      </w:r>
      <w:bookmarkEnd w:id="256"/>
      <w:bookmarkEnd w:id="257"/>
      <w:bookmarkEnd w:id="258"/>
      <w:bookmarkEnd w:id="259"/>
      <w:bookmarkEnd w:id="260"/>
      <w:bookmarkEnd w:id="261"/>
      <w:bookmarkEnd w:id="262"/>
      <w:r>
        <w:rPr>
          <w:rFonts w:hint="eastAsia" w:ascii="仿宋" w:hAnsi="仿宋" w:eastAsia="仿宋" w:cs="Times New Roman"/>
          <w:sz w:val="28"/>
          <w:szCs w:val="28"/>
        </w:rPr>
        <w:t>。</w:t>
      </w:r>
    </w:p>
    <w:p>
      <w:pPr>
        <w:keepLines/>
        <w:numPr>
          <w:ilvl w:val="3"/>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263" w:name="_Toc30280"/>
      <w:r>
        <w:rPr>
          <w:rFonts w:hint="eastAsia" w:ascii="楷体" w:hAnsi="楷体" w:eastAsia="仿宋" w:cs="Times New Roman"/>
          <w:b/>
          <w:kern w:val="2"/>
          <w:sz w:val="28"/>
          <w:lang w:val="en-US" w:eastAsia="zh-CN" w:bidi="ar-SA"/>
        </w:rPr>
        <w:t>电磁兼容和防雷接地</w:t>
      </w:r>
      <w:bookmarkEnd w:id="263"/>
    </w:p>
    <w:p>
      <w:pPr>
        <w:numPr>
          <w:ilvl w:val="4"/>
          <w:numId w:val="2"/>
        </w:numPr>
        <w:spacing w:before="0" w:beforeLines="0" w:after="0" w:afterLines="0" w:line="560" w:lineRule="exact"/>
        <w:ind w:left="0" w:firstLine="0"/>
        <w:jc w:val="both"/>
        <w:outlineLvl w:val="3"/>
        <w:rPr>
          <w:rFonts w:hint="eastAsia" w:ascii="仿宋" w:hAnsi="仿宋" w:eastAsia="仿宋" w:cs="Times New Roman"/>
          <w:b/>
          <w:kern w:val="2"/>
          <w:sz w:val="28"/>
          <w:szCs w:val="24"/>
          <w:lang w:val="en-US" w:eastAsia="zh-CN" w:bidi="ar-SA"/>
        </w:rPr>
      </w:pPr>
      <w:r>
        <w:rPr>
          <w:rFonts w:hint="eastAsia" w:ascii="仿宋" w:hAnsi="仿宋" w:eastAsia="仿宋" w:cs="Times New Roman"/>
          <w:b/>
          <w:kern w:val="2"/>
          <w:sz w:val="28"/>
          <w:szCs w:val="24"/>
          <w:lang w:val="en-US" w:eastAsia="zh-CN" w:bidi="ar-SA"/>
        </w:rPr>
        <w:t>防雷分级及措施</w:t>
      </w:r>
    </w:p>
    <w:p>
      <w:pPr>
        <w:widowControl/>
        <w:numPr>
          <w:ilvl w:val="0"/>
          <w:numId w:val="3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机房电源系统的防雷须满足《建筑防雷设计规范》及《建筑物电子信息系统防雷设计规范》。低压电源系统最易受到雷电和工业操作的干扰，产生瞬间过电压现象，因而影响设备的正常运行甚至损坏设备。因此，为了保护设备的安全，首先应该对设备的电源系统施以保护，采取措施将可能产生的各种电源扰动限制在设备能够承受的范围之内，并将浪涌电流引入接地网</w:t>
      </w:r>
      <w:bookmarkStart w:id="264" w:name="_Toc298314882"/>
      <w:bookmarkStart w:id="265" w:name="_Toc19815"/>
      <w:bookmarkStart w:id="266" w:name="_Toc243392582"/>
      <w:bookmarkStart w:id="267" w:name="_Toc254620743"/>
      <w:bookmarkStart w:id="268" w:name="_Toc305230660"/>
      <w:bookmarkStart w:id="269" w:name="_Toc12903"/>
      <w:bookmarkStart w:id="270" w:name="_Toc17699"/>
      <w:r>
        <w:rPr>
          <w:rFonts w:hint="eastAsia" w:ascii="仿宋" w:hAnsi="仿宋" w:eastAsia="仿宋" w:cs="Times New Roman"/>
          <w:sz w:val="28"/>
          <w:szCs w:val="28"/>
        </w:rPr>
        <w:t>络，为此，应设计安全可靠完整的防雷系统。</w:t>
      </w:r>
    </w:p>
    <w:p>
      <w:pPr>
        <w:widowControl/>
        <w:numPr>
          <w:ilvl w:val="0"/>
          <w:numId w:val="3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防雷电防护要求设计等级为A级。</w:t>
      </w:r>
    </w:p>
    <w:p>
      <w:pPr>
        <w:widowControl/>
        <w:numPr>
          <w:ilvl w:val="0"/>
          <w:numId w:val="3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由室外进入机房的信号传输线上的安装通道SPD安装在进线机房总配线架（MDF）。</w:t>
      </w:r>
    </w:p>
    <w:p>
      <w:pPr>
        <w:widowControl/>
        <w:numPr>
          <w:ilvl w:val="0"/>
          <w:numId w:val="3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需设可靠接地的等电位均压环，所有不带电金属构件均就近接地。电源部分应从总配电柜专线屏蔽架设，并做好相关等级的防雷过电压防护。所有信息线路架设均需用金属线槽屏蔽接地，并对重要设备端口进行防雷过电压防护。</w:t>
      </w:r>
    </w:p>
    <w:bookmarkEnd w:id="264"/>
    <w:bookmarkEnd w:id="265"/>
    <w:bookmarkEnd w:id="266"/>
    <w:bookmarkEnd w:id="267"/>
    <w:bookmarkEnd w:id="268"/>
    <w:bookmarkEnd w:id="269"/>
    <w:bookmarkEnd w:id="270"/>
    <w:p>
      <w:pPr>
        <w:widowControl/>
        <w:numPr>
          <w:ilvl w:val="0"/>
          <w:numId w:val="3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防雷、接地系统所有关设计及施工必须符合相关规范及当地有关政府部门的要求。</w:t>
      </w:r>
    </w:p>
    <w:p>
      <w:pPr>
        <w:numPr>
          <w:ilvl w:val="4"/>
          <w:numId w:val="2"/>
        </w:numPr>
        <w:spacing w:before="0" w:beforeLines="0" w:after="0" w:afterLines="0" w:line="560" w:lineRule="exact"/>
        <w:ind w:left="0" w:firstLine="0"/>
        <w:jc w:val="both"/>
        <w:outlineLvl w:val="3"/>
        <w:rPr>
          <w:rFonts w:hint="eastAsia" w:ascii="仿宋" w:hAnsi="仿宋" w:eastAsia="仿宋" w:cs="Times New Roman"/>
          <w:b/>
          <w:kern w:val="2"/>
          <w:sz w:val="28"/>
          <w:szCs w:val="24"/>
          <w:lang w:val="en-US" w:eastAsia="zh-CN" w:bidi="ar-SA"/>
        </w:rPr>
      </w:pPr>
      <w:r>
        <w:rPr>
          <w:rFonts w:hint="eastAsia" w:ascii="仿宋" w:hAnsi="仿宋" w:eastAsia="仿宋" w:cs="Times New Roman"/>
          <w:b/>
          <w:kern w:val="2"/>
          <w:sz w:val="28"/>
          <w:szCs w:val="24"/>
          <w:lang w:val="en-US" w:eastAsia="zh-CN" w:bidi="ar-SA"/>
        </w:rPr>
        <w:t>防雷接地</w:t>
      </w:r>
    </w:p>
    <w:p>
      <w:pPr>
        <w:widowControl/>
        <w:numPr>
          <w:ilvl w:val="0"/>
          <w:numId w:val="3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本接地系统采用综合接地方式，设交流工作接地、安全保护接地,以大楼本身地基钢结构网作为接地极，该接地极接地电阻应符合计算机设备使用要求的接地电阻小于1</w:t>
      </w:r>
      <w:r>
        <w:rPr>
          <w:rFonts w:hint="eastAsia" w:ascii="仿宋" w:hAnsi="仿宋" w:eastAsia="仿宋" w:cs="Times New Roman"/>
          <w:sz w:val="28"/>
          <w:szCs w:val="28"/>
        </w:rPr>
        <w:sym w:font="Symbol" w:char="F057"/>
      </w:r>
      <w:r>
        <w:rPr>
          <w:rFonts w:hint="eastAsia" w:ascii="仿宋" w:hAnsi="仿宋" w:eastAsia="仿宋" w:cs="Times New Roman"/>
          <w:sz w:val="28"/>
          <w:szCs w:val="28"/>
        </w:rPr>
        <w:t>。</w:t>
      </w:r>
    </w:p>
    <w:p>
      <w:pPr>
        <w:widowControl/>
        <w:numPr>
          <w:ilvl w:val="0"/>
          <w:numId w:val="3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要求零地压降小于1V。为了尽量降低零地电压，除应保证接地电阻值符合要求外，对单相负荷，要尽量考虑三相平衡，来进行相序分配。</w:t>
      </w:r>
    </w:p>
    <w:p>
      <w:pPr>
        <w:widowControl/>
        <w:numPr>
          <w:ilvl w:val="0"/>
          <w:numId w:val="3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采用相关等级的防雷设计，接地系统采用内外结合的等电位联合接地系统。</w:t>
      </w:r>
    </w:p>
    <w:p>
      <w:pPr>
        <w:widowControl/>
        <w:spacing w:after="120" w:afterLines="0" w:line="560" w:lineRule="exact"/>
        <w:ind w:left="0"/>
        <w:jc w:val="left"/>
        <w:rPr>
          <w:rFonts w:hint="eastAsia" w:ascii="仿宋" w:hAnsi="仿宋" w:eastAsia="仿宋" w:cs="Times New Roman"/>
          <w:b/>
          <w:bCs/>
          <w:kern w:val="0"/>
          <w:sz w:val="28"/>
          <w:szCs w:val="28"/>
          <w:lang w:val="en-US" w:eastAsia="zh-CN" w:bidi="ar-SA"/>
        </w:rPr>
      </w:pPr>
    </w:p>
    <w:p>
      <w:pPr>
        <w:widowControl/>
        <w:spacing w:after="120" w:afterLines="0" w:line="560" w:lineRule="exact"/>
        <w:ind w:left="0"/>
        <w:jc w:val="left"/>
        <w:rPr>
          <w:rFonts w:hint="eastAsia" w:ascii="仿宋" w:hAnsi="仿宋" w:eastAsia="仿宋" w:cs="仿宋"/>
          <w:kern w:val="0"/>
          <w:sz w:val="28"/>
          <w:szCs w:val="28"/>
          <w:lang w:val="en-US" w:eastAsia="zh-CN" w:bidi="ar-SA"/>
        </w:rPr>
      </w:pPr>
      <w:r>
        <w:rPr>
          <w:rFonts w:hint="eastAsia" w:ascii="仿宋" w:hAnsi="仿宋" w:eastAsia="仿宋" w:cs="Times New Roman"/>
          <w:b/>
          <w:bCs/>
          <w:kern w:val="0"/>
          <w:sz w:val="28"/>
          <w:szCs w:val="28"/>
          <w:lang w:val="en-US" w:eastAsia="zh-CN" w:bidi="ar-SA"/>
        </w:rPr>
        <w:t>注：</w:t>
      </w:r>
      <w:r>
        <w:rPr>
          <w:rFonts w:hint="eastAsia" w:ascii="仿宋" w:hAnsi="仿宋" w:eastAsia="仿宋" w:cs="Times New Roman"/>
          <w:kern w:val="0"/>
          <w:sz w:val="28"/>
          <w:szCs w:val="28"/>
          <w:lang w:val="en-US" w:eastAsia="zh-CN" w:bidi="ar-SA"/>
        </w:rPr>
        <w:t>上述</w:t>
      </w:r>
      <w:r>
        <w:rPr>
          <w:rFonts w:hint="eastAsia" w:ascii="仿宋" w:hAnsi="仿宋" w:eastAsia="仿宋" w:cs="仿宋"/>
          <w:kern w:val="0"/>
          <w:sz w:val="28"/>
          <w:szCs w:val="28"/>
          <w:lang w:val="en-US" w:eastAsia="zh-CN" w:bidi="ar-SA"/>
        </w:rPr>
        <w:t>如存在未提及的内容，但结合本项目是实际需要的，均应包含在本次设计和施工一体化的范围内。</w:t>
      </w:r>
    </w:p>
    <w:p>
      <w:pPr>
        <w:spacing w:line="560" w:lineRule="exact"/>
        <w:ind w:left="0"/>
        <w:jc w:val="left"/>
        <w:rPr>
          <w:rFonts w:hint="eastAsia" w:ascii="仿宋" w:hAnsi="仿宋" w:cs="仿宋"/>
          <w:szCs w:val="28"/>
        </w:rPr>
        <w:sectPr>
          <w:pgSz w:w="11906" w:h="16838"/>
          <w:pgMar w:top="1440" w:right="1800" w:bottom="1440" w:left="1800" w:header="851" w:footer="992" w:gutter="0"/>
          <w:pgNumType w:fmt="decimal"/>
          <w:cols w:space="720" w:num="1"/>
          <w:titlePg/>
          <w:docGrid w:type="lines" w:linePitch="381" w:charSpace="0"/>
        </w:sectPr>
      </w:pP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271" w:name="_Toc13449"/>
      <w:r>
        <w:rPr>
          <w:rFonts w:hint="eastAsia" w:ascii="仿宋" w:hAnsi="仿宋" w:eastAsia="仿宋" w:cs="仿宋"/>
          <w:b/>
          <w:bCs/>
          <w:kern w:val="2"/>
          <w:sz w:val="28"/>
          <w:szCs w:val="28"/>
          <w:lang w:val="en-US" w:eastAsia="zh-CN" w:bidi="ar-SA"/>
        </w:rPr>
        <w:t>暖通系统</w:t>
      </w:r>
      <w:bookmarkEnd w:id="271"/>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272" w:name="空调参数"/>
      <w:bookmarkEnd w:id="272"/>
      <w:bookmarkStart w:id="273" w:name="_Toc8423"/>
      <w:r>
        <w:rPr>
          <w:rFonts w:hint="eastAsia" w:ascii="楷体" w:hAnsi="楷体" w:eastAsia="仿宋" w:cs="Times New Roman"/>
          <w:b/>
          <w:kern w:val="2"/>
          <w:sz w:val="28"/>
          <w:lang w:val="en-US" w:eastAsia="zh-CN" w:bidi="ar-SA"/>
        </w:rPr>
        <w:t>冷源</w:t>
      </w:r>
      <w:bookmarkEnd w:id="273"/>
    </w:p>
    <w:p>
      <w:pPr>
        <w:widowControl/>
        <w:numPr>
          <w:ilvl w:val="0"/>
          <w:numId w:val="36"/>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机房精密</w:t>
      </w:r>
      <w:r>
        <w:rPr>
          <w:rFonts w:ascii="仿宋" w:hAnsi="仿宋" w:eastAsia="仿宋" w:cs="Times New Roman"/>
          <w:sz w:val="28"/>
          <w:szCs w:val="28"/>
        </w:rPr>
        <w:t>空调</w:t>
      </w:r>
      <w:r>
        <w:rPr>
          <w:rFonts w:hint="eastAsia" w:ascii="仿宋" w:hAnsi="仿宋" w:eastAsia="仿宋" w:cs="Times New Roman"/>
          <w:sz w:val="28"/>
          <w:szCs w:val="28"/>
        </w:rPr>
        <w:t>采用风冷直膨精密空调，每台空调所有压缩机需配置采用直流无刷变频涡旋压缩机，可按照机房负荷动态30%-120%自动调节冷量。</w:t>
      </w:r>
    </w:p>
    <w:p>
      <w:pPr>
        <w:widowControl/>
        <w:numPr>
          <w:ilvl w:val="0"/>
          <w:numId w:val="3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主机房首期采用3台风冷直膨式机组，单台DX总冷量不低于80KW，风量不低于20000m</w:t>
      </w:r>
      <w:r>
        <w:rPr>
          <w:rFonts w:hint="eastAsia" w:ascii="仿宋" w:hAnsi="仿宋" w:eastAsia="仿宋" w:cs="Times New Roman"/>
          <w:sz w:val="28"/>
          <w:szCs w:val="28"/>
          <w:vertAlign w:val="superscript"/>
        </w:rPr>
        <w:t>3</w:t>
      </w:r>
      <w:r>
        <w:rPr>
          <w:rFonts w:hint="eastAsia" w:ascii="仿宋" w:hAnsi="仿宋" w:eastAsia="仿宋" w:cs="Times New Roman"/>
          <w:sz w:val="28"/>
          <w:szCs w:val="28"/>
        </w:rPr>
        <w:t>/h，按N+1模式运行，室外机设定工作温度为45℃。</w:t>
      </w:r>
    </w:p>
    <w:p>
      <w:pPr>
        <w:widowControl/>
        <w:numPr>
          <w:ilvl w:val="0"/>
          <w:numId w:val="3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在温湿度控制系统的监控下，根据室内温湿度实际情况，按照设定要求进行运行以满足机房内的需要，且需设置冷通道处理。主机房内配置2台采用外置集中加湿（湿膜加湿器）。</w:t>
      </w:r>
    </w:p>
    <w:p>
      <w:pPr>
        <w:widowControl/>
        <w:numPr>
          <w:ilvl w:val="0"/>
          <w:numId w:val="3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监控中心及走廊空调系统需自行考虑，但应配合整体装修风格。</w:t>
      </w:r>
    </w:p>
    <w:p>
      <w:pPr>
        <w:widowControl/>
        <w:numPr>
          <w:ilvl w:val="0"/>
          <w:numId w:val="3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相关辅助功能区空调系统共采用8台风冷直膨自带加湿功能精密空调，单台DX总冷量不低于12.5KW，风量不低于3100m</w:t>
      </w:r>
      <w:r>
        <w:rPr>
          <w:rFonts w:hint="eastAsia" w:ascii="仿宋" w:hAnsi="仿宋" w:eastAsia="仿宋" w:cs="Times New Roman"/>
          <w:sz w:val="28"/>
          <w:szCs w:val="28"/>
          <w:vertAlign w:val="superscript"/>
        </w:rPr>
        <w:t>3</w:t>
      </w:r>
      <w:r>
        <w:rPr>
          <w:rFonts w:hint="eastAsia" w:ascii="仿宋" w:hAnsi="仿宋" w:eastAsia="仿宋" w:cs="Times New Roman"/>
          <w:sz w:val="28"/>
          <w:szCs w:val="28"/>
        </w:rPr>
        <w:t>/h，按N+1模式运行，室外机设定工作温度为45℃。</w:t>
      </w:r>
    </w:p>
    <w:p>
      <w:pPr>
        <w:widowControl/>
        <w:numPr>
          <w:ilvl w:val="0"/>
          <w:numId w:val="3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为便于清洗室外机组，需考虑安装直径20mm镀锌城市用水管，整个安装室外机的位置需设置不少于3个采水点，且应安装快速接头。</w:t>
      </w:r>
    </w:p>
    <w:p>
      <w:pPr>
        <w:widowControl/>
        <w:numPr>
          <w:ilvl w:val="0"/>
          <w:numId w:val="3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所有空调冷媒铜管、加湿水管及冷凝水管需难燃B1级橡塑保温材料，厚度不宜小于20mm。</w:t>
      </w:r>
      <w:r>
        <w:rPr>
          <w:rFonts w:hint="eastAsia" w:ascii="Calibri" w:hAnsi="Calibri" w:eastAsia="仿宋" w:cs="Times New Roman"/>
          <w:sz w:val="28"/>
          <w:szCs w:val="20"/>
        </w:rPr>
        <w:t>室外冷媒管道需设置镀锌保护槽</w:t>
      </w:r>
      <w:r>
        <w:rPr>
          <w:rFonts w:hint="eastAsia" w:ascii="Calibri" w:hAnsi="Calibri" w:eastAsia="仿宋" w:cs="Times New Roman"/>
          <w:sz w:val="28"/>
          <w:szCs w:val="20"/>
          <w:lang w:eastAsia="zh-CN"/>
        </w:rPr>
        <w:t>。</w:t>
      </w:r>
    </w:p>
    <w:p>
      <w:pPr>
        <w:widowControl/>
        <w:numPr>
          <w:ilvl w:val="0"/>
          <w:numId w:val="3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供机房冷媒铜管需按规范提升一级厚度，且不能用铜管自身直接变径，应采用跟铜管厚度相等的配件做变径，还应考虑设备安装的落差及适当考虑相对应的保护措施，待管道安装完成后必须用氮气清洗，铜管内压测试需达到30KG（不含设备），并需包括所有关铜管的穿墙过孔及收口，完成后满足设备运行条件并提供管道、设备相关测试文件。</w:t>
      </w:r>
    </w:p>
    <w:p>
      <w:pPr>
        <w:widowControl/>
        <w:numPr>
          <w:ilvl w:val="0"/>
          <w:numId w:val="3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精密空调及其它辅助功能间空调的室外机安装在室外平台，所有关安装室外机的支架需采用热镀锌材料。</w:t>
      </w:r>
    </w:p>
    <w:p>
      <w:pPr>
        <w:widowControl/>
        <w:numPr>
          <w:ilvl w:val="0"/>
          <w:numId w:val="3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为保证致冷效果，机房静电地板下将二期机柜下静压箱与一期静压箱进行隔离，所使用材料应使用符合防火要求及无粉尘，且易安装和拆除。</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空调送风形式</w:t>
      </w:r>
    </w:p>
    <w:p>
      <w:pPr>
        <w:widowControl/>
        <w:numPr>
          <w:ilvl w:val="0"/>
          <w:numId w:val="37"/>
        </w:numPr>
        <w:spacing w:line="560" w:lineRule="exact"/>
        <w:ind w:left="0" w:firstLine="0"/>
        <w:rPr>
          <w:rFonts w:hint="eastAsia" w:ascii="仿宋" w:hAnsi="仿宋" w:eastAsia="仿宋" w:cs="Times New Roman"/>
          <w:b/>
          <w:bCs/>
          <w:sz w:val="28"/>
          <w:szCs w:val="28"/>
        </w:rPr>
      </w:pPr>
      <w:r>
        <w:rPr>
          <w:rFonts w:hint="eastAsia" w:ascii="仿宋" w:hAnsi="仿宋" w:eastAsia="仿宋" w:cs="Times New Roman"/>
          <w:b/>
          <w:bCs/>
          <w:sz w:val="28"/>
          <w:szCs w:val="28"/>
        </w:rPr>
        <w:t>机房采用下送上回的形式，通过架空地板送入机房模块。</w:t>
      </w:r>
    </w:p>
    <w:p>
      <w:pPr>
        <w:widowControl/>
        <w:numPr>
          <w:ilvl w:val="0"/>
          <w:numId w:val="37"/>
        </w:numPr>
        <w:spacing w:line="560" w:lineRule="exact"/>
        <w:ind w:left="0" w:firstLine="0"/>
        <w:rPr>
          <w:rFonts w:hint="eastAsia" w:ascii="仿宋" w:hAnsi="仿宋" w:eastAsia="仿宋" w:cs="Times New Roman"/>
          <w:b/>
          <w:bCs/>
          <w:sz w:val="28"/>
          <w:szCs w:val="28"/>
        </w:rPr>
      </w:pPr>
      <w:r>
        <w:rPr>
          <w:rFonts w:hint="eastAsia" w:ascii="仿宋" w:hAnsi="仿宋" w:eastAsia="仿宋" w:cs="Times New Roman"/>
          <w:b/>
          <w:bCs/>
          <w:sz w:val="28"/>
          <w:szCs w:val="28"/>
        </w:rPr>
        <w:t>所有辅助功能区采用上送自然回的形式。</w:t>
      </w:r>
    </w:p>
    <w:p>
      <w:pPr>
        <w:widowControl/>
        <w:numPr>
          <w:ilvl w:val="0"/>
          <w:numId w:val="37"/>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监控中心及走廊应避免采用坐地方式，应配合吊顶设置出风及回风口。（日常需维护的部件不应设在工作人员的正上方）</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274" w:name="_Toc14874"/>
      <w:r>
        <w:rPr>
          <w:rFonts w:hint="eastAsia" w:ascii="楷体" w:hAnsi="楷体" w:eastAsia="仿宋" w:cs="Times New Roman"/>
          <w:b/>
          <w:kern w:val="2"/>
          <w:sz w:val="28"/>
          <w:lang w:val="en-US" w:eastAsia="zh-CN" w:bidi="ar-SA"/>
        </w:rPr>
        <w:t>通风</w:t>
      </w:r>
      <w:bookmarkEnd w:id="274"/>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新/排风系统</w:t>
      </w:r>
    </w:p>
    <w:p>
      <w:pPr>
        <w:widowControl/>
        <w:numPr>
          <w:ilvl w:val="0"/>
          <w:numId w:val="38"/>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为保证机房正压的要求，机房区应独立设置新风系统，应满足机房维持正压的需求，同时供人员办公区域的新风应按相关规范考虑。</w:t>
      </w:r>
    </w:p>
    <w:p>
      <w:pPr>
        <w:widowControl/>
        <w:numPr>
          <w:ilvl w:val="0"/>
          <w:numId w:val="38"/>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新风引自大楼室外需确保洁净度，新风处理机需内置粗效过滤器、中效过滤器、亚高效过滤器的三级过滤装置,过滤器安装位置便于拆除清洗。新风需采取降噪措施，风管需设置电动防烟防火调节阀、阻抗消音器等。为便于监控，且新风机应提供监测点。</w:t>
      </w:r>
    </w:p>
    <w:p>
      <w:pPr>
        <w:widowControl/>
        <w:numPr>
          <w:ilvl w:val="0"/>
          <w:numId w:val="38"/>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 xml:space="preserve">新风管除采用橡塑保温外裹防火玻璃布外，安装在机房区、明装或裸露的部分应采用0.8mm厚清铝板包裹。 </w:t>
      </w:r>
    </w:p>
    <w:p>
      <w:pPr>
        <w:widowControl/>
        <w:numPr>
          <w:ilvl w:val="0"/>
          <w:numId w:val="38"/>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有关机房的正压需按照相关规范要求自行合理设计，机房采用余压阀方式进行排风，当室内正压过高时室内空气经余压阀排出室外。</w:t>
      </w:r>
    </w:p>
    <w:p>
      <w:pPr>
        <w:widowControl/>
        <w:numPr>
          <w:ilvl w:val="0"/>
          <w:numId w:val="38"/>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新风设备应与消防联动，新/排风口需与装修整体风格配合，机房内所有关的新风口应合理布置，不应设置在IT设备的正上方，且不能直接影响精密空调回风感应的温度。</w:t>
      </w:r>
    </w:p>
    <w:p>
      <w:pPr>
        <w:widowControl/>
        <w:numPr>
          <w:ilvl w:val="0"/>
          <w:numId w:val="38"/>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新/排风系统所有外墙风口应具备防水、防虫功能。</w:t>
      </w:r>
    </w:p>
    <w:p>
      <w:pPr>
        <w:widowControl/>
        <w:numPr>
          <w:ilvl w:val="0"/>
          <w:numId w:val="38"/>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电池室应保持负压环境，需设置独立的排风系统，排风量及安全防护装置应根据国家规范设计。</w:t>
      </w:r>
    </w:p>
    <w:p>
      <w:pPr>
        <w:widowControl/>
        <w:numPr>
          <w:ilvl w:val="0"/>
          <w:numId w:val="38"/>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灭火系统在不发生火灾长期存放的情况下，正常会产生轻微的泄漏，因此外窗若封闭的情况下需设置独立的排气系统。</w:t>
      </w:r>
    </w:p>
    <w:p>
      <w:pPr>
        <w:widowControl/>
        <w:numPr>
          <w:ilvl w:val="0"/>
          <w:numId w:val="38"/>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所有通过机房范围内的管道及明装管道需做包裹铝外壳处理。</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bookmarkStart w:id="275" w:name="_Toc25651171"/>
      <w:r>
        <w:rPr>
          <w:rFonts w:hint="eastAsia" w:ascii="仿宋" w:hAnsi="仿宋" w:eastAsia="仿宋" w:cs="仿宋"/>
          <w:b/>
          <w:kern w:val="2"/>
          <w:sz w:val="28"/>
          <w:szCs w:val="28"/>
          <w:lang w:val="en-US" w:eastAsia="zh-CN" w:bidi="ar-SA"/>
        </w:rPr>
        <w:t>灾后排气系统</w:t>
      </w:r>
      <w:bookmarkEnd w:id="275"/>
    </w:p>
    <w:p>
      <w:pPr>
        <w:widowControl/>
        <w:numPr>
          <w:ilvl w:val="0"/>
          <w:numId w:val="3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采用气体灭火的区域须设置消防排气系统，在气体灭火后，用于排除室内灭火废气。排气量按机房换气次数应参照相关的规范设计。消防排气风管上设置电动密闭阀，以保证机房密闭状态。当气体灭火后，启动轴流风机，打开电动密闭阀，灭火废气由排气管排至室外，裸露的风管采用橡塑保温外裹防火玻璃丝布，外包0.8mm厚清铝板。气体灭火区内设有消防自动泄压阀作为气体灭火时的泄压装置（如存在压力过高）。所有材质和安装要求需要满足当地消防验收规范。</w:t>
      </w:r>
    </w:p>
    <w:p>
      <w:pPr>
        <w:widowControl/>
        <w:numPr>
          <w:ilvl w:val="0"/>
          <w:numId w:val="3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消防系统应与机房门禁系统、供配电系统实现联动，所有对外的开口应做好防水处理。</w:t>
      </w:r>
    </w:p>
    <w:p>
      <w:pPr>
        <w:widowControl/>
        <w:spacing w:after="120" w:afterLines="0" w:line="560" w:lineRule="exact"/>
        <w:ind w:left="0"/>
        <w:jc w:val="left"/>
        <w:rPr>
          <w:rFonts w:hint="eastAsia" w:ascii="仿宋" w:hAnsi="仿宋" w:eastAsia="仿宋" w:cs="仿宋"/>
          <w:kern w:val="0"/>
          <w:sz w:val="28"/>
          <w:szCs w:val="28"/>
          <w:lang w:val="en-US" w:eastAsia="zh-CN" w:bidi="ar-SA"/>
        </w:rPr>
      </w:pPr>
      <w:r>
        <w:rPr>
          <w:rFonts w:hint="eastAsia" w:ascii="仿宋" w:hAnsi="仿宋" w:eastAsia="仿宋" w:cs="Times New Roman"/>
          <w:b/>
          <w:bCs/>
          <w:kern w:val="0"/>
          <w:sz w:val="28"/>
          <w:szCs w:val="28"/>
          <w:lang w:val="en-US" w:eastAsia="zh-CN" w:bidi="ar-SA"/>
        </w:rPr>
        <w:t>注：</w:t>
      </w:r>
      <w:r>
        <w:rPr>
          <w:rFonts w:hint="eastAsia" w:ascii="仿宋" w:hAnsi="仿宋" w:eastAsia="仿宋" w:cs="Times New Roman"/>
          <w:kern w:val="0"/>
          <w:sz w:val="28"/>
          <w:szCs w:val="28"/>
          <w:lang w:val="en-US" w:eastAsia="zh-CN" w:bidi="ar-SA"/>
        </w:rPr>
        <w:t>上述</w:t>
      </w:r>
      <w:r>
        <w:rPr>
          <w:rFonts w:hint="eastAsia" w:ascii="仿宋" w:hAnsi="仿宋" w:eastAsia="仿宋" w:cs="仿宋"/>
          <w:kern w:val="0"/>
          <w:sz w:val="28"/>
          <w:szCs w:val="28"/>
          <w:lang w:val="en-US" w:eastAsia="zh-CN" w:bidi="ar-SA"/>
        </w:rPr>
        <w:t>如存在未提及的内容，但结合本项目是实际需要的，均应包含在本次设计和施工一体化的范围内。</w:t>
      </w:r>
    </w:p>
    <w:p>
      <w:pPr>
        <w:spacing w:line="560" w:lineRule="exact"/>
        <w:rPr>
          <w:rFonts w:hint="eastAsia" w:ascii="仿宋" w:hAnsi="仿宋" w:cs="仿宋"/>
          <w:szCs w:val="28"/>
        </w:rPr>
        <w:sectPr>
          <w:pgSz w:w="11906" w:h="16838"/>
          <w:pgMar w:top="1440" w:right="1800" w:bottom="1440" w:left="1800" w:header="851" w:footer="992" w:gutter="0"/>
          <w:pgNumType w:fmt="decimal"/>
          <w:cols w:space="720" w:num="1"/>
          <w:titlePg/>
          <w:docGrid w:type="lines" w:linePitch="381" w:charSpace="0"/>
        </w:sectPr>
      </w:pP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276" w:name="_Toc6284"/>
      <w:r>
        <w:rPr>
          <w:rFonts w:hint="eastAsia" w:ascii="仿宋" w:hAnsi="仿宋" w:eastAsia="仿宋" w:cs="仿宋"/>
          <w:b/>
          <w:bCs/>
          <w:kern w:val="2"/>
          <w:sz w:val="28"/>
          <w:szCs w:val="28"/>
          <w:lang w:val="en-US" w:eastAsia="zh-CN" w:bidi="ar-SA"/>
        </w:rPr>
        <w:t>给排水系统</w:t>
      </w:r>
      <w:bookmarkEnd w:id="276"/>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277" w:name="_Toc28744"/>
      <w:r>
        <w:rPr>
          <w:rFonts w:hint="eastAsia" w:ascii="楷体" w:hAnsi="楷体" w:eastAsia="仿宋" w:cs="Times New Roman"/>
          <w:b/>
          <w:kern w:val="2"/>
          <w:sz w:val="28"/>
          <w:lang w:val="en-US" w:eastAsia="zh-CN" w:bidi="ar-SA"/>
        </w:rPr>
        <w:t>给水系统</w:t>
      </w:r>
      <w:bookmarkEnd w:id="277"/>
    </w:p>
    <w:p>
      <w:pPr>
        <w:widowControl/>
        <w:numPr>
          <w:ilvl w:val="0"/>
          <w:numId w:val="40"/>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需考虑主机房集中加湿器给水系统，大楼负责提供不间断的城市供水点。同时需考虑水压、过滤及水质的处理，所有关通过室外和机房区的水管均需做保温处理</w:t>
      </w:r>
      <w:r>
        <w:rPr>
          <w:rFonts w:hint="eastAsia" w:ascii="仿宋" w:hAnsi="仿宋" w:eastAsia="仿宋" w:cs="Times New Roman"/>
          <w:sz w:val="28"/>
          <w:szCs w:val="28"/>
          <w:lang w:eastAsia="zh-CN"/>
        </w:rPr>
        <w:t>，室外给排水管需设置镀锌保护槽。</w:t>
      </w:r>
    </w:p>
    <w:p>
      <w:pPr>
        <w:widowControl/>
        <w:numPr>
          <w:ilvl w:val="0"/>
          <w:numId w:val="40"/>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进入机房层的水管应分别加装电动和手动阀门，并需与漏水报警做联动处理。</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278" w:name="_Toc31826"/>
      <w:r>
        <w:rPr>
          <w:rFonts w:hint="eastAsia" w:ascii="楷体" w:hAnsi="楷体" w:eastAsia="仿宋" w:cs="Times New Roman"/>
          <w:b/>
          <w:kern w:val="2"/>
          <w:sz w:val="28"/>
          <w:lang w:val="en-US" w:eastAsia="zh-CN" w:bidi="ar-SA"/>
        </w:rPr>
        <w:t>排水系统</w:t>
      </w:r>
      <w:bookmarkEnd w:id="278"/>
    </w:p>
    <w:p>
      <w:pPr>
        <w:widowControl/>
        <w:numPr>
          <w:ilvl w:val="0"/>
          <w:numId w:val="41"/>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精密空调区域需考虑应急排水，并设置专用地漏，应单独设置冷凝水的排水立管，且不应与大楼排水立管共用，室内外的管道应做保温处理，应急排水及冷凝排水须避免出现单点。</w:t>
      </w:r>
    </w:p>
    <w:p>
      <w:pPr>
        <w:widowControl/>
        <w:numPr>
          <w:ilvl w:val="0"/>
          <w:numId w:val="41"/>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所有下沉区域需设置应急排水及地漏，不应出现单点。</w:t>
      </w:r>
    </w:p>
    <w:p>
      <w:pPr>
        <w:widowControl/>
        <w:numPr>
          <w:ilvl w:val="0"/>
          <w:numId w:val="41"/>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机房逃生相关通道水喷淋区地板下也应设置应急排水点，且不应出现单点，有关排水点的地漏管径应按喷淋头出水量合理考虑，室内外的管道应做保温处理。</w:t>
      </w:r>
    </w:p>
    <w:p>
      <w:pPr>
        <w:widowControl/>
        <w:numPr>
          <w:ilvl w:val="0"/>
          <w:numId w:val="41"/>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所有通过机房范围内的管道及明装管道需做包裹铝外壳处理。</w:t>
      </w:r>
    </w:p>
    <w:p>
      <w:pPr>
        <w:widowControl/>
        <w:spacing w:after="120" w:afterLines="0" w:line="560" w:lineRule="exact"/>
        <w:ind w:left="0"/>
        <w:jc w:val="left"/>
        <w:rPr>
          <w:rFonts w:hint="eastAsia" w:ascii="仿宋" w:hAnsi="仿宋" w:eastAsia="仿宋" w:cs="仿宋"/>
          <w:kern w:val="0"/>
          <w:sz w:val="28"/>
          <w:szCs w:val="28"/>
          <w:lang w:val="en-US" w:eastAsia="zh-CN" w:bidi="ar-SA"/>
        </w:rPr>
      </w:pPr>
      <w:r>
        <w:rPr>
          <w:rFonts w:hint="eastAsia" w:ascii="仿宋" w:hAnsi="仿宋" w:eastAsia="仿宋" w:cs="Times New Roman"/>
          <w:b/>
          <w:bCs/>
          <w:kern w:val="0"/>
          <w:sz w:val="28"/>
          <w:szCs w:val="28"/>
          <w:lang w:val="en-US" w:eastAsia="zh-CN" w:bidi="ar-SA"/>
        </w:rPr>
        <w:t>注：</w:t>
      </w:r>
      <w:r>
        <w:rPr>
          <w:rFonts w:hint="eastAsia" w:ascii="仿宋" w:hAnsi="仿宋" w:eastAsia="仿宋" w:cs="Times New Roman"/>
          <w:kern w:val="0"/>
          <w:sz w:val="28"/>
          <w:szCs w:val="28"/>
          <w:lang w:val="en-US" w:eastAsia="zh-CN" w:bidi="ar-SA"/>
        </w:rPr>
        <w:t>上述</w:t>
      </w:r>
      <w:r>
        <w:rPr>
          <w:rFonts w:hint="eastAsia" w:ascii="仿宋" w:hAnsi="仿宋" w:eastAsia="仿宋" w:cs="仿宋"/>
          <w:kern w:val="0"/>
          <w:sz w:val="28"/>
          <w:szCs w:val="28"/>
          <w:lang w:val="en-US" w:eastAsia="zh-CN" w:bidi="ar-SA"/>
        </w:rPr>
        <w:t>如存在未提及的内容，但结合本项目是实际需要的，均应包含在本次设计和施工一体化的范围内。</w:t>
      </w: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279" w:name="_Toc6437"/>
      <w:r>
        <w:rPr>
          <w:rFonts w:hint="eastAsia" w:ascii="仿宋" w:hAnsi="仿宋" w:eastAsia="仿宋" w:cs="仿宋"/>
          <w:b/>
          <w:bCs/>
          <w:kern w:val="2"/>
          <w:sz w:val="28"/>
          <w:szCs w:val="28"/>
          <w:lang w:val="en-US" w:eastAsia="zh-CN" w:bidi="ar-SA"/>
        </w:rPr>
        <w:t>智能化系统工程</w:t>
      </w:r>
      <w:bookmarkEnd w:id="279"/>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280" w:name="_Toc18157100"/>
      <w:bookmarkStart w:id="281" w:name="_Toc20419"/>
      <w:r>
        <w:rPr>
          <w:rFonts w:hint="eastAsia" w:ascii="楷体" w:hAnsi="楷体" w:eastAsia="仿宋" w:cs="Times New Roman"/>
          <w:b/>
          <w:kern w:val="2"/>
          <w:sz w:val="28"/>
          <w:lang w:val="en-US" w:eastAsia="zh-CN" w:bidi="ar-SA"/>
        </w:rPr>
        <w:t>系统概述</w:t>
      </w:r>
      <w:bookmarkEnd w:id="280"/>
      <w:bookmarkEnd w:id="281"/>
    </w:p>
    <w:p>
      <w:pPr>
        <w:widowControl/>
        <w:numPr>
          <w:ilvl w:val="0"/>
          <w:numId w:val="42"/>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本项目采用智能化系统，包括办公运维及智能化综合布线系统（注：业务生产网另行章节单项说明）、安全防范系统、</w:t>
      </w:r>
      <w:r>
        <w:rPr>
          <w:rFonts w:hint="eastAsia" w:ascii="仿宋" w:hAnsi="仿宋" w:eastAsia="仿宋" w:cs="Times New Roman"/>
          <w:sz w:val="28"/>
          <w:szCs w:val="28"/>
          <w:lang w:eastAsia="zh-CN"/>
        </w:rPr>
        <w:t>数据中心基础设施管理系统</w:t>
      </w:r>
      <w:r>
        <w:rPr>
          <w:rFonts w:hint="eastAsia" w:ascii="仿宋" w:hAnsi="仿宋" w:eastAsia="仿宋" w:cs="Times New Roman"/>
          <w:sz w:val="28"/>
          <w:szCs w:val="28"/>
        </w:rPr>
        <w:t>、总控中心。</w:t>
      </w:r>
    </w:p>
    <w:p>
      <w:pPr>
        <w:widowControl/>
        <w:numPr>
          <w:ilvl w:val="0"/>
          <w:numId w:val="42"/>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智能化系统宜采用统一系统平台，系统宜采用集散或分布式网络结构及现场总线控制技术，支持各种传输网络和多级管理。系统平台应具有集成性、开放性、可扩展性及可对外互联等功能。系统采用的操作系统、数据库管理系统、网络通信协议等应采用国际上通用的系统。</w:t>
      </w:r>
    </w:p>
    <w:p>
      <w:pPr>
        <w:widowControl/>
        <w:numPr>
          <w:ilvl w:val="0"/>
          <w:numId w:val="42"/>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智能化各系统可集中设置在总控中心内，各系统设备应集中布置，供电电源应可靠，宜采用独立不间断电源系统供电，当采用集中不间断电源系统供电时，各系统应单独回路配电。</w:t>
      </w:r>
    </w:p>
    <w:p>
      <w:pPr>
        <w:widowControl/>
        <w:numPr>
          <w:ilvl w:val="0"/>
          <w:numId w:val="42"/>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智能化系统应具备显示、记录、控制、报警提示及趋势和能耗分析功能，并对本系统监控范围内分布的各监控对象进行实施监视，记录和处理相关数据，检测故障，适时通知相关人员处理故障，根据要求提高相应的数据和报表，实现机房的无人值守，以及环境和设备的集控监控、维护和管理等。</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282" w:name="_Toc21719"/>
      <w:r>
        <w:rPr>
          <w:rFonts w:hint="eastAsia" w:ascii="楷体" w:hAnsi="楷体" w:eastAsia="仿宋" w:cs="Times New Roman"/>
          <w:b/>
          <w:kern w:val="2"/>
          <w:sz w:val="28"/>
          <w:lang w:val="en-US" w:eastAsia="zh-CN" w:bidi="ar-SA"/>
        </w:rPr>
        <w:t>办公运维及智能化综合布线系统</w:t>
      </w:r>
      <w:bookmarkEnd w:id="282"/>
    </w:p>
    <w:p>
      <w:pPr>
        <w:widowControl/>
        <w:spacing w:line="560" w:lineRule="exact"/>
        <w:ind w:firstLine="700" w:firstLineChars="250"/>
        <w:rPr>
          <w:rFonts w:hint="eastAsia" w:ascii="仿宋" w:hAnsi="仿宋" w:eastAsia="仿宋" w:cs="仿宋gb2312"/>
          <w:sz w:val="28"/>
          <w:szCs w:val="28"/>
        </w:rPr>
      </w:pPr>
      <w:r>
        <w:rPr>
          <w:rFonts w:hint="eastAsia" w:ascii="仿宋" w:hAnsi="仿宋" w:eastAsia="仿宋" w:cs="仿宋gb2312"/>
          <w:sz w:val="28"/>
          <w:szCs w:val="28"/>
        </w:rPr>
        <w:t>本项目办公运维及智能化综合布线系统包含办公运维网综合布线和智能化综合布线系统：</w:t>
      </w:r>
    </w:p>
    <w:p>
      <w:pPr>
        <w:widowControl/>
        <w:numPr>
          <w:ilvl w:val="0"/>
          <w:numId w:val="4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办公运维网综合布线其主要用途是支持数据中心及其配套用房的语音通讯、办公运维网络系统数据交换功能。</w:t>
      </w:r>
    </w:p>
    <w:p>
      <w:pPr>
        <w:widowControl/>
        <w:numPr>
          <w:ilvl w:val="0"/>
          <w:numId w:val="4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智能化综合布线系统其主要用途是支持数据中心及其配套用房的安全防范系统、数据中心基础设施管理系统、总控中心、极早期烟雾探测报警系统等具有TCP/IP通信协议的弱电系统信息传输。</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系统功能要求</w:t>
      </w:r>
    </w:p>
    <w:p>
      <w:pPr>
        <w:widowControl/>
        <w:spacing w:line="560" w:lineRule="exact"/>
        <w:ind w:firstLine="560" w:firstLineChars="200"/>
        <w:rPr>
          <w:rFonts w:hint="eastAsia" w:ascii="仿宋" w:hAnsi="仿宋" w:eastAsia="仿宋" w:cs="仿宋gb2312"/>
          <w:sz w:val="28"/>
          <w:szCs w:val="28"/>
        </w:rPr>
      </w:pPr>
      <w:r>
        <w:rPr>
          <w:rFonts w:hint="eastAsia" w:ascii="仿宋" w:hAnsi="仿宋" w:eastAsia="仿宋" w:cs="仿宋gb2312"/>
          <w:sz w:val="28"/>
          <w:szCs w:val="28"/>
        </w:rPr>
        <w:t>满足国家规范 GB50311-2016（综合布线系统工程设计规范）要求。综合布线系统应为开放式网络拓扑结构，应能支持语音、数据、图像、多媒体业务等信息的传递。系统设计应符合开放性，灵活性，模块化、可靠性和经济性的要求。</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系统分级与组成</w:t>
      </w:r>
    </w:p>
    <w:p>
      <w:pPr>
        <w:widowControl/>
        <w:spacing w:line="560" w:lineRule="exact"/>
        <w:ind w:firstLine="560" w:firstLineChars="200"/>
        <w:rPr>
          <w:rFonts w:hint="eastAsia" w:ascii="仿宋" w:hAnsi="仿宋" w:eastAsia="仿宋" w:cs="仿宋gb2312"/>
          <w:sz w:val="28"/>
          <w:szCs w:val="28"/>
        </w:rPr>
      </w:pPr>
      <w:r>
        <w:rPr>
          <w:rFonts w:hint="eastAsia" w:ascii="仿宋" w:hAnsi="仿宋" w:eastAsia="仿宋" w:cs="仿宋gb2312"/>
          <w:sz w:val="28"/>
          <w:szCs w:val="28"/>
        </w:rPr>
        <w:t>根据规范的要求，本办公运维及智能化综合布线系统铜缆配线子系统设计为 E 级（Cat.6类），应用器件（电缆、连接硬件）均为E级（Cat.6类）。</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缆线长度要求</w:t>
      </w:r>
    </w:p>
    <w:p>
      <w:pPr>
        <w:widowControl/>
        <w:spacing w:line="560" w:lineRule="exact"/>
        <w:ind w:firstLine="560" w:firstLineChars="200"/>
        <w:rPr>
          <w:rFonts w:hint="eastAsia" w:ascii="仿宋" w:hAnsi="仿宋" w:eastAsia="仿宋" w:cs="仿宋gb2312"/>
          <w:sz w:val="28"/>
          <w:szCs w:val="28"/>
        </w:rPr>
      </w:pPr>
      <w:r>
        <w:rPr>
          <w:rFonts w:hint="eastAsia" w:ascii="仿宋" w:hAnsi="仿宋" w:eastAsia="仿宋" w:cs="仿宋gb2312"/>
          <w:sz w:val="28"/>
          <w:szCs w:val="28"/>
        </w:rPr>
        <w:t xml:space="preserve">配线子系统各缆线长度应符合划分并应符合下列要求： </w:t>
      </w:r>
    </w:p>
    <w:p>
      <w:pPr>
        <w:widowControl/>
        <w:numPr>
          <w:ilvl w:val="0"/>
          <w:numId w:val="4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综合布线系统信道应由最长90m水平缆线、最长10m的跳线和设备缆线及最多4个连接器件组成，永久链路则由90m水平缆线及3个连接器件组成。</w:t>
      </w:r>
    </w:p>
    <w:p>
      <w:pPr>
        <w:widowControl/>
        <w:numPr>
          <w:ilvl w:val="0"/>
          <w:numId w:val="4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 xml:space="preserve">工作区设备缆线、电信间配线设备的跳线和设备缆线之和不应大于 10m，当大于 10m 时，水平缆线长度(90m)应适当减少。  </w:t>
      </w:r>
    </w:p>
    <w:p>
      <w:pPr>
        <w:widowControl/>
        <w:numPr>
          <w:ilvl w:val="0"/>
          <w:numId w:val="4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设备跳线、设备缆线及工作区设备缆线各自的长度不应大于5m。</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系统传输介质及类型选则</w:t>
      </w:r>
    </w:p>
    <w:p>
      <w:pPr>
        <w:widowControl/>
        <w:spacing w:line="560" w:lineRule="exact"/>
        <w:ind w:firstLine="560" w:firstLineChars="200"/>
        <w:rPr>
          <w:rFonts w:hint="eastAsia" w:ascii="仿宋" w:hAnsi="仿宋" w:eastAsia="仿宋" w:cs="仿宋gb2312"/>
          <w:sz w:val="28"/>
          <w:szCs w:val="28"/>
        </w:rPr>
      </w:pPr>
      <w:r>
        <w:rPr>
          <w:rFonts w:hint="eastAsia" w:ascii="仿宋" w:hAnsi="仿宋" w:eastAsia="仿宋" w:cs="仿宋gb2312"/>
          <w:sz w:val="28"/>
          <w:szCs w:val="28"/>
        </w:rPr>
        <w:t>办公运维及智能化综合布线系统传输介质及类型选则如下：</w:t>
      </w:r>
    </w:p>
    <w:p>
      <w:pPr>
        <w:widowControl/>
        <w:numPr>
          <w:ilvl w:val="0"/>
          <w:numId w:val="4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四对双绞线铜缆外护套、光缆外护套防火等级均需满足《GB50174-2017 数据中心设计规范》的要求。</w:t>
      </w:r>
    </w:p>
    <w:p>
      <w:pPr>
        <w:widowControl/>
        <w:numPr>
          <w:ilvl w:val="0"/>
          <w:numId w:val="4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多模光缆均采用OM4光缆，铜缆以六类非屏蔽铜缆为主。</w:t>
      </w:r>
    </w:p>
    <w:p>
      <w:pPr>
        <w:widowControl/>
        <w:numPr>
          <w:ilvl w:val="0"/>
          <w:numId w:val="4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磁场强度大于3V/m、安装间距无法满足要求、环境温度影响非屏蔽线缆传输距离、防电磁干扰和防信息泄漏、网络安全保密等条件的功能区域采用六类屏蔽铜缆或光缆。</w:t>
      </w:r>
    </w:p>
    <w:p>
      <w:pPr>
        <w:widowControl/>
        <w:numPr>
          <w:ilvl w:val="0"/>
          <w:numId w:val="4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铜缆采用现场打线端接、光缆采用现场熔接方式。</w:t>
      </w:r>
    </w:p>
    <w:p>
      <w:pPr>
        <w:widowControl/>
        <w:numPr>
          <w:ilvl w:val="0"/>
          <w:numId w:val="4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设计铜缆/光缆跳线暂按办公运维及智能化系统信息点数量的50%配置。</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系统规划设计</w:t>
      </w:r>
    </w:p>
    <w:p>
      <w:pPr>
        <w:widowControl/>
        <w:spacing w:line="560" w:lineRule="exact"/>
        <w:ind w:firstLine="560" w:firstLineChars="200"/>
        <w:rPr>
          <w:rFonts w:hint="eastAsia" w:ascii="仿宋" w:hAnsi="仿宋" w:eastAsia="仿宋" w:cs="仿宋gb2312"/>
          <w:sz w:val="28"/>
          <w:szCs w:val="28"/>
        </w:rPr>
      </w:pPr>
      <w:r>
        <w:rPr>
          <w:rFonts w:hint="eastAsia" w:ascii="仿宋" w:hAnsi="仿宋" w:eastAsia="仿宋" w:cs="仿宋gb2312"/>
          <w:sz w:val="28"/>
          <w:szCs w:val="28"/>
        </w:rPr>
        <w:t>系统设计要求暂定如下：（中标后需细化）</w:t>
      </w:r>
    </w:p>
    <w:p>
      <w:pPr>
        <w:widowControl/>
        <w:numPr>
          <w:ilvl w:val="0"/>
          <w:numId w:val="4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办公运维及智能化综合布线系统要求为统一平台，统一规划，应按各系统对信息的传输要求进行合理化设计，包括：办公运维专网、视频监控专网、其它弱电智能化专网。</w:t>
      </w:r>
    </w:p>
    <w:p>
      <w:pPr>
        <w:widowControl/>
        <w:numPr>
          <w:ilvl w:val="0"/>
          <w:numId w:val="4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办公运维及智能化综合布线系统由干线子系统及配线子系统构成，应合理规划配线子系统FD及干线子系统BD所在的位置。</w:t>
      </w:r>
    </w:p>
    <w:p>
      <w:pPr>
        <w:widowControl/>
        <w:numPr>
          <w:ilvl w:val="0"/>
          <w:numId w:val="4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办公运维及智能化综合布线系统信息点类型包括但不限于：语音、数量、IP摄像机及其它具有TCP/IP通信协议的弱电系统信息传输设备（如：门禁控制器、报警主机、嵌入式服务器等）。</w:t>
      </w:r>
    </w:p>
    <w:p>
      <w:pPr>
        <w:widowControl/>
        <w:numPr>
          <w:ilvl w:val="0"/>
          <w:numId w:val="4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在机房模块内部、辅助区、支持区、办公、值班区域及设备机房入口处等区域设置信息点，语音点和数据点可以灵活互换,用于支持语音、数据通信。</w:t>
      </w:r>
    </w:p>
    <w:p>
      <w:pPr>
        <w:widowControl/>
        <w:numPr>
          <w:ilvl w:val="0"/>
          <w:numId w:val="4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全部的铜缆信息点均端接于24口六类快接式铜缆配线架上，语音和数据的连接管理，通过不同的跳线与数据交换机或语音配线间连接。</w:t>
      </w:r>
    </w:p>
    <w:p>
      <w:pPr>
        <w:widowControl/>
        <w:numPr>
          <w:ilvl w:val="0"/>
          <w:numId w:val="4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光纤的连接均采用 24口/48芯LC光纤配线架。</w:t>
      </w:r>
    </w:p>
    <w:p>
      <w:pPr>
        <w:widowControl/>
        <w:numPr>
          <w:ilvl w:val="0"/>
          <w:numId w:val="4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数据主干采用50/125μm室内OM4多模光缆，每个楼层电信间（FD）要求采用2根12芯主干光缆；</w:t>
      </w:r>
    </w:p>
    <w:p>
      <w:pPr>
        <w:widowControl/>
        <w:numPr>
          <w:ilvl w:val="0"/>
          <w:numId w:val="4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语音主干采用三类25对/50对/100对大对数主干电缆，每个语音点按主干1对铜缆配置，并留有25%以上的扩展余量。</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283" w:name="_Toc6724"/>
      <w:bookmarkStart w:id="284" w:name="_Toc18157104"/>
      <w:r>
        <w:rPr>
          <w:rFonts w:hint="eastAsia" w:ascii="楷体" w:hAnsi="楷体" w:eastAsia="仿宋" w:cs="Times New Roman"/>
          <w:b/>
          <w:kern w:val="2"/>
          <w:sz w:val="28"/>
          <w:lang w:val="en-US" w:eastAsia="zh-CN" w:bidi="ar-SA"/>
        </w:rPr>
        <w:t>安全防范系统</w:t>
      </w:r>
      <w:bookmarkEnd w:id="283"/>
      <w:bookmarkEnd w:id="284"/>
    </w:p>
    <w:p>
      <w:pPr>
        <w:widowControl/>
        <w:numPr>
          <w:ilvl w:val="0"/>
          <w:numId w:val="47"/>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安全管理系统是一个基于客户端/服务器，分布式的网络管理平台，通过信息共享、信息处理和控制互联实现各子系统的集中控制和管理。安全管理系统的故障应不影响各子系统的运行；某一子系统的故障应不影响其它子系统的运行。应能对各子系统的运行状态进行监测和控制，应能对系统运行状况和报警信息数据等进行记录和显示。应设置足够容量的数据库。应留有向接处警中心联网的通信接口。应留有多个数据输入、输出接口，应能连接各子系统的主机，应能连接上位管理计算机，以实现更大规模的系统集成。</w:t>
      </w:r>
    </w:p>
    <w:p>
      <w:pPr>
        <w:widowControl/>
        <w:numPr>
          <w:ilvl w:val="0"/>
          <w:numId w:val="47"/>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安全防范系统供电设计应符合现行国家标准《安全防范系统供电技术要求》GB/T 15408 的有关规定。应根据安全防范系统的建设和运行需要，设定安全防范设备负荷等级，应按照测算的安全防范系统和设备功耗等数据对主电源功率容量做出基本规划。安全防范系统的主电源断电后，备用电源应在规定的应急供电时间内，保持系统状态．记录系统状态信息，并向安全防范系统特定设备发出报警信息，应急供电时间应由防护目标的风险等级、防护级别和其他使用管理要求共同确定。供电系统可配置适当的配电箱／柜和可靠的供电线缆。供电设备和供电线缆应有实体防护措施．并应按照强弱电分隔的原则合理布局。</w:t>
      </w:r>
    </w:p>
    <w:p>
      <w:pPr>
        <w:widowControl/>
        <w:numPr>
          <w:ilvl w:val="0"/>
          <w:numId w:val="47"/>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监控中心值守区与设备区为两个独立物理区域且不相邻时，两个区域之间的传输线缆应封闭保护，来自高凤险区域的线缆路由经过低风险区域时，应采取必要的防妒措施。</w:t>
      </w:r>
    </w:p>
    <w:p>
      <w:pPr>
        <w:widowControl/>
        <w:numPr>
          <w:ilvl w:val="0"/>
          <w:numId w:val="47"/>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安全防范工程的设计除应满足系统的安全防范效能外，还应满足紧急情况下疏散通道人员疏散的需要。</w:t>
      </w:r>
    </w:p>
    <w:p>
      <w:pPr>
        <w:widowControl/>
        <w:numPr>
          <w:ilvl w:val="0"/>
          <w:numId w:val="47"/>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安全防范系统设计应针对需要防范的风险，按照纵深防护和均衡防护的原则，统筹考虑人力防范能力．协调配置实体防护和（或）电子防护设备、设施，对保护对象从单位、部位和（或）区域、目标三个层面进行防护，主要包含如下相关内容：</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周界的防护；</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出入口的防护；</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通道和公共区域防护；</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主机房区域防护；</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辅助区、支持区及行政管理区等区域防护；</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各类管道井防护；</w:t>
      </w:r>
    </w:p>
    <w:p>
      <w:pPr>
        <w:widowControl/>
        <w:numPr>
          <w:ilvl w:val="0"/>
          <w:numId w:val="4"/>
        </w:numPr>
        <w:spacing w:line="560" w:lineRule="exact"/>
        <w:ind w:left="420" w:hanging="420"/>
        <w:rPr>
          <w:rFonts w:hint="eastAsia" w:ascii="仿宋" w:hAnsi="仿宋" w:eastAsia="仿宋" w:cs="仿宋gb2312"/>
          <w:sz w:val="28"/>
          <w:szCs w:val="28"/>
        </w:rPr>
      </w:pPr>
      <w:r>
        <w:rPr>
          <w:rFonts w:hint="eastAsia" w:ascii="Calibri" w:hAnsi="Calibri" w:eastAsia="仿宋" w:cs="Times New Roman"/>
          <w:sz w:val="28"/>
          <w:szCs w:val="22"/>
        </w:rPr>
        <w:t>室外平台与机房相关的设备安装区域及其出入口与通道。</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安全防范管理平台</w:t>
      </w:r>
    </w:p>
    <w:p>
      <w:pPr>
        <w:widowControl w:val="0"/>
        <w:numPr>
          <w:ilvl w:val="2"/>
          <w:numId w:val="48"/>
        </w:numPr>
        <w:tabs>
          <w:tab w:val="left" w:pos="1984"/>
          <w:tab w:val="left" w:pos="6300"/>
        </w:tabs>
        <w:spacing w:line="560" w:lineRule="exact"/>
        <w:ind w:left="0" w:firstLine="0"/>
        <w:jc w:val="left"/>
        <w:textAlignment w:val="baseline"/>
        <w:outlineLvl w:val="4"/>
        <w:rPr>
          <w:rFonts w:hint="eastAsia" w:ascii="仿宋" w:hAnsi="仿宋" w:eastAsia="仿宋" w:cs="仿宋gb2312"/>
          <w:b/>
          <w:sz w:val="28"/>
          <w:szCs w:val="28"/>
        </w:rPr>
      </w:pPr>
      <w:r>
        <w:rPr>
          <w:rFonts w:hint="eastAsia" w:ascii="仿宋" w:hAnsi="仿宋" w:eastAsia="仿宋" w:cs="仿宋gb2312"/>
          <w:b/>
          <w:sz w:val="28"/>
          <w:szCs w:val="28"/>
        </w:rPr>
        <w:t>功能需求</w:t>
      </w:r>
    </w:p>
    <w:p>
      <w:pPr>
        <w:widowControl/>
        <w:numPr>
          <w:ilvl w:val="0"/>
          <w:numId w:val="4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安全防范系统的集成设计应包括子系统的集成设计、总系统的集成设计，必要时还应考虑总系统与上一级管理系统的集成设计。</w:t>
      </w:r>
    </w:p>
    <w:p>
      <w:pPr>
        <w:widowControl/>
        <w:numPr>
          <w:ilvl w:val="0"/>
          <w:numId w:val="4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安全防范管理平台是安全防范系统集成与联网的核心，其设计应包括集成管理、信息管理、用户管理、设备管理、联动控制、日志管理、统计分析、系统校时、预案管理、人机交互、联网共享、指挥调度、智能应用、系统运维、安全管控等功能。</w:t>
      </w:r>
    </w:p>
    <w:p>
      <w:pPr>
        <w:widowControl/>
        <w:numPr>
          <w:ilvl w:val="0"/>
          <w:numId w:val="49"/>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安全防范管理平台的故障不应影响各子系统的正常运行。某一子系统的故障不应影响安全防范管理平台和其他子系统的正常运行。上级安全防范管理平台的故障不应影响下级安全防范管理平台的正常运行。当安全防范系统与其他电子信息系统集成联网时，其他电子信息系统的故障不应影响安全防范系统的正常运行。</w:t>
      </w:r>
    </w:p>
    <w:p>
      <w:pPr>
        <w:widowControl w:val="0"/>
        <w:numPr>
          <w:ilvl w:val="2"/>
          <w:numId w:val="48"/>
        </w:numPr>
        <w:tabs>
          <w:tab w:val="left" w:pos="1984"/>
          <w:tab w:val="left" w:pos="6300"/>
        </w:tabs>
        <w:spacing w:line="560" w:lineRule="exact"/>
        <w:ind w:left="0" w:firstLine="0"/>
        <w:jc w:val="left"/>
        <w:textAlignment w:val="baseline"/>
        <w:outlineLvl w:val="4"/>
        <w:rPr>
          <w:rFonts w:hint="eastAsia" w:ascii="仿宋" w:hAnsi="仿宋" w:eastAsia="仿宋" w:cs="仿宋gb2312"/>
          <w:b/>
          <w:sz w:val="28"/>
          <w:szCs w:val="28"/>
        </w:rPr>
      </w:pPr>
      <w:r>
        <w:rPr>
          <w:rFonts w:hint="eastAsia" w:ascii="仿宋" w:hAnsi="仿宋" w:eastAsia="仿宋" w:cs="仿宋gb2312"/>
          <w:b/>
          <w:sz w:val="28"/>
          <w:szCs w:val="28"/>
        </w:rPr>
        <w:t>系统集成及联动要求</w:t>
      </w:r>
    </w:p>
    <w:p>
      <w:pPr>
        <w:widowControl/>
        <w:numPr>
          <w:ilvl w:val="0"/>
          <w:numId w:val="50"/>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安全防范系统可通过独立设置的安全防范管理平台进行集成，也可基于某一子系统的管理平台进行集成，合理选择下列系统集成联网方式：</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通过不同子系统设备之间的信号驱动实现的简单联动。</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通过不同子系统管理软件之间的通信实现的子系统联动方式。</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通过安全防范管理平台实现对安全防范各子系统以及其他子系统集中控制与管理的集成方式。</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通过对多级安全防范管理平台的互联，实现大范围、跨区域安全防范系统的级联方式。</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根据安全防范管理的需要，安全防程系统还可与其他业务系统(如</w:t>
      </w:r>
      <w:r>
        <w:rPr>
          <w:rFonts w:hint="eastAsia" w:ascii="仿宋" w:hAnsi="仿宋" w:eastAsia="仿宋" w:cs="Times New Roman"/>
          <w:sz w:val="28"/>
          <w:szCs w:val="28"/>
        </w:rPr>
        <w:t>数据中心基础设施管理系统</w:t>
      </w:r>
      <w:r>
        <w:rPr>
          <w:rFonts w:hint="eastAsia" w:ascii="Calibri" w:hAnsi="Calibri" w:eastAsia="仿宋" w:cs="Times New Roman"/>
          <w:sz w:val="28"/>
          <w:szCs w:val="22"/>
        </w:rPr>
        <w:t>)进行集成、联网的综合应用方式。</w:t>
      </w:r>
    </w:p>
    <w:p>
      <w:pPr>
        <w:widowControl/>
        <w:numPr>
          <w:ilvl w:val="0"/>
          <w:numId w:val="50"/>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安全防范管理平台能实现各子系统之间的联动．实现集中的报警受理、报警联动、视音频调用、图像显示等。当子系统之间联动时，可在安全防范管理平台上产生联动信息，如当产生入侵报警时，弹出报警点位置，并弹出视频图像等。</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视频监控系统</w:t>
      </w:r>
    </w:p>
    <w:p>
      <w:pPr>
        <w:widowControl/>
        <w:numPr>
          <w:ilvl w:val="0"/>
          <w:numId w:val="51"/>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视频安防监控系统工程的设计应综合应用视频探测、图像处理／控制／显示／记录、多媒体、有线／无线通讯、计算机网络、系统集成等先进而成熟的技术，配置可靠而适用的设备，构成先进、可靠、经济、适用、配套的视频监控应用系统。</w:t>
      </w:r>
    </w:p>
    <w:p>
      <w:pPr>
        <w:widowControl/>
        <w:numPr>
          <w:ilvl w:val="0"/>
          <w:numId w:val="51"/>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本项目视频监控系统主要采用数字视频监控系统，以IP数据包的形式在安防专用局域网上传输，实现分布监控，集中控制和管理的功能。</w:t>
      </w:r>
    </w:p>
    <w:p>
      <w:pPr>
        <w:widowControl/>
        <w:numPr>
          <w:ilvl w:val="0"/>
          <w:numId w:val="51"/>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视频监控系统应与安全防范管理平台的无缝集成，通过安全防范管理平台实时图像显示、图像存储、录像回放、矩阵切换、电子地图显示，且与门禁系统、入侵报警系统等实体保卫的其它各个子系统实现联动控制，通过各种事件和报警触发监控图像的显示、记录以及调用。当与其他系统联合设计时，应进行系统集成设计，各系统之间应相互兼 容又能独立工作。</w:t>
      </w:r>
    </w:p>
    <w:p>
      <w:pPr>
        <w:widowControl/>
        <w:numPr>
          <w:ilvl w:val="0"/>
          <w:numId w:val="51"/>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摄像机采用1080P高清摄像机，采用集中、动态存储形式。电源采用本层交换机POE供电。前端布置原则：公共走廊及主要出入口设固定摄像机及半球摄像机，数据中心核心机房区和辅助用房内设固定摄像机。其它区域（如室外平台）根据安装位置和环境采用防水、防爆摄像机。</w:t>
      </w:r>
    </w:p>
    <w:p>
      <w:pPr>
        <w:widowControl/>
        <w:numPr>
          <w:ilvl w:val="0"/>
          <w:numId w:val="51"/>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录像存储设备采用磁盘阵列存储方式，存储形式采用D1格式，每路录像码流按照2Mbps计算。采用7×24小时实时或报警联动存储，存储资料保存周期为6个月（按180天计），存储采用循环覆盖方式且可以通过网络实现存储数据的回放功能。对数据中心机房区的出入口、主要通道、主机房,及各辅助区域等区域进行远程监控、不留死角。</w:t>
      </w:r>
    </w:p>
    <w:p>
      <w:pPr>
        <w:widowControl/>
        <w:numPr>
          <w:ilvl w:val="0"/>
          <w:numId w:val="51"/>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系统应具有对图像信号采集、传输、切换控制、显示、分配、记录和重放的基本功能, 设计应满足以下要求：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不同防范对象、防范区域对防范需求(包括风险等级和管理要求)的确认；</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风险等级、安全防护级别对视频探测设备数量和视频显示／记录设备数量要求；对图像显示及记录和回放的图像质量要求；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监视目标的环境条件和建筑格局分布对视频探测设备选型及其设置位置的要求；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对控制终端设置的要求；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对系统构成和视频切换、控制功能的要求；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满足与其他安防子系统集成的要求，系统应具有与其他系统联动的接口。当其他系统向视频系统给出联动信号时，系统能按照预定工作模式，切换出相应部位的图像至指定监视器上，并能启动视频记录设备，其联动响应时间不大于4s；</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视频(音频)和控制信号传输的条件以及对传输方式的要求。</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入侵报警系统</w:t>
      </w:r>
    </w:p>
    <w:p>
      <w:pPr>
        <w:widowControl/>
        <w:numPr>
          <w:ilvl w:val="0"/>
          <w:numId w:val="52"/>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为了保证数据中心安全，防止非法入侵，本项目设置了入侵报警系统。在数据中心区域的各出入口、主要通道、监控中心、机房区等处设置紧急报警装置、探测器，声光显示装置等，对这些重要区域进行布防，进一步防止对这些重要区的非法入侵。可设定分时段设防和撤防，可与视频监控系统联动，启动摄像机对现场情况进行录像。此外，该系统具有防拆防破坏功能，并留有与当地110报警中心联网的接口。</w:t>
      </w:r>
    </w:p>
    <w:p>
      <w:pPr>
        <w:widowControl/>
        <w:numPr>
          <w:ilvl w:val="0"/>
          <w:numId w:val="52"/>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入侵报警系统主要由前端设备（包括探测器和紧急报警装置）、传输设备、处理/控制/管理设备和显示/记录设备四个部分构成。</w:t>
      </w:r>
    </w:p>
    <w:p>
      <w:pPr>
        <w:widowControl/>
        <w:numPr>
          <w:ilvl w:val="0"/>
          <w:numId w:val="52"/>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系统通过入侵报警主机的集中管理和操作控制，如布、撤防等，构成立体的安全防护体系。当系统确认报警信号后，自动发出报警信号，提示相关管理人员及时处理报警信息，并通过与视频监控子系统的联动等功能的实现，达到较高的安全防范水平。安全防范系统的其他子系统和安全管理系统的故障宜不影响入侵和紧急报警系统的运行，入侵和紧急报警系统的故障宜不影响安全防范系统其他子系统的运行；当用于高风险保护对象时，安全防范系统的其他子系统和安全防范管理平台的故障均应不影响入侵和紧急报警系统的运行，入侵和紧急报警系统的放障应不影响安全防范系统其他子系统的运行。</w:t>
      </w:r>
    </w:p>
    <w:p>
      <w:pPr>
        <w:widowControl/>
        <w:numPr>
          <w:ilvl w:val="0"/>
          <w:numId w:val="52"/>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入侵和紧急报警系统设计内容应包括安全等级、探测、防拆、防破坏及故障识别、设置、操作、指示、通告、传输、记录、响应、复核、独立运行、误报警与漏报警、报警信息分析等，设备的安全等级不应低于系统的安全等级。多个报警系统共享部件的安全等级应与各系统中最高的安全等级一致。</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出入口控制系统</w:t>
      </w:r>
    </w:p>
    <w:p>
      <w:pPr>
        <w:widowControl/>
        <w:numPr>
          <w:ilvl w:val="0"/>
          <w:numId w:val="5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门禁系统由门禁控制器、读卡器、生物识别仪、出门按钮、玻璃破碎紧急按钮、电控锁、门磁、门禁主机及后台管理系统（门禁管理软/硬件）等组成。出入口控制管理系统即门禁管理系统架构：设计采用模块化、开放式的系统结构，系统基于以太网传输方式，采用TCP/IP通信协议，门禁控制器总线数据通过网络转换器实现协议转换，并经安防专用网实现数据上传与下载。</w:t>
      </w:r>
    </w:p>
    <w:p>
      <w:pPr>
        <w:widowControl/>
        <w:numPr>
          <w:ilvl w:val="0"/>
          <w:numId w:val="5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出入口控制系统根据不同区域防护级别、管理要求、环境条件、出入口识别功能、出入口控制点执行功能等划分四个安全等级(等级4为最高)，安全等级对应到每个出入口控制点，采用不同出入口控制方式及出入口状态监测。招投标设计时需提供安全等级划分表，格式如下：</w:t>
      </w:r>
    </w:p>
    <w:p>
      <w:pPr>
        <w:widowControl/>
        <w:tabs>
          <w:tab w:val="left" w:pos="709"/>
          <w:tab w:val="left" w:pos="840"/>
          <w:tab w:val="left" w:pos="1060"/>
        </w:tabs>
        <w:spacing w:line="560" w:lineRule="exact"/>
        <w:ind w:firstLine="281" w:firstLineChars="100"/>
        <w:jc w:val="center"/>
        <w:textAlignment w:val="baseline"/>
        <w:rPr>
          <w:rFonts w:hint="eastAsia" w:ascii="仿宋" w:hAnsi="仿宋" w:eastAsia="仿宋" w:cs="仿宋gb2312"/>
          <w:b/>
          <w:sz w:val="28"/>
          <w:szCs w:val="28"/>
        </w:rPr>
      </w:pPr>
      <w:r>
        <w:rPr>
          <w:rFonts w:hint="eastAsia" w:ascii="仿宋" w:hAnsi="仿宋" w:eastAsia="仿宋" w:cs="仿宋gb2312"/>
          <w:b/>
          <w:sz w:val="28"/>
          <w:szCs w:val="28"/>
        </w:rPr>
        <w:t>安出入口控制系统全等级表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3047"/>
        <w:gridCol w:w="1559"/>
        <w:gridCol w:w="1319"/>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22"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序号</w:t>
            </w:r>
          </w:p>
        </w:tc>
        <w:tc>
          <w:tcPr>
            <w:tcW w:w="3047"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功能间名称</w:t>
            </w:r>
          </w:p>
        </w:tc>
        <w:tc>
          <w:tcPr>
            <w:tcW w:w="1559"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级别</w:t>
            </w:r>
          </w:p>
        </w:tc>
        <w:tc>
          <w:tcPr>
            <w:tcW w:w="1319"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进门方式</w:t>
            </w:r>
          </w:p>
        </w:tc>
        <w:tc>
          <w:tcPr>
            <w:tcW w:w="1495" w:type="dxa"/>
            <w:noWrap w:val="0"/>
            <w:vAlign w:val="center"/>
          </w:tcPr>
          <w:p>
            <w:pPr>
              <w:widowControl/>
              <w:spacing w:line="560" w:lineRule="exact"/>
              <w:ind w:firstLine="280" w:firstLineChars="100"/>
              <w:rPr>
                <w:rFonts w:hint="eastAsia" w:ascii="仿宋" w:hAnsi="仿宋" w:eastAsia="仿宋" w:cs="仿宋gb2312"/>
                <w:sz w:val="28"/>
                <w:szCs w:val="24"/>
              </w:rPr>
            </w:pPr>
            <w:r>
              <w:rPr>
                <w:rFonts w:hint="eastAsia" w:ascii="仿宋" w:hAnsi="仿宋" w:eastAsia="仿宋" w:cs="仿宋gb2312"/>
                <w:sz w:val="28"/>
                <w:szCs w:val="24"/>
              </w:rPr>
              <w:t>出门方式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22"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1</w:t>
            </w:r>
          </w:p>
        </w:tc>
        <w:tc>
          <w:tcPr>
            <w:tcW w:w="3047" w:type="dxa"/>
            <w:noWrap w:val="0"/>
            <w:vAlign w:val="center"/>
          </w:tcPr>
          <w:p>
            <w:pPr>
              <w:widowControl/>
              <w:spacing w:line="560" w:lineRule="exact"/>
              <w:jc w:val="left"/>
              <w:rPr>
                <w:rFonts w:hint="eastAsia" w:ascii="仿宋" w:hAnsi="仿宋" w:eastAsia="仿宋" w:cs="仿宋gb2312"/>
                <w:sz w:val="28"/>
                <w:szCs w:val="24"/>
              </w:rPr>
            </w:pPr>
            <w:r>
              <w:rPr>
                <w:rFonts w:hint="eastAsia" w:ascii="仿宋" w:hAnsi="仿宋" w:eastAsia="仿宋" w:cs="仿宋gb2312"/>
                <w:sz w:val="28"/>
                <w:szCs w:val="24"/>
              </w:rPr>
              <w:t>机房模块</w:t>
            </w:r>
          </w:p>
        </w:tc>
        <w:tc>
          <w:tcPr>
            <w:tcW w:w="1559" w:type="dxa"/>
            <w:noWrap w:val="0"/>
            <w:vAlign w:val="center"/>
          </w:tcPr>
          <w:p>
            <w:pPr>
              <w:widowControl/>
              <w:spacing w:line="560" w:lineRule="exact"/>
              <w:jc w:val="center"/>
              <w:rPr>
                <w:rFonts w:hint="eastAsia" w:ascii="仿宋" w:hAnsi="仿宋" w:eastAsia="仿宋" w:cs="仿宋gb2312"/>
                <w:sz w:val="28"/>
                <w:szCs w:val="24"/>
              </w:rPr>
            </w:pPr>
          </w:p>
        </w:tc>
        <w:tc>
          <w:tcPr>
            <w:tcW w:w="1319"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人脸识别</w:t>
            </w:r>
          </w:p>
        </w:tc>
        <w:tc>
          <w:tcPr>
            <w:tcW w:w="1495"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22"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2</w:t>
            </w:r>
          </w:p>
        </w:tc>
        <w:tc>
          <w:tcPr>
            <w:tcW w:w="3047" w:type="dxa"/>
            <w:noWrap w:val="0"/>
            <w:vAlign w:val="center"/>
          </w:tcPr>
          <w:p>
            <w:pPr>
              <w:widowControl/>
              <w:spacing w:line="560" w:lineRule="exact"/>
              <w:rPr>
                <w:rFonts w:hint="eastAsia" w:ascii="仿宋" w:hAnsi="仿宋" w:eastAsia="仿宋" w:cs="仿宋gb2312"/>
                <w:sz w:val="28"/>
                <w:szCs w:val="24"/>
              </w:rPr>
            </w:pPr>
            <w:r>
              <w:rPr>
                <w:rFonts w:hint="eastAsia" w:ascii="仿宋" w:hAnsi="仿宋" w:eastAsia="仿宋" w:cs="仿宋gb2312"/>
                <w:sz w:val="28"/>
                <w:szCs w:val="24"/>
              </w:rPr>
              <w:t>空调维护通道</w:t>
            </w:r>
          </w:p>
        </w:tc>
        <w:tc>
          <w:tcPr>
            <w:tcW w:w="1559" w:type="dxa"/>
            <w:noWrap w:val="0"/>
            <w:vAlign w:val="center"/>
          </w:tcPr>
          <w:p>
            <w:pPr>
              <w:widowControl/>
              <w:spacing w:line="560" w:lineRule="exact"/>
              <w:jc w:val="center"/>
              <w:rPr>
                <w:rFonts w:hint="eastAsia" w:ascii="仿宋" w:hAnsi="仿宋" w:eastAsia="仿宋" w:cs="仿宋gb2312"/>
                <w:sz w:val="28"/>
                <w:szCs w:val="24"/>
              </w:rPr>
            </w:pPr>
          </w:p>
        </w:tc>
        <w:tc>
          <w:tcPr>
            <w:tcW w:w="1319"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刷卡</w:t>
            </w:r>
          </w:p>
        </w:tc>
        <w:tc>
          <w:tcPr>
            <w:tcW w:w="1495"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22"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3</w:t>
            </w:r>
          </w:p>
        </w:tc>
        <w:tc>
          <w:tcPr>
            <w:tcW w:w="3047" w:type="dxa"/>
            <w:noWrap w:val="0"/>
            <w:vAlign w:val="center"/>
          </w:tcPr>
          <w:p>
            <w:pPr>
              <w:widowControl/>
              <w:spacing w:line="560" w:lineRule="exact"/>
              <w:rPr>
                <w:rFonts w:hint="eastAsia" w:ascii="仿宋" w:hAnsi="仿宋" w:eastAsia="仿宋" w:cs="仿宋gb2312"/>
                <w:sz w:val="28"/>
                <w:szCs w:val="24"/>
              </w:rPr>
            </w:pPr>
            <w:r>
              <w:rPr>
                <w:rFonts w:hint="eastAsia" w:ascii="仿宋" w:hAnsi="仿宋" w:eastAsia="仿宋" w:cs="仿宋gb2312"/>
                <w:sz w:val="28"/>
                <w:szCs w:val="24"/>
              </w:rPr>
              <w:t>监控中心</w:t>
            </w:r>
          </w:p>
        </w:tc>
        <w:tc>
          <w:tcPr>
            <w:tcW w:w="1559" w:type="dxa"/>
            <w:noWrap w:val="0"/>
            <w:vAlign w:val="center"/>
          </w:tcPr>
          <w:p>
            <w:pPr>
              <w:widowControl/>
              <w:spacing w:line="560" w:lineRule="exact"/>
              <w:jc w:val="center"/>
              <w:rPr>
                <w:rFonts w:hint="eastAsia" w:ascii="仿宋" w:hAnsi="仿宋" w:eastAsia="仿宋" w:cs="仿宋gb2312"/>
                <w:sz w:val="28"/>
                <w:szCs w:val="24"/>
              </w:rPr>
            </w:pPr>
          </w:p>
        </w:tc>
        <w:tc>
          <w:tcPr>
            <w:tcW w:w="1319"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刷卡</w:t>
            </w:r>
          </w:p>
        </w:tc>
        <w:tc>
          <w:tcPr>
            <w:tcW w:w="1495"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22"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4</w:t>
            </w:r>
          </w:p>
        </w:tc>
        <w:tc>
          <w:tcPr>
            <w:tcW w:w="3047" w:type="dxa"/>
            <w:noWrap w:val="0"/>
            <w:vAlign w:val="center"/>
          </w:tcPr>
          <w:p>
            <w:pPr>
              <w:widowControl/>
              <w:spacing w:line="560" w:lineRule="exact"/>
              <w:rPr>
                <w:rFonts w:hint="eastAsia" w:ascii="仿宋" w:hAnsi="仿宋" w:eastAsia="仿宋" w:cs="仿宋gb2312"/>
                <w:sz w:val="28"/>
                <w:szCs w:val="24"/>
              </w:rPr>
            </w:pPr>
            <w:r>
              <w:rPr>
                <w:rFonts w:hint="eastAsia" w:ascii="仿宋" w:hAnsi="仿宋" w:eastAsia="仿宋" w:cs="仿宋gb2312"/>
                <w:sz w:val="28"/>
                <w:szCs w:val="24"/>
              </w:rPr>
              <w:t>UPS配电室、电池室</w:t>
            </w:r>
          </w:p>
        </w:tc>
        <w:tc>
          <w:tcPr>
            <w:tcW w:w="1559" w:type="dxa"/>
            <w:noWrap w:val="0"/>
            <w:vAlign w:val="center"/>
          </w:tcPr>
          <w:p>
            <w:pPr>
              <w:widowControl/>
              <w:spacing w:line="560" w:lineRule="exact"/>
              <w:jc w:val="center"/>
              <w:rPr>
                <w:rFonts w:hint="eastAsia" w:ascii="仿宋" w:hAnsi="仿宋" w:eastAsia="仿宋" w:cs="仿宋gb2312"/>
                <w:sz w:val="28"/>
                <w:szCs w:val="24"/>
              </w:rPr>
            </w:pPr>
          </w:p>
        </w:tc>
        <w:tc>
          <w:tcPr>
            <w:tcW w:w="1319"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刷卡</w:t>
            </w:r>
          </w:p>
        </w:tc>
        <w:tc>
          <w:tcPr>
            <w:tcW w:w="1495"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22"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5</w:t>
            </w:r>
          </w:p>
        </w:tc>
        <w:tc>
          <w:tcPr>
            <w:tcW w:w="3047" w:type="dxa"/>
            <w:noWrap w:val="0"/>
            <w:vAlign w:val="center"/>
          </w:tcPr>
          <w:p>
            <w:pPr>
              <w:widowControl/>
              <w:spacing w:line="560" w:lineRule="exact"/>
              <w:rPr>
                <w:rFonts w:hint="eastAsia" w:ascii="仿宋" w:hAnsi="仿宋" w:eastAsia="仿宋" w:cs="仿宋gb2312"/>
                <w:sz w:val="28"/>
                <w:szCs w:val="24"/>
              </w:rPr>
            </w:pPr>
            <w:r>
              <w:rPr>
                <w:rFonts w:hint="eastAsia" w:ascii="仿宋" w:hAnsi="仿宋" w:eastAsia="仿宋" w:cs="仿宋gb2312"/>
                <w:sz w:val="28"/>
                <w:szCs w:val="24"/>
              </w:rPr>
              <w:t>电信间、管道间、强电间、弱电间、钢瓶室、新风室</w:t>
            </w:r>
          </w:p>
        </w:tc>
        <w:tc>
          <w:tcPr>
            <w:tcW w:w="1559" w:type="dxa"/>
            <w:noWrap w:val="0"/>
            <w:vAlign w:val="center"/>
          </w:tcPr>
          <w:p>
            <w:pPr>
              <w:widowControl/>
              <w:spacing w:line="560" w:lineRule="exact"/>
              <w:rPr>
                <w:rFonts w:hint="eastAsia" w:ascii="仿宋" w:hAnsi="仿宋" w:eastAsia="仿宋" w:cs="仿宋gb2312"/>
                <w:sz w:val="28"/>
                <w:szCs w:val="24"/>
              </w:rPr>
            </w:pPr>
          </w:p>
        </w:tc>
        <w:tc>
          <w:tcPr>
            <w:tcW w:w="1319"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刷卡</w:t>
            </w:r>
          </w:p>
        </w:tc>
        <w:tc>
          <w:tcPr>
            <w:tcW w:w="1495"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22" w:type="dxa"/>
            <w:noWrap w:val="0"/>
            <w:vAlign w:val="center"/>
          </w:tcPr>
          <w:p>
            <w:pPr>
              <w:widowControl/>
              <w:spacing w:line="560" w:lineRule="exact"/>
              <w:jc w:val="center"/>
              <w:rPr>
                <w:rFonts w:hint="eastAsia" w:ascii="仿宋" w:hAnsi="仿宋" w:eastAsia="仿宋" w:cs="仿宋gb2312"/>
                <w:sz w:val="28"/>
                <w:szCs w:val="24"/>
              </w:rPr>
            </w:pPr>
            <w:r>
              <w:rPr>
                <w:rFonts w:hint="eastAsia" w:ascii="仿宋" w:hAnsi="仿宋" w:eastAsia="仿宋" w:cs="仿宋gb2312"/>
                <w:sz w:val="28"/>
                <w:szCs w:val="24"/>
              </w:rPr>
              <w:t>6</w:t>
            </w:r>
          </w:p>
        </w:tc>
        <w:tc>
          <w:tcPr>
            <w:tcW w:w="7420" w:type="dxa"/>
            <w:gridSpan w:val="4"/>
            <w:noWrap w:val="0"/>
            <w:vAlign w:val="center"/>
          </w:tcPr>
          <w:p>
            <w:pPr>
              <w:widowControl/>
              <w:spacing w:line="560" w:lineRule="exact"/>
              <w:jc w:val="left"/>
              <w:rPr>
                <w:rFonts w:hint="eastAsia" w:ascii="仿宋" w:hAnsi="仿宋" w:eastAsia="仿宋" w:cs="仿宋gb2312"/>
                <w:sz w:val="28"/>
                <w:szCs w:val="24"/>
              </w:rPr>
            </w:pPr>
            <w:r>
              <w:rPr>
                <w:rFonts w:hint="eastAsia" w:ascii="仿宋" w:hAnsi="仿宋" w:eastAsia="仿宋" w:cs="仿宋gb2312"/>
                <w:sz w:val="28"/>
                <w:szCs w:val="24"/>
              </w:rPr>
              <w:t>注：以上功能间的设计要求只是作为基本需求，最终要求需以中标后深化为主。</w:t>
            </w:r>
          </w:p>
        </w:tc>
      </w:tr>
    </w:tbl>
    <w:p>
      <w:pPr>
        <w:widowControl/>
        <w:numPr>
          <w:ilvl w:val="0"/>
          <w:numId w:val="5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根据系统功能要求、出入目标数量、出人权限、出入时间段等因素来确定系统的设备选型与配置。电磁锁、读卡器、生物识别装置、出门按钮安装在各个门禁控制出入口，门禁控制器安装位置根据所控制的区域进行布置，要求防破坏。应考虑出入口控制的不同识读技术类型及其防御非法人侵（强行闯入、尾随进入、技术开启等）的能力。</w:t>
      </w:r>
    </w:p>
    <w:p>
      <w:pPr>
        <w:widowControl/>
        <w:numPr>
          <w:ilvl w:val="0"/>
          <w:numId w:val="5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采用非编码信号控制和／或驱动执行部分的管理与控制设备，必须设置于该出入口的对应受控区、同级别受控区或高级别受控区内。出入口执行部分的输入线缆在该出入口的对应受控区、同权限受控区、高权限受控区以外的部分应封闭保护。</w:t>
      </w:r>
    </w:p>
    <w:p>
      <w:pPr>
        <w:widowControl/>
        <w:numPr>
          <w:ilvl w:val="0"/>
          <w:numId w:val="5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出入口控制系统的设置必须满足消防规定的紧急逃生时人员疏散的相关要求。系统不应禁止由其他紧急系统（如火灾等）授权自由出入的功能。当通向疏做通道方向为防护面时，系统必须与火灾报警系统及其他紧急疏散系统联动，当发生火警或需紧急疏散时，人员应能不用避行凭证识读操作即可安全通过。</w:t>
      </w:r>
    </w:p>
    <w:p>
      <w:pPr>
        <w:widowControl/>
        <w:numPr>
          <w:ilvl w:val="0"/>
          <w:numId w:val="5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供电电源断电时系统闭锁装置的启闭状态应满足管理要求。执行机构的有效开启时间应满足出入口流量及人员、物品的安全要求。系统应具有应急开启功能。系统应能独立运行，并应能与电子巡查、入侵报警、视频安防监控等系统联动，宜与安全防范系统的监控中心联网。</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285" w:name="_Toc7603"/>
      <w:r>
        <w:rPr>
          <w:rFonts w:hint="eastAsia" w:ascii="仿宋" w:hAnsi="仿宋" w:eastAsia="仿宋" w:cs="Times New Roman"/>
          <w:b/>
          <w:kern w:val="2"/>
          <w:sz w:val="28"/>
          <w:lang w:val="en-US" w:eastAsia="zh-CN" w:bidi="ar-SA"/>
        </w:rPr>
        <w:t>数据中心基础设施管理系统</w:t>
      </w:r>
      <w:bookmarkEnd w:id="285"/>
    </w:p>
    <w:p>
      <w:pPr>
        <w:numPr>
          <w:ilvl w:val="3"/>
          <w:numId w:val="2"/>
        </w:numPr>
        <w:spacing w:before="0" w:beforeLines="0" w:after="0" w:afterLines="0" w:line="560" w:lineRule="exact"/>
        <w:ind w:left="0" w:firstLine="0"/>
        <w:jc w:val="both"/>
        <w:outlineLvl w:val="3"/>
        <w:rPr>
          <w:rFonts w:hint="eastAsia" w:ascii="仿宋" w:hAnsi="仿宋" w:eastAsia="仿宋" w:cs="Times New Roman"/>
          <w:b/>
          <w:kern w:val="2"/>
          <w:sz w:val="28"/>
          <w:szCs w:val="24"/>
          <w:lang w:val="en-US" w:eastAsia="zh-CN" w:bidi="ar-SA"/>
        </w:rPr>
      </w:pPr>
      <w:r>
        <w:rPr>
          <w:rFonts w:hint="eastAsia" w:ascii="仿宋" w:hAnsi="仿宋" w:eastAsia="仿宋" w:cs="仿宋"/>
          <w:b/>
          <w:kern w:val="2"/>
          <w:sz w:val="28"/>
          <w:szCs w:val="28"/>
          <w:lang w:val="en-US" w:eastAsia="zh-CN" w:bidi="ar-SA"/>
        </w:rPr>
        <w:t>系统概述</w:t>
      </w:r>
    </w:p>
    <w:p>
      <w:pPr>
        <w:widowControl/>
        <w:numPr>
          <w:ilvl w:val="0"/>
          <w:numId w:val="5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rPr>
        <w:t>本系统由数据中心基础设施管理</w:t>
      </w:r>
      <w:r>
        <w:rPr>
          <w:rFonts w:ascii="仿宋" w:hAnsi="仿宋" w:eastAsia="仿宋" w:cs="Times New Roman"/>
          <w:sz w:val="28"/>
          <w:szCs w:val="28"/>
        </w:rPr>
        <w:t>DCIM</w:t>
      </w:r>
      <w:r>
        <w:rPr>
          <w:rFonts w:hint="eastAsia" w:ascii="仿宋" w:hAnsi="仿宋" w:eastAsia="仿宋" w:cs="Times New Roman"/>
          <w:sz w:val="28"/>
          <w:szCs w:val="28"/>
        </w:rPr>
        <w:t>平台、环境及设备监控数据采集，以及子系统接口组成，D</w:t>
      </w:r>
      <w:r>
        <w:rPr>
          <w:rFonts w:ascii="仿宋" w:hAnsi="仿宋" w:eastAsia="仿宋" w:cs="Times New Roman"/>
          <w:sz w:val="28"/>
          <w:szCs w:val="28"/>
        </w:rPr>
        <w:t>CIM</w:t>
      </w:r>
      <w:r>
        <w:rPr>
          <w:rFonts w:hint="eastAsia" w:ascii="仿宋" w:hAnsi="仿宋" w:eastAsia="仿宋" w:cs="Times New Roman"/>
          <w:sz w:val="28"/>
          <w:szCs w:val="28"/>
        </w:rPr>
        <w:t>平台实现统一的设备及环境管理、运维管理、用户管理、权限管理和配置管理，</w:t>
      </w:r>
      <w:r>
        <w:rPr>
          <w:rFonts w:hint="eastAsia" w:ascii="仿宋" w:hAnsi="仿宋" w:eastAsia="仿宋" w:cs="Times New Roman"/>
          <w:sz w:val="28"/>
          <w:szCs w:val="28"/>
          <w:lang w:val="zh-CN"/>
        </w:rPr>
        <w:t>总体目标实现数据中心运维管理的一体化、信息化、自动化。</w:t>
      </w:r>
    </w:p>
    <w:p>
      <w:pPr>
        <w:widowControl/>
        <w:numPr>
          <w:ilvl w:val="0"/>
          <w:numId w:val="5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建设统一的运维管理平台，通过不同形式实现现有运维管理子系统的信息共享、数据流通、流程流转，整合IT运维（暂定）、基础设施运维三大运维模块；引入现代运维、办公模式，打通底层系统监控接口，逐步实现系统监控报警、运维消息推送及跟踪、建设标准运维操作计划、运维数据采集、配置自动化管理等，逐步推进系统运维自动化程度。</w:t>
      </w:r>
    </w:p>
    <w:p>
      <w:pPr>
        <w:widowControl/>
        <w:numPr>
          <w:ilvl w:val="0"/>
          <w:numId w:val="5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D</w:t>
      </w:r>
      <w:r>
        <w:rPr>
          <w:rFonts w:ascii="仿宋" w:hAnsi="仿宋" w:eastAsia="仿宋" w:cs="Times New Roman"/>
          <w:sz w:val="28"/>
          <w:szCs w:val="28"/>
        </w:rPr>
        <w:t>CIM</w:t>
      </w:r>
      <w:r>
        <w:rPr>
          <w:rFonts w:hint="eastAsia" w:ascii="仿宋" w:hAnsi="仿宋" w:eastAsia="仿宋" w:cs="Times New Roman"/>
          <w:sz w:val="28"/>
          <w:szCs w:val="28"/>
        </w:rPr>
        <w:t>系统需</w:t>
      </w:r>
      <w:r>
        <w:rPr>
          <w:rFonts w:ascii="仿宋" w:hAnsi="仿宋" w:eastAsia="仿宋" w:cs="Times New Roman"/>
          <w:sz w:val="28"/>
          <w:szCs w:val="28"/>
        </w:rPr>
        <w:t>集成安全防范系统（相关</w:t>
      </w:r>
      <w:r>
        <w:rPr>
          <w:rFonts w:hint="eastAsia" w:ascii="仿宋" w:hAnsi="仿宋" w:eastAsia="仿宋" w:cs="Times New Roman"/>
          <w:sz w:val="28"/>
          <w:szCs w:val="28"/>
        </w:rPr>
        <w:t>技术</w:t>
      </w:r>
      <w:r>
        <w:rPr>
          <w:rFonts w:ascii="仿宋" w:hAnsi="仿宋" w:eastAsia="仿宋" w:cs="Times New Roman"/>
          <w:sz w:val="28"/>
          <w:szCs w:val="28"/>
        </w:rPr>
        <w:t>要求参考</w:t>
      </w:r>
      <w:r>
        <w:rPr>
          <w:rFonts w:hint="eastAsia" w:ascii="仿宋" w:hAnsi="仿宋" w:eastAsia="仿宋" w:cs="Times New Roman"/>
          <w:sz w:val="28"/>
          <w:szCs w:val="28"/>
        </w:rPr>
        <w:t>“</w:t>
      </w:r>
      <w:r>
        <w:rPr>
          <w:rFonts w:ascii="仿宋" w:hAnsi="仿宋" w:eastAsia="仿宋" w:cs="Times New Roman"/>
          <w:sz w:val="28"/>
          <w:szCs w:val="28"/>
        </w:rPr>
        <w:t>安全防</w:t>
      </w:r>
      <w:r>
        <w:rPr>
          <w:rFonts w:hint="eastAsia" w:ascii="仿宋" w:hAnsi="仿宋" w:eastAsia="仿宋" w:cs="Times New Roman"/>
          <w:sz w:val="28"/>
          <w:szCs w:val="28"/>
        </w:rPr>
        <w:t>范</w:t>
      </w:r>
      <w:r>
        <w:rPr>
          <w:rFonts w:ascii="仿宋" w:hAnsi="仿宋" w:eastAsia="仿宋" w:cs="Times New Roman"/>
          <w:sz w:val="28"/>
          <w:szCs w:val="28"/>
        </w:rPr>
        <w:t>系统”技术要</w:t>
      </w:r>
      <w:r>
        <w:rPr>
          <w:rFonts w:hint="eastAsia" w:ascii="仿宋" w:hAnsi="仿宋" w:eastAsia="仿宋" w:cs="Times New Roman"/>
          <w:sz w:val="28"/>
          <w:szCs w:val="28"/>
        </w:rPr>
        <w:t>求</w:t>
      </w:r>
      <w:r>
        <w:rPr>
          <w:rFonts w:ascii="仿宋" w:hAnsi="仿宋" w:eastAsia="仿宋" w:cs="Times New Roman"/>
          <w:sz w:val="28"/>
          <w:szCs w:val="28"/>
        </w:rPr>
        <w:t>）</w:t>
      </w:r>
    </w:p>
    <w:p>
      <w:pPr>
        <w:widowControl/>
        <w:numPr>
          <w:ilvl w:val="0"/>
          <w:numId w:val="54"/>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lang w:val="zh-CN"/>
        </w:rPr>
        <w:t>系统预留多种对外接口，能向上级集中管理平台提供数据及报警信息，同时也支持子系统的集成（一次集成），并且须提供对接时的技术支持。</w:t>
      </w:r>
    </w:p>
    <w:p>
      <w:pPr>
        <w:widowControl/>
        <w:numPr>
          <w:ilvl w:val="0"/>
          <w:numId w:val="5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环境及设备监控不设置独立的管理平台，由D</w:t>
      </w:r>
      <w:r>
        <w:rPr>
          <w:rFonts w:ascii="仿宋" w:hAnsi="仿宋" w:eastAsia="仿宋" w:cs="Times New Roman"/>
          <w:sz w:val="28"/>
          <w:szCs w:val="28"/>
        </w:rPr>
        <w:t>CIM</w:t>
      </w:r>
      <w:r>
        <w:rPr>
          <w:rFonts w:hint="eastAsia" w:ascii="仿宋" w:hAnsi="仿宋" w:eastAsia="仿宋" w:cs="Times New Roman"/>
          <w:sz w:val="28"/>
          <w:szCs w:val="28"/>
        </w:rPr>
        <w:t>平台直接管理，环境及设备监控主要对机房及相关区域的环境温湿度、空调系统、漏水检测系统</w:t>
      </w:r>
      <w:r>
        <w:rPr>
          <w:rFonts w:hint="eastAsia" w:ascii="Calibri" w:hAnsi="Calibri" w:eastAsia="仿宋" w:cs="Times New Roman"/>
          <w:sz w:val="28"/>
          <w:szCs w:val="22"/>
          <w:lang w:eastAsia="zh-CN"/>
        </w:rPr>
        <w:t>和</w:t>
      </w:r>
      <w:r>
        <w:rPr>
          <w:rFonts w:hint="eastAsia" w:ascii="Calibri" w:hAnsi="Calibri" w:eastAsia="仿宋" w:cs="Times New Roman"/>
          <w:sz w:val="28"/>
          <w:szCs w:val="20"/>
        </w:rPr>
        <w:t>智能母线系统的始端箱</w:t>
      </w:r>
      <w:r>
        <w:rPr>
          <w:rFonts w:hint="eastAsia" w:ascii="仿宋" w:hAnsi="仿宋" w:eastAsia="仿宋" w:cs="Times New Roman"/>
          <w:sz w:val="28"/>
          <w:szCs w:val="28"/>
        </w:rPr>
        <w:t>、UPS设备、智能电表、新风机组及排风机等进行集中监测，市政供水状态监控也应纳入监控范围内。</w:t>
      </w:r>
    </w:p>
    <w:p>
      <w:pPr>
        <w:widowControl/>
        <w:numPr>
          <w:ilvl w:val="0"/>
          <w:numId w:val="5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本工程采用嵌入式采集器来采集各个末端智能设备或仪表的数据，再通过系统交换机将所有数据汇总到D</w:t>
      </w:r>
      <w:r>
        <w:rPr>
          <w:rFonts w:ascii="仿宋" w:hAnsi="仿宋" w:eastAsia="仿宋" w:cs="Times New Roman"/>
          <w:sz w:val="28"/>
          <w:szCs w:val="28"/>
        </w:rPr>
        <w:t>CIM</w:t>
      </w:r>
      <w:r>
        <w:rPr>
          <w:rFonts w:hint="eastAsia" w:ascii="仿宋" w:hAnsi="仿宋" w:eastAsia="仿宋" w:cs="Times New Roman"/>
          <w:sz w:val="28"/>
          <w:szCs w:val="28"/>
        </w:rPr>
        <w:t>管理系统服务器。服务器位于ECC设备间内，可以对整个机房的设施及环境进行集中监视，并以图形方式显示所监控系统的运行状况，实时显示系统动态参数、运行状态和故障情况，环境及设备监控系统的工作站放置在ECC内部，供运维人员监控使用。</w:t>
      </w:r>
    </w:p>
    <w:p>
      <w:pPr>
        <w:widowControl/>
        <w:numPr>
          <w:ilvl w:val="0"/>
          <w:numId w:val="54"/>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机房内的均设置数字式温湿度传感器，温湿度传感器应自带标准的通信接口至少支持如MODBUS（RTU、ASCII、TCP），并通过通信总线的方式和嵌入式服务器相互连接。安装时线缆应预留2m左右供以后温湿度传感器位置调整。</w:t>
      </w:r>
    </w:p>
    <w:p>
      <w:pPr>
        <w:widowControl/>
        <w:numPr>
          <w:ilvl w:val="0"/>
          <w:numId w:val="5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机柜内微环境温度的检测要求采用无线解决方案，无线接收设备通过I</w:t>
      </w:r>
      <w:r>
        <w:rPr>
          <w:rFonts w:ascii="仿宋" w:hAnsi="仿宋" w:eastAsia="仿宋" w:cs="Times New Roman"/>
          <w:sz w:val="28"/>
          <w:szCs w:val="28"/>
        </w:rPr>
        <w:t>P</w:t>
      </w:r>
      <w:r>
        <w:rPr>
          <w:rFonts w:hint="eastAsia" w:ascii="仿宋" w:hAnsi="仿宋" w:eastAsia="仿宋" w:cs="Times New Roman"/>
          <w:sz w:val="28"/>
          <w:szCs w:val="28"/>
        </w:rPr>
        <w:t>接口接入系统管理平台。</w:t>
      </w:r>
    </w:p>
    <w:p>
      <w:pPr>
        <w:widowControl/>
        <w:numPr>
          <w:ilvl w:val="0"/>
          <w:numId w:val="5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为机房或电气设备间服务的空调数据（CRAC）需要集成到环境及设备监控系统中。空调自身控制器需提供标准的通信接口协议至少支持如MODBUS（RTU、ASCII、TCP），并通过通信总线的方式和嵌入式服务器相互连接。采集器需要监测空调的运行状态、送回风温湿度、过滤网压差、故障报警等相关运行参数。</w:t>
      </w:r>
    </w:p>
    <w:p>
      <w:pPr>
        <w:widowControl/>
        <w:numPr>
          <w:ilvl w:val="0"/>
          <w:numId w:val="5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环境及设备监控需要集成机房内的PDU的相关数据。监测PDU的总负载电流、总电压、总功率、总电能、功率因数。</w:t>
      </w:r>
    </w:p>
    <w:p>
      <w:pPr>
        <w:widowControl/>
        <w:numPr>
          <w:ilvl w:val="0"/>
          <w:numId w:val="5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沿精密空调的挡水围堰内、存在用水隐患等区域设置漏水检测电缆，并连接到安装在现场的漏水检测报警控制器，实时监测是否有漏水。漏水检测控制器需提供标准的通讯接口协议至少支持如MODBUS（RTU、ASCII、TCP）协议与采集器相互连接。</w:t>
      </w:r>
    </w:p>
    <w:p>
      <w:pPr>
        <w:widowControl/>
        <w:numPr>
          <w:ilvl w:val="0"/>
          <w:numId w:val="5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对变压器以下的低压电力系统的相关运行数据进行采样。针对每个配电室设置多个采集器，采集变配电室内的智能电表、UPS设备的数据。当配电室内智能电表、UPS设备以及回路状态接入采集器后，应能在环境及设备监控系统中实时监测配电柜的三相电压、三相电流、三相电能、各支路的电流、功率因数、有功功率、电能等参数，应能监测各支路的开关状态，实时监视UPS整流器、逆变器、旁路、负载等各部分的运行状态与参数。</w:t>
      </w:r>
    </w:p>
    <w:p>
      <w:pPr>
        <w:widowControl/>
        <w:numPr>
          <w:ilvl w:val="0"/>
          <w:numId w:val="5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对所有ATS设备的状态信号进行采样，应能在</w:t>
      </w:r>
      <w:r>
        <w:rPr>
          <w:rFonts w:ascii="仿宋" w:hAnsi="仿宋" w:eastAsia="仿宋" w:cs="Times New Roman"/>
          <w:sz w:val="28"/>
          <w:szCs w:val="28"/>
        </w:rPr>
        <w:t>DCIM</w:t>
      </w:r>
      <w:r>
        <w:rPr>
          <w:rFonts w:hint="eastAsia" w:ascii="仿宋" w:hAnsi="仿宋" w:eastAsia="仿宋" w:cs="Times New Roman"/>
          <w:sz w:val="28"/>
          <w:szCs w:val="28"/>
        </w:rPr>
        <w:t>基础设施管理平台中实时监控每一路ATS供电状态。</w:t>
      </w:r>
    </w:p>
    <w:p>
      <w:pPr>
        <w:widowControl/>
        <w:numPr>
          <w:ilvl w:val="0"/>
          <w:numId w:val="5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系统需采集柴发室供油系统的相关参数。供油系统自带控制器并控制其自身相关设备的运行，供油系统的控制器将提供标准的通讯协议至少支持如MODBUS（RTU、ASCII、TCP），供系统集成。</w:t>
      </w:r>
    </w:p>
    <w:p>
      <w:pPr>
        <w:widowControl/>
        <w:numPr>
          <w:ilvl w:val="0"/>
          <w:numId w:val="5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系统需采集新风机组的相关参数。新风机组将自带控制器并控制其自身的运行，新风机组的控制器将提供标准的通讯协议至少支持如MODBUS（RTU、ASCII、TCP），供系统集成。</w:t>
      </w:r>
    </w:p>
    <w:p>
      <w:pPr>
        <w:widowControl/>
        <w:numPr>
          <w:ilvl w:val="0"/>
          <w:numId w:val="5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系统需采集一些日常排风机的状态信息。日常排风机将在其强电控制柜内预留状态机故障信息，这些信号将通过干接点的形式接入环境及设备监控系统的信号采集器中，然后通过信号采集器接入采集器。</w:t>
      </w:r>
    </w:p>
    <w:p>
      <w:pPr>
        <w:widowControl/>
        <w:numPr>
          <w:ilvl w:val="0"/>
          <w:numId w:val="5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系统需采集蓄电池运行的相关数据。蓄电池为单体监控，为电池室设置电池采集器，电池采集器将提供标准的通讯协议至少支持如MODBUS（RTU、ASCII、TCP）供系统集成，集成后可在平台中查看电池相关的运行参数。</w:t>
      </w:r>
    </w:p>
    <w:p>
      <w:pPr>
        <w:widowControl/>
        <w:numPr>
          <w:ilvl w:val="0"/>
          <w:numId w:val="54"/>
        </w:numPr>
        <w:spacing w:line="560" w:lineRule="exact"/>
        <w:ind w:left="0" w:firstLine="0"/>
        <w:rPr>
          <w:rFonts w:ascii="仿宋" w:hAnsi="仿宋" w:eastAsia="仿宋" w:cs="Times New Roman"/>
          <w:sz w:val="28"/>
          <w:szCs w:val="28"/>
        </w:rPr>
      </w:pPr>
      <w:r>
        <w:rPr>
          <w:rFonts w:hint="eastAsia" w:ascii="仿宋" w:hAnsi="仿宋" w:eastAsia="仿宋" w:cs="Times New Roman"/>
          <w:sz w:val="28"/>
          <w:szCs w:val="28"/>
        </w:rPr>
        <w:t>环境及设备监控采集器应具有数据采集、分析、处理以及存储的功能。为保证环境及设备监控系统的可靠性和可操作性，不接受只具有数据转发功能的采集器类型，采集器在采集数据后应首先进行优化处理，然后才允许接入管理平台服务器。</w:t>
      </w:r>
    </w:p>
    <w:p>
      <w:pPr>
        <w:widowControl/>
        <w:numPr>
          <w:ilvl w:val="0"/>
          <w:numId w:val="5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采集器应具有数据存储的能力，系统或传输故障时可以保存至少七天的数据采样，当系统和传输恢复后即可将数据上传至D</w:t>
      </w:r>
      <w:r>
        <w:rPr>
          <w:rFonts w:ascii="仿宋" w:hAnsi="仿宋" w:eastAsia="仿宋" w:cs="Times New Roman"/>
          <w:sz w:val="28"/>
          <w:szCs w:val="28"/>
        </w:rPr>
        <w:t>CIM</w:t>
      </w:r>
      <w:r>
        <w:rPr>
          <w:rFonts w:hint="eastAsia" w:ascii="仿宋" w:hAnsi="仿宋" w:eastAsia="仿宋" w:cs="Times New Roman"/>
          <w:sz w:val="28"/>
          <w:szCs w:val="28"/>
        </w:rPr>
        <w:t>管理平台。</w:t>
      </w:r>
    </w:p>
    <w:p>
      <w:pPr>
        <w:widowControl/>
        <w:numPr>
          <w:ilvl w:val="0"/>
          <w:numId w:val="5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采集器、交换机、服务器等都需要采用UPS供电，确保系统不会因为市电系统的中断而影响系统的数据采集和使用。</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4"/>
          <w:lang w:val="en-US" w:eastAsia="zh-CN" w:bidi="ar-SA"/>
        </w:rPr>
      </w:pPr>
      <w:bookmarkStart w:id="286" w:name="_Toc296471189"/>
      <w:bookmarkStart w:id="287" w:name="_Toc307780690"/>
      <w:bookmarkStart w:id="288" w:name="_Toc441654303"/>
      <w:bookmarkStart w:id="289" w:name="_Toc25651234"/>
      <w:r>
        <w:rPr>
          <w:rFonts w:hint="eastAsia" w:ascii="仿宋" w:hAnsi="仿宋" w:eastAsia="仿宋" w:cs="仿宋"/>
          <w:b/>
          <w:kern w:val="2"/>
          <w:sz w:val="28"/>
          <w:szCs w:val="24"/>
          <w:lang w:val="en-US" w:eastAsia="zh-CN" w:bidi="ar-SA"/>
        </w:rPr>
        <w:t>总体</w:t>
      </w:r>
      <w:bookmarkEnd w:id="286"/>
      <w:bookmarkEnd w:id="287"/>
      <w:bookmarkEnd w:id="288"/>
      <w:r>
        <w:rPr>
          <w:rFonts w:hint="eastAsia" w:ascii="仿宋" w:hAnsi="仿宋" w:eastAsia="仿宋" w:cs="仿宋"/>
          <w:b/>
          <w:kern w:val="2"/>
          <w:sz w:val="28"/>
          <w:szCs w:val="28"/>
          <w:lang w:val="en-US" w:eastAsia="zh-CN" w:bidi="ar-SA"/>
        </w:rPr>
        <w:t>要求</w:t>
      </w:r>
      <w:bookmarkEnd w:id="289"/>
    </w:p>
    <w:p>
      <w:pPr>
        <w:widowControl/>
        <w:numPr>
          <w:ilvl w:val="0"/>
          <w:numId w:val="5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通过本工程建设，应提供高水平的数据中心监控管理水平，实现数据中心无人值守，提供良好的机房监控环境。</w:t>
      </w:r>
    </w:p>
    <w:p>
      <w:pPr>
        <w:widowControl/>
        <w:numPr>
          <w:ilvl w:val="0"/>
          <w:numId w:val="5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中标方应积极合理地采用新产品、新技术以保障数据中心的先进性、绿色环保。</w:t>
      </w:r>
    </w:p>
    <w:p>
      <w:pPr>
        <w:widowControl/>
        <w:numPr>
          <w:ilvl w:val="0"/>
          <w:numId w:val="5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中标方所提供设备要求是监控领域公认的高品质产品。</w:t>
      </w:r>
    </w:p>
    <w:p>
      <w:pPr>
        <w:widowControl/>
        <w:numPr>
          <w:ilvl w:val="0"/>
          <w:numId w:val="5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中标方所提供方案应保障实现金融中心机房建设的标准化。</w:t>
      </w:r>
    </w:p>
    <w:p>
      <w:pPr>
        <w:widowControl/>
        <w:numPr>
          <w:ilvl w:val="0"/>
          <w:numId w:val="55"/>
        </w:numPr>
        <w:spacing w:line="560" w:lineRule="exact"/>
        <w:ind w:left="0" w:firstLine="0"/>
        <w:rPr>
          <w:rFonts w:hint="eastAsia" w:ascii="仿宋" w:hAnsi="仿宋" w:eastAsia="仿宋" w:cs="Times New Roman"/>
          <w:sz w:val="28"/>
          <w:szCs w:val="28"/>
        </w:rPr>
      </w:pPr>
      <w:bookmarkStart w:id="290" w:name="_Toc441654306"/>
      <w:bookmarkStart w:id="291" w:name="_Toc307780694"/>
      <w:r>
        <w:rPr>
          <w:rFonts w:hint="eastAsia" w:ascii="仿宋" w:hAnsi="仿宋" w:eastAsia="仿宋" w:cs="Times New Roman"/>
          <w:sz w:val="28"/>
          <w:szCs w:val="28"/>
        </w:rPr>
        <w:t>中标方所提供设备及解决方案应保障实现后续机房使用的可扩展性和灵活性。</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4"/>
          <w:lang w:val="en-US" w:eastAsia="zh-CN" w:bidi="ar-SA"/>
        </w:rPr>
      </w:pPr>
      <w:bookmarkStart w:id="292" w:name="_Toc25651235"/>
      <w:r>
        <w:rPr>
          <w:rFonts w:hint="eastAsia" w:ascii="仿宋" w:hAnsi="仿宋" w:eastAsia="仿宋" w:cs="仿宋"/>
          <w:b/>
          <w:kern w:val="2"/>
          <w:sz w:val="28"/>
          <w:szCs w:val="24"/>
          <w:lang w:val="en-US" w:eastAsia="zh-CN" w:bidi="ar-SA"/>
        </w:rPr>
        <w:t>监控</w:t>
      </w:r>
      <w:bookmarkEnd w:id="290"/>
      <w:bookmarkEnd w:id="291"/>
      <w:r>
        <w:rPr>
          <w:rFonts w:hint="eastAsia" w:ascii="仿宋" w:hAnsi="仿宋" w:eastAsia="仿宋" w:cs="仿宋"/>
          <w:b/>
          <w:kern w:val="2"/>
          <w:sz w:val="28"/>
          <w:szCs w:val="24"/>
          <w:lang w:val="en-US" w:eastAsia="zh-CN" w:bidi="ar-SA"/>
        </w:rPr>
        <w:t>点位</w:t>
      </w:r>
      <w:bookmarkEnd w:id="292"/>
    </w:p>
    <w:p>
      <w:pPr>
        <w:widowControl/>
        <w:spacing w:line="560" w:lineRule="exact"/>
        <w:ind w:firstLine="560" w:firstLineChars="200"/>
        <w:textAlignment w:val="center"/>
        <w:rPr>
          <w:rFonts w:ascii="仿宋" w:hAnsi="仿宋" w:eastAsia="仿宋" w:cs="仿宋"/>
          <w:bCs/>
          <w:sz w:val="28"/>
          <w:szCs w:val="28"/>
        </w:rPr>
      </w:pPr>
      <w:r>
        <w:rPr>
          <w:rFonts w:hint="eastAsia" w:ascii="仿宋" w:hAnsi="仿宋" w:eastAsia="仿宋" w:cs="仿宋"/>
          <w:bCs/>
          <w:sz w:val="28"/>
          <w:szCs w:val="28"/>
        </w:rPr>
        <w:t>监控设备、数量、点位及内容，自行深化，市政供水状态监控也应纳入监控范围内</w:t>
      </w:r>
      <w:bookmarkStart w:id="293" w:name="_Toc307781459"/>
      <w:bookmarkStart w:id="294" w:name="_Toc441654307"/>
      <w:r>
        <w:rPr>
          <w:rFonts w:hint="eastAsia" w:ascii="仿宋" w:hAnsi="仿宋" w:eastAsia="仿宋" w:cs="仿宋"/>
          <w:bCs/>
          <w:sz w:val="28"/>
          <w:szCs w:val="28"/>
        </w:rPr>
        <w:t>。</w:t>
      </w:r>
    </w:p>
    <w:p>
      <w:pPr>
        <w:widowControl/>
        <w:spacing w:line="560" w:lineRule="exact"/>
        <w:ind w:firstLine="560" w:firstLineChars="200"/>
        <w:textAlignment w:val="center"/>
        <w:rPr>
          <w:rFonts w:ascii="仿宋" w:hAnsi="仿宋" w:eastAsia="仿宋" w:cs="仿宋"/>
          <w:bCs/>
          <w:sz w:val="28"/>
          <w:szCs w:val="28"/>
        </w:rPr>
      </w:pPr>
      <w:r>
        <w:rPr>
          <w:rFonts w:hint="eastAsia" w:ascii="仿宋" w:hAnsi="仿宋" w:eastAsia="仿宋" w:cs="仿宋"/>
          <w:bCs/>
          <w:sz w:val="28"/>
          <w:szCs w:val="28"/>
        </w:rPr>
        <w:t>监控</w:t>
      </w:r>
      <w:r>
        <w:rPr>
          <w:rFonts w:ascii="仿宋" w:hAnsi="仿宋" w:eastAsia="仿宋" w:cs="仿宋"/>
          <w:bCs/>
          <w:sz w:val="28"/>
          <w:szCs w:val="28"/>
        </w:rPr>
        <w:t>信息</w:t>
      </w:r>
      <w:r>
        <w:rPr>
          <w:rFonts w:hint="eastAsia" w:ascii="仿宋" w:hAnsi="仿宋" w:eastAsia="仿宋" w:cs="仿宋"/>
          <w:bCs/>
          <w:sz w:val="28"/>
          <w:szCs w:val="28"/>
        </w:rPr>
        <w:t>测点</w:t>
      </w:r>
      <w:r>
        <w:rPr>
          <w:rFonts w:ascii="仿宋" w:hAnsi="仿宋" w:eastAsia="仿宋" w:cs="仿宋"/>
          <w:bCs/>
          <w:sz w:val="28"/>
          <w:szCs w:val="28"/>
        </w:rPr>
        <w:t>如下表：</w:t>
      </w:r>
    </w:p>
    <w:tbl>
      <w:tblPr>
        <w:tblStyle w:val="24"/>
        <w:tblW w:w="0" w:type="auto"/>
        <w:tblInd w:w="0" w:type="dxa"/>
        <w:tblLayout w:type="fixed"/>
        <w:tblCellMar>
          <w:top w:w="0" w:type="dxa"/>
          <w:left w:w="108" w:type="dxa"/>
          <w:bottom w:w="0" w:type="dxa"/>
          <w:right w:w="108" w:type="dxa"/>
        </w:tblCellMar>
      </w:tblPr>
      <w:tblGrid>
        <w:gridCol w:w="1376"/>
        <w:gridCol w:w="3019"/>
        <w:gridCol w:w="396"/>
        <w:gridCol w:w="574"/>
        <w:gridCol w:w="503"/>
        <w:gridCol w:w="520"/>
        <w:gridCol w:w="520"/>
        <w:gridCol w:w="610"/>
        <w:gridCol w:w="539"/>
        <w:gridCol w:w="465"/>
      </w:tblGrid>
      <w:tr>
        <w:tblPrEx>
          <w:tblCellMar>
            <w:top w:w="0" w:type="dxa"/>
            <w:left w:w="108" w:type="dxa"/>
            <w:bottom w:w="0" w:type="dxa"/>
            <w:right w:w="108" w:type="dxa"/>
          </w:tblCellMar>
        </w:tblPrEx>
        <w:trPr>
          <w:trHeight w:val="285" w:hRule="atLeast"/>
        </w:trPr>
        <w:tc>
          <w:tcPr>
            <w:tcW w:w="8522"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测点表</w:t>
            </w:r>
          </w:p>
        </w:tc>
      </w:tr>
      <w:tr>
        <w:tblPrEx>
          <w:tblCellMar>
            <w:top w:w="0" w:type="dxa"/>
            <w:left w:w="108" w:type="dxa"/>
            <w:bottom w:w="0" w:type="dxa"/>
            <w:right w:w="108" w:type="dxa"/>
          </w:tblCellMar>
        </w:tblPrEx>
        <w:trPr>
          <w:trHeight w:val="555" w:hRule="atLeast"/>
        </w:trPr>
        <w:tc>
          <w:tcPr>
            <w:tcW w:w="1376"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接入设备</w:t>
            </w: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接口类型&amp;传感器规格</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空调间1</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模块机房</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空调间2</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UPS配电室A</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电池间A</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UPS配电B</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电池间B</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负一层</w:t>
            </w:r>
          </w:p>
        </w:tc>
      </w:tr>
      <w:tr>
        <w:tblPrEx>
          <w:tblCellMar>
            <w:top w:w="0" w:type="dxa"/>
            <w:left w:w="108" w:type="dxa"/>
            <w:bottom w:w="0" w:type="dxa"/>
            <w:right w:w="108" w:type="dxa"/>
          </w:tblCellMar>
        </w:tblPrEx>
        <w:trPr>
          <w:trHeight w:val="285" w:hRule="atLeast"/>
        </w:trPr>
        <w:tc>
          <w:tcPr>
            <w:tcW w:w="1376"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发电机</w:t>
            </w: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RS485智能接口</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285" w:hRule="atLeast"/>
        </w:trPr>
        <w:tc>
          <w:tcPr>
            <w:tcW w:w="1376"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变压器</w:t>
            </w: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RS485智能接口</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285" w:hRule="atLeast"/>
        </w:trPr>
        <w:tc>
          <w:tcPr>
            <w:tcW w:w="1376"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配电柜</w:t>
            </w: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RS485智能接口</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1376"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FF0000"/>
                <w:kern w:val="0"/>
                <w:sz w:val="18"/>
                <w:szCs w:val="18"/>
                <w:lang w:eastAsia="zh-CN"/>
              </w:rPr>
            </w:pPr>
            <w:r>
              <w:rPr>
                <w:rFonts w:hint="eastAsia" w:ascii="宋体" w:hAnsi="宋体" w:eastAsia="宋体" w:cs="宋体"/>
                <w:color w:val="FF0000"/>
                <w:kern w:val="0"/>
                <w:sz w:val="18"/>
                <w:szCs w:val="18"/>
                <w:lang w:eastAsia="zh-CN"/>
              </w:rPr>
              <w:t>市电和发电机母排</w:t>
            </w: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1376"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FF0000"/>
                <w:kern w:val="0"/>
                <w:sz w:val="18"/>
                <w:szCs w:val="18"/>
                <w:lang w:eastAsia="zh-CN"/>
              </w:rPr>
            </w:pPr>
            <w:r>
              <w:rPr>
                <w:rFonts w:hint="eastAsia" w:ascii="宋体" w:hAnsi="宋体" w:eastAsia="宋体" w:cs="宋体"/>
                <w:color w:val="FF0000"/>
                <w:kern w:val="0"/>
                <w:sz w:val="18"/>
                <w:szCs w:val="18"/>
                <w:lang w:eastAsia="zh-CN"/>
              </w:rPr>
              <w:t>母线始端箱</w:t>
            </w: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RS485智能接口</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1376"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UPS</w:t>
            </w: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RS485智能接口</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1376"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蓄电池</w:t>
            </w: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蓄电池组（12V*40，检测总电压、电流、单体内阻、电压、温度）</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1376"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智能空调</w:t>
            </w: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RS485智能接口</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1376"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加湿器</w:t>
            </w: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RS485智能接口</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1376"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机柜温度两面3层，6个测点</w:t>
            </w: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6探头无线温度检测（220V供电）</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1376"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FF0000"/>
                <w:kern w:val="0"/>
                <w:sz w:val="18"/>
                <w:szCs w:val="18"/>
                <w:lang w:eastAsia="zh-CN"/>
              </w:rPr>
              <w:t>排风机</w:t>
            </w: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1376"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新风机</w:t>
            </w: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RS485智能接口</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1376" w:type="dxa"/>
            <w:vMerge w:val="restart"/>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环境量</w:t>
            </w: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温湿度</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285" w:hRule="atLeast"/>
        </w:trPr>
        <w:tc>
          <w:tcPr>
            <w:tcW w:w="137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18"/>
                <w:szCs w:val="18"/>
              </w:rPr>
            </w:pP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烟感</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285" w:hRule="atLeast"/>
        </w:trPr>
        <w:tc>
          <w:tcPr>
            <w:tcW w:w="137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18"/>
                <w:szCs w:val="18"/>
              </w:rPr>
            </w:pP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氢气检测</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1376" w:type="dxa"/>
            <w:vMerge w:val="restart"/>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定位式水浸</w:t>
            </w: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漏水定位控制器</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137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18"/>
                <w:szCs w:val="18"/>
              </w:rPr>
            </w:pP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7.5米漏水定位感应线</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137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18"/>
                <w:szCs w:val="18"/>
              </w:rPr>
            </w:pPr>
          </w:p>
        </w:tc>
        <w:tc>
          <w:tcPr>
            <w:tcW w:w="3019"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15米漏水定位感应线</w:t>
            </w:r>
          </w:p>
        </w:tc>
        <w:tc>
          <w:tcPr>
            <w:tcW w:w="396"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74"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03"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39"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widowControl/>
        <w:spacing w:line="560" w:lineRule="exact"/>
        <w:ind w:firstLine="560" w:firstLineChars="200"/>
        <w:textAlignment w:val="center"/>
        <w:rPr>
          <w:rFonts w:hint="eastAsia" w:ascii="仿宋" w:hAnsi="仿宋" w:eastAsia="仿宋" w:cs="仿宋"/>
          <w:bCs/>
          <w:sz w:val="28"/>
          <w:szCs w:val="28"/>
        </w:rPr>
      </w:pPr>
    </w:p>
    <w:p>
      <w:pPr>
        <w:widowControl/>
        <w:spacing w:line="560" w:lineRule="exact"/>
        <w:ind w:firstLine="560" w:firstLineChars="200"/>
        <w:textAlignment w:val="center"/>
        <w:rPr>
          <w:rFonts w:ascii="仿宋" w:hAnsi="仿宋" w:eastAsia="仿宋" w:cs="仿宋"/>
          <w:bCs/>
          <w:sz w:val="28"/>
          <w:szCs w:val="28"/>
        </w:rPr>
      </w:pPr>
      <w:r>
        <w:rPr>
          <w:rFonts w:hint="eastAsia" w:ascii="仿宋" w:hAnsi="仿宋" w:eastAsia="仿宋" w:cs="仿宋"/>
          <w:bCs/>
          <w:sz w:val="28"/>
          <w:szCs w:val="28"/>
        </w:rPr>
        <w:t>监控</w:t>
      </w:r>
      <w:r>
        <w:rPr>
          <w:rFonts w:ascii="仿宋" w:hAnsi="仿宋" w:eastAsia="仿宋" w:cs="仿宋"/>
          <w:bCs/>
          <w:sz w:val="28"/>
          <w:szCs w:val="28"/>
        </w:rPr>
        <w:t>中心平台需求见下表：</w:t>
      </w:r>
    </w:p>
    <w:tbl>
      <w:tblPr>
        <w:tblStyle w:val="24"/>
        <w:tblW w:w="0" w:type="auto"/>
        <w:tblInd w:w="0" w:type="dxa"/>
        <w:tblLayout w:type="fixed"/>
        <w:tblCellMar>
          <w:top w:w="0" w:type="dxa"/>
          <w:left w:w="108" w:type="dxa"/>
          <w:bottom w:w="0" w:type="dxa"/>
          <w:right w:w="108" w:type="dxa"/>
        </w:tblCellMar>
      </w:tblPr>
      <w:tblGrid>
        <w:gridCol w:w="662"/>
        <w:gridCol w:w="1542"/>
        <w:gridCol w:w="4996"/>
        <w:gridCol w:w="661"/>
        <w:gridCol w:w="661"/>
      </w:tblGrid>
      <w:tr>
        <w:tblPrEx>
          <w:tblCellMar>
            <w:top w:w="0" w:type="dxa"/>
            <w:left w:w="108" w:type="dxa"/>
            <w:bottom w:w="0" w:type="dxa"/>
            <w:right w:w="108" w:type="dxa"/>
          </w:tblCellMar>
        </w:tblPrEx>
        <w:trPr>
          <w:trHeight w:val="285" w:hRule="atLeast"/>
        </w:trPr>
        <w:tc>
          <w:tcPr>
            <w:tcW w:w="720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监控中心平台</w:t>
            </w:r>
          </w:p>
        </w:tc>
        <w:tc>
          <w:tcPr>
            <w:tcW w:w="6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w:t>
            </w:r>
          </w:p>
        </w:tc>
        <w:tc>
          <w:tcPr>
            <w:tcW w:w="6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r>
      <w:tr>
        <w:tblPrEx>
          <w:tblCellMar>
            <w:top w:w="0" w:type="dxa"/>
            <w:left w:w="108" w:type="dxa"/>
            <w:bottom w:w="0" w:type="dxa"/>
            <w:right w:w="108" w:type="dxa"/>
          </w:tblCellMar>
        </w:tblPrEx>
        <w:trPr>
          <w:trHeight w:val="285" w:hRule="atLeast"/>
        </w:trPr>
        <w:tc>
          <w:tcPr>
            <w:tcW w:w="6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监控中心硬件</w:t>
            </w: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机架服务器</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镜像双机热备软件</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支持查询服务器工作状态，支持2台虚拟机or实体服务器热备</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数据库软件</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SQL2012标准版license简体中文（带5个CAL端）。</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客户端</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核心交换机</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光模块</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接入交换机到核心使用</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接入交换机</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声光报警器</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CellMar>
            <w:top w:w="0" w:type="dxa"/>
            <w:left w:w="108" w:type="dxa"/>
            <w:bottom w:w="0" w:type="dxa"/>
            <w:right w:w="108" w:type="dxa"/>
          </w:tblCellMar>
        </w:tblPrEx>
        <w:trPr>
          <w:trHeight w:val="285" w:hRule="atLeast"/>
        </w:trPr>
        <w:tc>
          <w:tcPr>
            <w:tcW w:w="6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基础设施管理平台</w:t>
            </w: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基础设施管理软件</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机房监控基础软件实现机房动力设备、环境集中监管，可扩展功能模块。</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电话语音盒</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无线语音盒(USB接口/4G支持全网通）</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告警语音通知模块</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告警语音通知</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告警短信通知模块</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告警短信通知</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声光告警箱通知模块</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声光告警通知</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定制首页</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定制化首页</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3D配置工具 </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机房动力设备和环境的3D监控配置</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配电管理模块</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实现机房配电状态，展示供电状况</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能耗全景图</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以全景图的方式进行能效分析</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容量管理</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基于3D的容量分析和管理</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温度云图</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温度显示、云图播放</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视频管理模块 </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接入机房视频子系统后进行监控和管理</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门禁管理模块 </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接入机房门禁子系统后进行监控和管理</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手机APP</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用户可通过移动APP软件浏览所有房间的设备运行状况，查看相应设备的运行参数、开关状态及告警状况等</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运维管理功能</w:t>
            </w: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信息中心</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信息中心应提供运维工作台、待办及已办、公告、消息提醒、服务日历、资源日历和报表基本业务。</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资产管理</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资产管理应包含对基础设施设备、工具、备件耗材的管理。</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人员及组织</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人员及组织管理包含团队管理、排班管理和出入管理。</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运行管理</w:t>
            </w:r>
          </w:p>
        </w:tc>
        <w:tc>
          <w:tcPr>
            <w:tcW w:w="4996"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运行管理应包括巡检执行、应急演练和监控信息查询等业务</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设备维护</w:t>
            </w:r>
          </w:p>
        </w:tc>
        <w:tc>
          <w:tcPr>
            <w:tcW w:w="4996"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设备维护管理应包括服务商管理、事件管理、预防性维护、元器件生命周期管理</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规划协调管理</w:t>
            </w:r>
          </w:p>
        </w:tc>
        <w:tc>
          <w:tcPr>
            <w:tcW w:w="4996"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规划协调管理包括文档管理、知识管理、风险管理和服务需求管理</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培训</w:t>
            </w:r>
          </w:p>
        </w:tc>
        <w:tc>
          <w:tcPr>
            <w:tcW w:w="4996"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培训管理包括课程管理、员工培训管理和服务商培训管理</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465" w:hRule="atLeast"/>
        </w:trPr>
        <w:tc>
          <w:tcPr>
            <w:tcW w:w="6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5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配置管理</w:t>
            </w:r>
          </w:p>
        </w:tc>
        <w:tc>
          <w:tcPr>
            <w:tcW w:w="4996"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配置管理功能应提供运维管理过程中的基础信息配置，应包括服务目录、设备基础数据、备件基础数据、巡检配置、预防性维护配置等内容</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CellMar>
            <w:top w:w="0" w:type="dxa"/>
            <w:left w:w="108" w:type="dxa"/>
            <w:bottom w:w="0" w:type="dxa"/>
            <w:right w:w="108" w:type="dxa"/>
          </w:tblCellMar>
        </w:tblPrEx>
        <w:trPr>
          <w:trHeight w:val="285" w:hRule="atLeast"/>
        </w:trPr>
        <w:tc>
          <w:tcPr>
            <w:tcW w:w="22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子系统接入</w:t>
            </w:r>
          </w:p>
        </w:tc>
        <w:tc>
          <w:tcPr>
            <w:tcW w:w="499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接入主数据中心动环系统。接入南康灾备机房的动环、视频、门禁子系统、市政供水状态监控系统</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bl>
    <w:p>
      <w:pPr>
        <w:widowControl/>
        <w:spacing w:line="560" w:lineRule="exact"/>
        <w:ind w:firstLine="560" w:firstLineChars="200"/>
        <w:textAlignment w:val="center"/>
        <w:rPr>
          <w:rFonts w:ascii="仿宋" w:hAnsi="仿宋" w:eastAsia="仿宋" w:cs="仿宋"/>
          <w:bCs/>
          <w:sz w:val="28"/>
          <w:szCs w:val="28"/>
        </w:rPr>
      </w:pPr>
      <w:r>
        <w:rPr>
          <w:rFonts w:hint="eastAsia" w:ascii="仿宋" w:hAnsi="仿宋" w:eastAsia="仿宋" w:cs="仿宋"/>
          <w:bCs/>
          <w:sz w:val="28"/>
          <w:szCs w:val="28"/>
        </w:rPr>
        <w:t>机房</w:t>
      </w:r>
      <w:r>
        <w:rPr>
          <w:rFonts w:ascii="仿宋" w:hAnsi="仿宋" w:eastAsia="仿宋" w:cs="仿宋"/>
          <w:bCs/>
          <w:sz w:val="28"/>
          <w:szCs w:val="28"/>
        </w:rPr>
        <w:t>监测设备清单如下：</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080"/>
        <w:gridCol w:w="334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5420" w:type="dxa"/>
            <w:gridSpan w:val="2"/>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名称</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发电机接口协议</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变压器接口协议</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电量仪接口协议</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UPS接口协议</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智能空调接口协议</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2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新风机接口协议</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2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加湿器接口协议</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2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智能采集器</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16口采集器</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2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温湿度传感器</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温湿度传感器</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烟雾探测器</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烟雾探测器</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2080" w:type="dxa"/>
            <w:vMerge w:val="restart"/>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定位式漏水监测</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漏水定位控制器</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eastAsia="宋体" w:cs="宋体"/>
                <w:color w:val="000000"/>
                <w:kern w:val="0"/>
                <w:sz w:val="18"/>
                <w:szCs w:val="18"/>
              </w:rPr>
            </w:pPr>
          </w:p>
        </w:tc>
        <w:tc>
          <w:tcPr>
            <w:tcW w:w="2080" w:type="dxa"/>
            <w:vMerge w:val="continue"/>
            <w:noWrap w:val="0"/>
            <w:vAlign w:val="center"/>
          </w:tcPr>
          <w:p>
            <w:pPr>
              <w:widowControl/>
              <w:jc w:val="left"/>
              <w:rPr>
                <w:rFonts w:ascii="宋体" w:hAnsi="宋体" w:eastAsia="宋体" w:cs="宋体"/>
                <w:color w:val="000000"/>
                <w:kern w:val="0"/>
                <w:sz w:val="18"/>
                <w:szCs w:val="18"/>
              </w:rPr>
            </w:pP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定位漏水安装附件</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eastAsia="宋体" w:cs="宋体"/>
                <w:color w:val="000000"/>
                <w:kern w:val="0"/>
                <w:sz w:val="18"/>
                <w:szCs w:val="18"/>
              </w:rPr>
            </w:pPr>
          </w:p>
        </w:tc>
        <w:tc>
          <w:tcPr>
            <w:tcW w:w="2080" w:type="dxa"/>
            <w:vMerge w:val="continue"/>
            <w:noWrap w:val="0"/>
            <w:vAlign w:val="center"/>
          </w:tcPr>
          <w:p>
            <w:pPr>
              <w:widowControl/>
              <w:jc w:val="left"/>
              <w:rPr>
                <w:rFonts w:ascii="宋体" w:hAnsi="宋体" w:eastAsia="宋体" w:cs="宋体"/>
                <w:color w:val="000000"/>
                <w:kern w:val="0"/>
                <w:sz w:val="18"/>
                <w:szCs w:val="18"/>
              </w:rPr>
            </w:pP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15m漏水感应线</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eastAsia="宋体" w:cs="宋体"/>
                <w:color w:val="000000"/>
                <w:kern w:val="0"/>
                <w:sz w:val="18"/>
                <w:szCs w:val="18"/>
              </w:rPr>
            </w:pPr>
          </w:p>
        </w:tc>
        <w:tc>
          <w:tcPr>
            <w:tcW w:w="2080" w:type="dxa"/>
            <w:vMerge w:val="continue"/>
            <w:noWrap w:val="0"/>
            <w:vAlign w:val="center"/>
          </w:tcPr>
          <w:p>
            <w:pPr>
              <w:widowControl/>
              <w:jc w:val="left"/>
              <w:rPr>
                <w:rFonts w:ascii="宋体" w:hAnsi="宋体" w:eastAsia="宋体" w:cs="宋体"/>
                <w:color w:val="000000"/>
                <w:kern w:val="0"/>
                <w:sz w:val="18"/>
                <w:szCs w:val="18"/>
              </w:rPr>
            </w:pP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7.5m漏水感应线</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2080" w:type="dxa"/>
            <w:vMerge w:val="restart"/>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机柜无线温度监测</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无线温度传感器6测点/个</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eastAsia="宋体" w:cs="宋体"/>
                <w:color w:val="000000"/>
                <w:kern w:val="0"/>
                <w:sz w:val="18"/>
                <w:szCs w:val="18"/>
              </w:rPr>
            </w:pPr>
          </w:p>
        </w:tc>
        <w:tc>
          <w:tcPr>
            <w:tcW w:w="2080" w:type="dxa"/>
            <w:vMerge w:val="continue"/>
            <w:noWrap w:val="0"/>
            <w:vAlign w:val="center"/>
          </w:tcPr>
          <w:p>
            <w:pPr>
              <w:widowControl/>
              <w:jc w:val="left"/>
              <w:rPr>
                <w:rFonts w:ascii="宋体" w:hAnsi="宋体" w:eastAsia="宋体" w:cs="宋体"/>
                <w:color w:val="000000"/>
                <w:kern w:val="0"/>
                <w:sz w:val="18"/>
                <w:szCs w:val="18"/>
              </w:rPr>
            </w:pP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无线温度收敛模块</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2080" w:type="dxa"/>
            <w:vMerge w:val="restart"/>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蓄电池单体监控</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总控模块</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eastAsia="宋体" w:cs="宋体"/>
                <w:color w:val="000000"/>
                <w:kern w:val="0"/>
                <w:sz w:val="18"/>
                <w:szCs w:val="18"/>
              </w:rPr>
            </w:pPr>
          </w:p>
        </w:tc>
        <w:tc>
          <w:tcPr>
            <w:tcW w:w="2080" w:type="dxa"/>
            <w:vMerge w:val="continue"/>
            <w:noWrap w:val="0"/>
            <w:vAlign w:val="center"/>
          </w:tcPr>
          <w:p>
            <w:pPr>
              <w:widowControl/>
              <w:jc w:val="left"/>
              <w:rPr>
                <w:rFonts w:ascii="宋体" w:hAnsi="宋体" w:eastAsia="宋体" w:cs="宋体"/>
                <w:color w:val="000000"/>
                <w:kern w:val="0"/>
                <w:sz w:val="18"/>
                <w:szCs w:val="18"/>
              </w:rPr>
            </w:pP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电压内阻温度检测模块</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eastAsia="宋体" w:cs="宋体"/>
                <w:color w:val="000000"/>
                <w:kern w:val="0"/>
                <w:sz w:val="18"/>
                <w:szCs w:val="18"/>
              </w:rPr>
            </w:pPr>
          </w:p>
        </w:tc>
        <w:tc>
          <w:tcPr>
            <w:tcW w:w="2080" w:type="dxa"/>
            <w:vMerge w:val="continue"/>
            <w:noWrap w:val="0"/>
            <w:vAlign w:val="center"/>
          </w:tcPr>
          <w:p>
            <w:pPr>
              <w:widowControl/>
              <w:jc w:val="left"/>
              <w:rPr>
                <w:rFonts w:ascii="宋体" w:hAnsi="宋体" w:eastAsia="宋体" w:cs="宋体"/>
                <w:color w:val="000000"/>
                <w:kern w:val="0"/>
                <w:sz w:val="18"/>
                <w:szCs w:val="18"/>
              </w:rPr>
            </w:pP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电流互感器</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noWrap w:val="0"/>
            <w:vAlign w:val="center"/>
          </w:tcPr>
          <w:p>
            <w:pPr>
              <w:widowControl/>
              <w:jc w:val="left"/>
              <w:rPr>
                <w:rFonts w:ascii="宋体" w:hAnsi="宋体" w:eastAsia="宋体" w:cs="宋体"/>
                <w:color w:val="000000"/>
                <w:kern w:val="0"/>
                <w:sz w:val="18"/>
                <w:szCs w:val="18"/>
              </w:rPr>
            </w:pPr>
          </w:p>
        </w:tc>
        <w:tc>
          <w:tcPr>
            <w:tcW w:w="2080" w:type="dxa"/>
            <w:vMerge w:val="continue"/>
            <w:noWrap w:val="0"/>
            <w:vAlign w:val="center"/>
          </w:tcPr>
          <w:p>
            <w:pPr>
              <w:widowControl/>
              <w:jc w:val="left"/>
              <w:rPr>
                <w:rFonts w:ascii="宋体" w:hAnsi="宋体" w:eastAsia="宋体" w:cs="宋体"/>
                <w:color w:val="000000"/>
                <w:kern w:val="0"/>
                <w:sz w:val="18"/>
                <w:szCs w:val="18"/>
              </w:rPr>
            </w:pP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TC模块</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2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氢气监测</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有毒气体探测器（氢气）检测传感器</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2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手持巡检设备</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通过手册巡检设备对机房内设备环境移动巡检</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2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线缆\辅材</w:t>
            </w:r>
          </w:p>
        </w:tc>
        <w:tc>
          <w:tcPr>
            <w:tcW w:w="334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80" w:type="dxa"/>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批</w:t>
            </w:r>
          </w:p>
        </w:tc>
      </w:tr>
    </w:tbl>
    <w:p>
      <w:pPr>
        <w:widowControl/>
        <w:spacing w:line="560" w:lineRule="exact"/>
        <w:ind w:firstLine="560" w:firstLineChars="200"/>
        <w:textAlignment w:val="center"/>
        <w:rPr>
          <w:rFonts w:hint="eastAsia" w:ascii="仿宋" w:hAnsi="仿宋" w:eastAsia="仿宋" w:cs="仿宋"/>
          <w:bCs/>
          <w:sz w:val="28"/>
          <w:szCs w:val="28"/>
        </w:rPr>
      </w:pP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4"/>
          <w:lang w:val="en-US" w:eastAsia="zh-CN" w:bidi="ar-SA"/>
        </w:rPr>
      </w:pPr>
      <w:bookmarkStart w:id="295" w:name="_Toc25651236"/>
      <w:r>
        <w:rPr>
          <w:rFonts w:hint="eastAsia" w:ascii="仿宋" w:hAnsi="仿宋" w:eastAsia="仿宋" w:cs="仿宋"/>
          <w:b/>
          <w:kern w:val="2"/>
          <w:sz w:val="28"/>
          <w:szCs w:val="24"/>
          <w:lang w:val="en-US" w:eastAsia="zh-CN" w:bidi="ar-SA"/>
        </w:rPr>
        <w:t>系统平台</w:t>
      </w:r>
      <w:bookmarkEnd w:id="293"/>
      <w:bookmarkEnd w:id="294"/>
      <w:r>
        <w:rPr>
          <w:rFonts w:hint="eastAsia" w:ascii="仿宋" w:hAnsi="仿宋" w:eastAsia="仿宋" w:cs="仿宋"/>
          <w:b/>
          <w:kern w:val="2"/>
          <w:sz w:val="28"/>
          <w:szCs w:val="24"/>
          <w:lang w:val="en-US" w:eastAsia="zh-CN" w:bidi="ar-SA"/>
        </w:rPr>
        <w:t>要求</w:t>
      </w:r>
      <w:bookmarkEnd w:id="295"/>
    </w:p>
    <w:p>
      <w:pPr>
        <w:widowControl/>
        <w:numPr>
          <w:ilvl w:val="0"/>
          <w:numId w:val="56"/>
        </w:numPr>
        <w:spacing w:line="560" w:lineRule="exact"/>
        <w:ind w:left="0" w:firstLine="0"/>
        <w:rPr>
          <w:rFonts w:ascii="仿宋" w:hAnsi="仿宋" w:eastAsia="仿宋" w:cs="Times New Roman"/>
          <w:sz w:val="28"/>
          <w:szCs w:val="28"/>
          <w:lang w:val="zh-CN"/>
        </w:rPr>
      </w:pPr>
      <w:bookmarkStart w:id="296" w:name="_Toc307781499"/>
      <w:bookmarkStart w:id="297" w:name="_Toc441654308"/>
      <w:r>
        <w:rPr>
          <w:rFonts w:hint="eastAsia" w:ascii="仿宋" w:hAnsi="仿宋" w:eastAsia="仿宋" w:cs="Times New Roman"/>
          <w:sz w:val="28"/>
          <w:szCs w:val="28"/>
          <w:lang w:val="zh-CN"/>
        </w:rPr>
        <w:t>系统硬件方面，中标方在进行系统深化设计时，需选用国际或国产优质品牌的设备或材料。本次招标项目中涉及的主要的设备参数应具备或优于招标文件的要求。</w:t>
      </w:r>
    </w:p>
    <w:p>
      <w:pPr>
        <w:widowControl/>
        <w:numPr>
          <w:ilvl w:val="0"/>
          <w:numId w:val="5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统一用户界面：全中文界面，提供友好、直观、易懂的图形呈现，提供强大的信息交互与管理能力；门户层，为运维人员、业务人员、管理者，提供统一访问入口。</w:t>
      </w:r>
    </w:p>
    <w:p>
      <w:pPr>
        <w:widowControl/>
        <w:numPr>
          <w:ilvl w:val="0"/>
          <w:numId w:val="56"/>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综合监管平台服务器端需提供跨平台部署能力，保证系统的通用性和安全性。必须使用业内主流操作系统和数据库的部署版本。</w:t>
      </w:r>
    </w:p>
    <w:p>
      <w:pPr>
        <w:widowControl/>
        <w:numPr>
          <w:ilvl w:val="0"/>
          <w:numId w:val="56"/>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综合监管平台必须具有扩展性，要求可简捷地创建和删除监控对象、监控地域；系统进行该类维护功能时，应该不影响正常的监控。系统能进行升级，升级后兼容历史数据和原监控配置。</w:t>
      </w:r>
    </w:p>
    <w:p>
      <w:pPr>
        <w:widowControl/>
        <w:numPr>
          <w:ilvl w:val="0"/>
          <w:numId w:val="56"/>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系统可以将每天的数据存储起来，可方便查询每天的机房运行记录。可在管理站上全面监视机房运行情况，并在管理站上存储、备份、打印。</w:t>
      </w:r>
    </w:p>
    <w:p>
      <w:pPr>
        <w:widowControl/>
        <w:numPr>
          <w:ilvl w:val="0"/>
          <w:numId w:val="56"/>
        </w:numPr>
        <w:spacing w:line="560" w:lineRule="exact"/>
        <w:ind w:left="0" w:firstLine="0"/>
        <w:rPr>
          <w:rFonts w:hint="eastAsia" w:ascii="仿宋" w:hAnsi="仿宋" w:eastAsia="仿宋" w:cs="Times New Roman"/>
          <w:sz w:val="28"/>
          <w:szCs w:val="20"/>
        </w:rPr>
      </w:pPr>
      <w:r>
        <w:rPr>
          <w:rFonts w:hint="eastAsia" w:ascii="仿宋" w:hAnsi="仿宋" w:eastAsia="仿宋" w:cs="Times New Roman"/>
          <w:sz w:val="28"/>
          <w:szCs w:val="20"/>
        </w:rPr>
        <w:t>系统应提供A</w:t>
      </w:r>
      <w:r>
        <w:rPr>
          <w:rFonts w:ascii="仿宋" w:hAnsi="仿宋" w:eastAsia="仿宋" w:cs="Times New Roman"/>
          <w:sz w:val="28"/>
          <w:szCs w:val="20"/>
        </w:rPr>
        <w:t>PI</w:t>
      </w:r>
      <w:r>
        <w:rPr>
          <w:rFonts w:hint="eastAsia" w:ascii="仿宋" w:hAnsi="仿宋" w:eastAsia="仿宋" w:cs="Times New Roman"/>
          <w:sz w:val="28"/>
          <w:szCs w:val="20"/>
        </w:rPr>
        <w:t>接口，支持软件系统的招标人二次开发。</w:t>
      </w:r>
    </w:p>
    <w:p>
      <w:pPr>
        <w:widowControl/>
        <w:numPr>
          <w:ilvl w:val="0"/>
          <w:numId w:val="5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重点提示：下述相关要求需要根据招标人实际需求二次深化，故招标阶段需求仅供参考要求。</w:t>
      </w:r>
    </w:p>
    <w:p>
      <w:pPr>
        <w:widowControl/>
        <w:numPr>
          <w:ilvl w:val="0"/>
          <w:numId w:val="5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以下需求仅为初步需求，具体还应根据招标人需求和项目情况进行深化及实施，最终所提供的DCIM系统，必须确保各接口开放，系统具有高可扩展性，最终应满足招标人的二次开发需求。</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4"/>
          <w:lang w:val="en-US" w:eastAsia="zh-CN" w:bidi="ar-SA"/>
        </w:rPr>
      </w:pPr>
      <w:bookmarkStart w:id="298" w:name="_Toc25651237"/>
      <w:r>
        <w:rPr>
          <w:rFonts w:hint="eastAsia" w:ascii="仿宋" w:hAnsi="仿宋" w:eastAsia="仿宋" w:cs="仿宋"/>
          <w:b/>
          <w:kern w:val="2"/>
          <w:sz w:val="28"/>
          <w:szCs w:val="24"/>
          <w:lang w:val="en-US" w:eastAsia="zh-CN" w:bidi="ar-SA"/>
        </w:rPr>
        <w:t>系统架构</w:t>
      </w:r>
      <w:bookmarkEnd w:id="296"/>
      <w:bookmarkEnd w:id="297"/>
      <w:r>
        <w:rPr>
          <w:rFonts w:hint="eastAsia" w:ascii="仿宋" w:hAnsi="仿宋" w:eastAsia="仿宋" w:cs="仿宋"/>
          <w:b/>
          <w:kern w:val="2"/>
          <w:sz w:val="28"/>
          <w:szCs w:val="24"/>
          <w:lang w:val="en-US" w:eastAsia="zh-CN" w:bidi="ar-SA"/>
        </w:rPr>
        <w:t>要求</w:t>
      </w:r>
      <w:bookmarkEnd w:id="298"/>
    </w:p>
    <w:p>
      <w:pPr>
        <w:widowControl/>
        <w:spacing w:before="190" w:beforeLines="50" w:line="560" w:lineRule="exact"/>
        <w:ind w:firstLine="560" w:firstLineChars="200"/>
        <w:textAlignment w:val="center"/>
        <w:rPr>
          <w:rFonts w:hint="eastAsia" w:ascii="仿宋" w:hAnsi="仿宋" w:eastAsia="仿宋" w:cs="仿宋"/>
          <w:bCs/>
          <w:sz w:val="28"/>
          <w:szCs w:val="28"/>
        </w:rPr>
      </w:pPr>
      <w:r>
        <w:rPr>
          <w:rFonts w:hint="eastAsia" w:ascii="仿宋" w:hAnsi="仿宋" w:eastAsia="仿宋" w:cs="仿宋"/>
          <w:bCs/>
          <w:sz w:val="28"/>
          <w:szCs w:val="28"/>
        </w:rPr>
        <w:t>要求采用物理层、传输层、集中管理平台三层架构，具备良好的扩展性，支持灵活的组网方式，可满足异地机房的扩展接入需求。</w:t>
      </w:r>
    </w:p>
    <w:p>
      <w:pPr>
        <w:keepNext/>
        <w:keepLines/>
        <w:numPr>
          <w:ilvl w:val="4"/>
          <w:numId w:val="2"/>
        </w:numPr>
        <w:spacing w:before="0" w:beforeLines="0" w:after="0" w:afterLines="0" w:line="240" w:lineRule="auto"/>
        <w:ind w:left="0" w:firstLine="0"/>
        <w:jc w:val="both"/>
        <w:outlineLvl w:val="4"/>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物理层</w:t>
      </w:r>
    </w:p>
    <w:p>
      <w:pPr>
        <w:widowControl/>
        <w:spacing w:line="560" w:lineRule="exact"/>
        <w:ind w:firstLine="560" w:firstLineChars="200"/>
        <w:textAlignment w:val="center"/>
        <w:rPr>
          <w:rFonts w:hint="eastAsia" w:ascii="仿宋" w:hAnsi="仿宋" w:eastAsia="仿宋" w:cs="仿宋"/>
          <w:bCs/>
          <w:sz w:val="28"/>
          <w:szCs w:val="28"/>
        </w:rPr>
      </w:pPr>
      <w:r>
        <w:rPr>
          <w:rFonts w:hint="eastAsia" w:ascii="仿宋" w:hAnsi="仿宋" w:eastAsia="仿宋" w:cs="仿宋"/>
          <w:bCs/>
          <w:sz w:val="28"/>
          <w:szCs w:val="28"/>
        </w:rPr>
        <w:t>采集设备应具有加电自启动、抗病毒感染、网络攻击等可靠性特征，集数据采集、处理、前端存储、主机通讯功能于一身，可用于同时监控多个智能设备、模拟量和开关信号量。</w:t>
      </w:r>
    </w:p>
    <w:p>
      <w:pPr>
        <w:keepNext/>
        <w:keepLines/>
        <w:numPr>
          <w:ilvl w:val="4"/>
          <w:numId w:val="2"/>
        </w:numPr>
        <w:spacing w:before="0" w:beforeLines="0" w:after="0" w:afterLines="0" w:line="240" w:lineRule="auto"/>
        <w:ind w:left="0" w:firstLine="0"/>
        <w:jc w:val="both"/>
        <w:outlineLvl w:val="4"/>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传输层</w:t>
      </w:r>
    </w:p>
    <w:p>
      <w:pPr>
        <w:widowControl/>
        <w:spacing w:line="560" w:lineRule="exact"/>
        <w:ind w:firstLine="560" w:firstLineChars="200"/>
        <w:textAlignment w:val="center"/>
        <w:rPr>
          <w:rFonts w:hint="eastAsia" w:ascii="仿宋" w:hAnsi="仿宋" w:eastAsia="仿宋" w:cs="仿宋"/>
          <w:bCs/>
          <w:sz w:val="28"/>
          <w:szCs w:val="28"/>
        </w:rPr>
      </w:pPr>
      <w:r>
        <w:rPr>
          <w:rFonts w:hint="eastAsia" w:ascii="仿宋" w:hAnsi="仿宋" w:eastAsia="仿宋" w:cs="仿宋"/>
          <w:bCs/>
          <w:sz w:val="28"/>
          <w:szCs w:val="28"/>
        </w:rPr>
        <w:t>采集设备与所监控的动力设备、环境设备之间的通信信道应根据所监控区域的设备数量及传输信道总线带宽资源状况，合理选择稳定、可靠、传输资源利用率高的组网方式。</w:t>
      </w:r>
    </w:p>
    <w:p>
      <w:pPr>
        <w:keepNext/>
        <w:keepLines/>
        <w:numPr>
          <w:ilvl w:val="4"/>
          <w:numId w:val="2"/>
        </w:numPr>
        <w:spacing w:before="0" w:beforeLines="0" w:after="0" w:afterLines="0" w:line="240" w:lineRule="auto"/>
        <w:ind w:left="0" w:firstLine="0"/>
        <w:jc w:val="both"/>
        <w:outlineLvl w:val="4"/>
        <w:rPr>
          <w:rFonts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集中管理平台</w:t>
      </w:r>
    </w:p>
    <w:p>
      <w:pPr>
        <w:widowControl/>
        <w:spacing w:line="560" w:lineRule="exact"/>
        <w:ind w:firstLine="560" w:firstLineChars="200"/>
        <w:textAlignment w:val="center"/>
        <w:rPr>
          <w:rFonts w:hint="eastAsia" w:ascii="仿宋" w:hAnsi="仿宋" w:eastAsia="仿宋" w:cs="仿宋"/>
          <w:bCs/>
          <w:sz w:val="28"/>
          <w:szCs w:val="28"/>
        </w:rPr>
      </w:pPr>
      <w:r>
        <w:rPr>
          <w:rFonts w:hint="eastAsia" w:ascii="仿宋" w:hAnsi="仿宋" w:eastAsia="仿宋" w:cs="仿宋"/>
          <w:bCs/>
          <w:sz w:val="28"/>
          <w:szCs w:val="28"/>
        </w:rPr>
        <w:t>采用组件化的方式构建系统功能，构建易于安装和使用，具备风格一致用户界面，且用户界面应为中文操作界面的统一访问门户，实现基础设施管理、底层配置管理、资产管理、运维管理等模块的功能。</w:t>
      </w:r>
    </w:p>
    <w:p>
      <w:pPr>
        <w:spacing w:line="560" w:lineRule="exact"/>
        <w:ind w:firstLine="560" w:firstLineChars="200"/>
        <w:jc w:val="both"/>
        <w:textAlignment w:val="center"/>
        <w:rPr>
          <w:rFonts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建立统一的用户管理、权限管理和菜单管理。</w:t>
      </w:r>
    </w:p>
    <w:p>
      <w:pPr>
        <w:spacing w:line="560" w:lineRule="exact"/>
        <w:ind w:firstLine="560" w:firstLineChars="200"/>
        <w:jc w:val="both"/>
        <w:textAlignment w:val="cente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基础设施管理实现动环等设施的监控、告警消息通知和统计分析报表等功能。系统要求采用全中文操作界面，以3D电子地图形式模拟现场各个设备的实际位置及布局结构，能够实时查看各种智能设备或子系统的所有运行参数及运行状态。同时当机房内部出现异常情况时，管理系统能够通过软件界面报警、声光提示、手机短信息等多种手段通知机房管理人员，能够及时反馈机房的详细故障信息。各监测参数直接显示在屏幕上的环境平面图，各监测区域以多重视窗切换显示。</w:t>
      </w:r>
    </w:p>
    <w:p>
      <w:pPr>
        <w:widowControl/>
        <w:spacing w:line="560" w:lineRule="exact"/>
        <w:ind w:firstLine="560" w:firstLineChars="200"/>
        <w:textAlignment w:val="center"/>
        <w:rPr>
          <w:rFonts w:ascii="仿宋" w:hAnsi="仿宋" w:eastAsia="仿宋" w:cs="仿宋"/>
          <w:bCs/>
          <w:sz w:val="28"/>
          <w:szCs w:val="28"/>
        </w:rPr>
      </w:pPr>
      <w:r>
        <w:rPr>
          <w:rFonts w:hint="eastAsia" w:ascii="仿宋" w:hAnsi="仿宋" w:eastAsia="仿宋" w:cs="仿宋"/>
          <w:bCs/>
          <w:sz w:val="28"/>
          <w:szCs w:val="28"/>
        </w:rPr>
        <w:t>运维管理实现日常运维工作的信息化管理，包括事件管理、变更管理、发布管理、问题管理、统计报表及知识库管理，跟监控模块进行数据衔接，同时进行工单处理流程流转。</w:t>
      </w:r>
    </w:p>
    <w:p>
      <w:pPr>
        <w:keepNext/>
        <w:keepLines/>
        <w:numPr>
          <w:ilvl w:val="4"/>
          <w:numId w:val="2"/>
        </w:numPr>
        <w:spacing w:before="0" w:beforeLines="0" w:after="0" w:afterLines="0" w:line="240" w:lineRule="auto"/>
        <w:ind w:left="0" w:firstLine="0"/>
        <w:jc w:val="both"/>
        <w:outlineLvl w:val="4"/>
        <w:rPr>
          <w:rFonts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系统业务架构</w:t>
      </w:r>
    </w:p>
    <w:p>
      <w:pPr>
        <w:widowControl/>
        <w:spacing w:line="560" w:lineRule="exact"/>
        <w:ind w:firstLine="560" w:firstLineChars="200"/>
        <w:textAlignment w:val="center"/>
        <w:rPr>
          <w:rFonts w:ascii="仿宋" w:hAnsi="仿宋" w:eastAsia="仿宋" w:cs="Times New Roman"/>
          <w:sz w:val="24"/>
          <w:szCs w:val="24"/>
        </w:rPr>
      </w:pPr>
      <w:r>
        <w:rPr>
          <w:rFonts w:hint="eastAsia" w:ascii="仿宋" w:hAnsi="仿宋" w:eastAsia="仿宋" w:cs="Times New Roman"/>
          <w:sz w:val="28"/>
          <w:szCs w:val="28"/>
          <w:lang w:val="zh-CN"/>
        </w:rPr>
        <w:t>本业务架构需求仅为初步需求，具体还应根据招标人需求和项目情况进行深化及实施，招标阶段业务架构需求仅供参考。</w:t>
      </w:r>
    </w:p>
    <w:p>
      <w:pPr>
        <w:adjustRightInd/>
        <w:snapToGrid/>
        <w:spacing w:before="0" w:after="76" w:afterLines="20" w:line="360" w:lineRule="auto"/>
        <w:ind w:left="0"/>
        <w:jc w:val="both"/>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mc:AlternateContent>
          <mc:Choice Requires="wpc">
            <w:drawing>
              <wp:inline distT="0" distB="0" distL="114300" distR="114300">
                <wp:extent cx="5334000" cy="4698365"/>
                <wp:effectExtent l="19050" t="19050" r="38100" b="6985"/>
                <wp:docPr id="5"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矩形 3"/>
                        <wps:cNvSpPr/>
                        <wps:spPr>
                          <a:xfrm>
                            <a:off x="0" y="0"/>
                            <a:ext cx="5334000" cy="3374390"/>
                          </a:xfrm>
                          <a:prstGeom prst="rect">
                            <a:avLst/>
                          </a:prstGeom>
                          <a:solidFill>
                            <a:srgbClr val="5B9BD5"/>
                          </a:solidFill>
                          <a:ln w="38100" cap="flat" cmpd="sng">
                            <a:solidFill>
                              <a:srgbClr val="F2F2F2"/>
                            </a:solidFill>
                            <a:prstDash val="solid"/>
                            <a:miter/>
                            <a:headEnd type="none" w="med" len="med"/>
                            <a:tailEnd type="none" w="med" len="med"/>
                          </a:ln>
                          <a:effectLst>
                            <a:outerShdw dist="28398" dir="3806096" algn="ctr" rotWithShape="0">
                              <a:srgbClr val="1F4D78">
                                <a:alpha val="50000"/>
                              </a:srgbClr>
                            </a:outerShdw>
                          </a:effectLst>
                        </wps:spPr>
                        <wps:bodyPr upright="1"/>
                      </wps:wsp>
                      <wps:wsp>
                        <wps:cNvPr id="4" name="矩形 4"/>
                        <wps:cNvSpPr/>
                        <wps:spPr>
                          <a:xfrm>
                            <a:off x="0" y="3519170"/>
                            <a:ext cx="5334000" cy="1129030"/>
                          </a:xfrm>
                          <a:prstGeom prst="rect">
                            <a:avLst/>
                          </a:prstGeom>
                          <a:solidFill>
                            <a:srgbClr val="5B9BD5"/>
                          </a:solidFill>
                          <a:ln w="38100" cap="flat" cmpd="sng">
                            <a:solidFill>
                              <a:srgbClr val="F2F2F2"/>
                            </a:solidFill>
                            <a:prstDash val="solid"/>
                            <a:miter/>
                            <a:headEnd type="none" w="med" len="med"/>
                            <a:tailEnd type="none" w="med" len="med"/>
                          </a:ln>
                          <a:effectLst>
                            <a:outerShdw dist="28398" dir="3806096" algn="ctr" rotWithShape="0">
                              <a:srgbClr val="1F4D78">
                                <a:alpha val="50000"/>
                              </a:srgbClr>
                            </a:outerShdw>
                          </a:effectLst>
                        </wps:spPr>
                        <wps:bodyPr upright="1"/>
                      </wps:wsp>
                      <wps:wsp>
                        <wps:cNvPr id="7" name="文本框 5"/>
                        <wps:cNvSpPr txBox="1"/>
                        <wps:spPr>
                          <a:xfrm>
                            <a:off x="2938780" y="429895"/>
                            <a:ext cx="89344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3</w:t>
                              </w:r>
                              <w:r>
                                <w:rPr>
                                  <w:rFonts w:ascii="Calibri" w:hAnsi="Calibri" w:eastAsia="仿宋" w:cs="Times New Roman"/>
                                  <w:sz w:val="18"/>
                                  <w:szCs w:val="20"/>
                                </w:rPr>
                                <w:t>D</w:t>
                              </w:r>
                              <w:r>
                                <w:rPr>
                                  <w:rFonts w:hint="eastAsia" w:ascii="Calibri" w:hAnsi="Calibri" w:eastAsia="仿宋" w:cs="Times New Roman"/>
                                  <w:sz w:val="18"/>
                                  <w:szCs w:val="20"/>
                                </w:rPr>
                                <w:t>可视化</w:t>
                              </w:r>
                            </w:p>
                          </w:txbxContent>
                        </wps:txbx>
                        <wps:bodyPr upright="1"/>
                      </wps:wsp>
                      <wps:wsp>
                        <wps:cNvPr id="8" name="文本框 6"/>
                        <wps:cNvSpPr txBox="1"/>
                        <wps:spPr>
                          <a:xfrm>
                            <a:off x="243205" y="1440180"/>
                            <a:ext cx="80454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告警管理</w:t>
                              </w:r>
                            </w:p>
                          </w:txbxContent>
                        </wps:txbx>
                        <wps:bodyPr upright="1"/>
                      </wps:wsp>
                      <wps:wsp>
                        <wps:cNvPr id="9" name="文本框 7"/>
                        <wps:cNvSpPr txBox="1"/>
                        <wps:spPr>
                          <a:xfrm>
                            <a:off x="243205" y="1793240"/>
                            <a:ext cx="80454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配电管理</w:t>
                              </w:r>
                            </w:p>
                          </w:txbxContent>
                        </wps:txbx>
                        <wps:bodyPr upright="1"/>
                      </wps:wsp>
                      <wps:wsp>
                        <wps:cNvPr id="10" name="文本框 8"/>
                        <wps:cNvSpPr txBox="1"/>
                        <wps:spPr>
                          <a:xfrm>
                            <a:off x="142875" y="2955290"/>
                            <a:ext cx="4980305" cy="295910"/>
                          </a:xfrm>
                          <a:prstGeom prst="rect">
                            <a:avLst/>
                          </a:prstGeom>
                          <a:solidFill>
                            <a:srgbClr val="92D05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数据接口</w:t>
                              </w:r>
                            </w:p>
                          </w:txbxContent>
                        </wps:txbx>
                        <wps:bodyPr upright="1"/>
                      </wps:wsp>
                      <wps:wsp>
                        <wps:cNvPr id="11" name="文本框 9"/>
                        <wps:cNvSpPr txBox="1"/>
                        <wps:spPr>
                          <a:xfrm>
                            <a:off x="1388745" y="429895"/>
                            <a:ext cx="1002030"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定制展示页面</w:t>
                              </w:r>
                            </w:p>
                          </w:txbxContent>
                        </wps:txbx>
                        <wps:bodyPr upright="1"/>
                      </wps:wsp>
                      <wps:wsp>
                        <wps:cNvPr id="12" name="文本框 10"/>
                        <wps:cNvSpPr txBox="1"/>
                        <wps:spPr>
                          <a:xfrm>
                            <a:off x="242570" y="1094740"/>
                            <a:ext cx="80454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设施监控</w:t>
                              </w:r>
                            </w:p>
                          </w:txbxContent>
                        </wps:txbx>
                        <wps:bodyPr upright="1"/>
                      </wps:wsp>
                      <wps:wsp>
                        <wps:cNvPr id="13" name="文本框 11"/>
                        <wps:cNvSpPr txBox="1"/>
                        <wps:spPr>
                          <a:xfrm>
                            <a:off x="2251075" y="4089400"/>
                            <a:ext cx="1206500"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安防子系统</w:t>
                              </w:r>
                            </w:p>
                          </w:txbxContent>
                        </wps:txbx>
                        <wps:bodyPr upright="1"/>
                      </wps:wsp>
                      <wps:wsp>
                        <wps:cNvPr id="14" name="文本框 12"/>
                        <wps:cNvSpPr txBox="1"/>
                        <wps:spPr>
                          <a:xfrm>
                            <a:off x="218440" y="4079240"/>
                            <a:ext cx="166179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动环数据采集</w:t>
                              </w:r>
                            </w:p>
                          </w:txbxContent>
                        </wps:txbx>
                        <wps:bodyPr upright="1"/>
                      </wps:wsp>
                      <wps:wsp>
                        <wps:cNvPr id="15" name="文本框 13"/>
                        <wps:cNvSpPr txBox="1"/>
                        <wps:spPr>
                          <a:xfrm>
                            <a:off x="499110" y="3825875"/>
                            <a:ext cx="1247775"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动环数据采集</w:t>
                              </w:r>
                            </w:p>
                          </w:txbxContent>
                        </wps:txbx>
                        <wps:bodyPr upright="1"/>
                      </wps:wsp>
                      <wps:wsp>
                        <wps:cNvPr id="16" name="文本框 14"/>
                        <wps:cNvSpPr txBox="1"/>
                        <wps:spPr>
                          <a:xfrm>
                            <a:off x="3152775" y="3783965"/>
                            <a:ext cx="788670"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子系统</w:t>
                              </w:r>
                            </w:p>
                          </w:txbxContent>
                        </wps:txbx>
                        <wps:bodyPr upright="1"/>
                      </wps:wsp>
                      <wps:wsp>
                        <wps:cNvPr id="17" name="文本框 15"/>
                        <wps:cNvSpPr txBox="1"/>
                        <wps:spPr>
                          <a:xfrm>
                            <a:off x="3152775" y="3530600"/>
                            <a:ext cx="904875"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b/>
                                  <w:color w:val="FFFFFF"/>
                                  <w:sz w:val="24"/>
                                  <w:szCs w:val="20"/>
                                </w:rPr>
                              </w:pPr>
                              <w:r>
                                <w:rPr>
                                  <w:rFonts w:hint="eastAsia" w:ascii="Calibri" w:hAnsi="Calibri" w:eastAsia="仿宋" w:cs="Times New Roman"/>
                                  <w:b/>
                                  <w:color w:val="FFFFFF"/>
                                  <w:sz w:val="24"/>
                                  <w:szCs w:val="20"/>
                                </w:rPr>
                                <w:t>系统集成</w:t>
                              </w:r>
                            </w:p>
                          </w:txbxContent>
                        </wps:txbx>
                        <wps:bodyPr upright="1"/>
                      </wps:wsp>
                      <wps:wsp>
                        <wps:cNvPr id="18" name="文本框 16"/>
                        <wps:cNvSpPr txBox="1"/>
                        <wps:spPr>
                          <a:xfrm>
                            <a:off x="1993900" y="52705"/>
                            <a:ext cx="1311275" cy="254000"/>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b/>
                                  <w:color w:val="FFFFFF"/>
                                  <w:sz w:val="24"/>
                                  <w:szCs w:val="20"/>
                                </w:rPr>
                              </w:pPr>
                              <w:r>
                                <w:rPr>
                                  <w:rFonts w:hint="eastAsia" w:ascii="Calibri" w:hAnsi="Calibri" w:eastAsia="仿宋" w:cs="Times New Roman"/>
                                  <w:b/>
                                  <w:color w:val="FFFFFF"/>
                                  <w:sz w:val="24"/>
                                  <w:szCs w:val="20"/>
                                </w:rPr>
                                <w:t>D</w:t>
                              </w:r>
                              <w:r>
                                <w:rPr>
                                  <w:rFonts w:ascii="Calibri" w:hAnsi="Calibri" w:eastAsia="仿宋" w:cs="Times New Roman"/>
                                  <w:b/>
                                  <w:color w:val="FFFFFF"/>
                                  <w:sz w:val="24"/>
                                  <w:szCs w:val="20"/>
                                </w:rPr>
                                <w:t>CIM</w:t>
                              </w:r>
                              <w:r>
                                <w:rPr>
                                  <w:rFonts w:hint="eastAsia" w:ascii="Calibri" w:hAnsi="Calibri" w:eastAsia="仿宋" w:cs="Times New Roman"/>
                                  <w:b/>
                                  <w:color w:val="FFFFFF"/>
                                  <w:sz w:val="24"/>
                                  <w:szCs w:val="20"/>
                                </w:rPr>
                                <w:t>管理平台</w:t>
                              </w:r>
                            </w:p>
                          </w:txbxContent>
                        </wps:txbx>
                        <wps:bodyPr upright="1"/>
                      </wps:wsp>
                      <wps:wsp>
                        <wps:cNvPr id="19" name="矩形 17"/>
                        <wps:cNvSpPr/>
                        <wps:spPr>
                          <a:xfrm>
                            <a:off x="142875" y="3782060"/>
                            <a:ext cx="1939925" cy="733425"/>
                          </a:xfrm>
                          <a:prstGeom prst="rect">
                            <a:avLst/>
                          </a:prstGeom>
                          <a:noFill/>
                          <a:ln w="9525" cap="flat" cmpd="sng">
                            <a:solidFill>
                              <a:srgbClr val="000000"/>
                            </a:solidFill>
                            <a:prstDash val="dash"/>
                            <a:miter/>
                            <a:headEnd type="none" w="med" len="med"/>
                            <a:tailEnd type="none" w="med" len="med"/>
                          </a:ln>
                          <a:effectLst/>
                        </wps:spPr>
                        <wps:bodyPr upright="1"/>
                      </wps:wsp>
                      <wps:wsp>
                        <wps:cNvPr id="20" name="矩形 18"/>
                        <wps:cNvSpPr/>
                        <wps:spPr>
                          <a:xfrm>
                            <a:off x="2177415" y="3782060"/>
                            <a:ext cx="2961005" cy="733425"/>
                          </a:xfrm>
                          <a:prstGeom prst="rect">
                            <a:avLst/>
                          </a:prstGeom>
                          <a:noFill/>
                          <a:ln w="9525" cap="flat" cmpd="sng">
                            <a:solidFill>
                              <a:srgbClr val="000000"/>
                            </a:solidFill>
                            <a:prstDash val="dash"/>
                            <a:miter/>
                            <a:headEnd type="none" w="med" len="med"/>
                            <a:tailEnd type="none" w="med" len="med"/>
                          </a:ln>
                          <a:effectLst/>
                        </wps:spPr>
                        <wps:bodyPr upright="1"/>
                      </wps:wsp>
                      <wps:wsp>
                        <wps:cNvPr id="21" name="上下箭头 19"/>
                        <wps:cNvSpPr/>
                        <wps:spPr>
                          <a:xfrm>
                            <a:off x="986155" y="3250565"/>
                            <a:ext cx="209550" cy="531495"/>
                          </a:xfrm>
                          <a:prstGeom prst="upDownArrow">
                            <a:avLst>
                              <a:gd name="adj1" fmla="val 50000"/>
                              <a:gd name="adj2" fmla="val 50727"/>
                            </a:avLst>
                          </a:prstGeom>
                          <a:solidFill>
                            <a:srgbClr val="92D050"/>
                          </a:solidFill>
                          <a:ln w="9525" cap="flat" cmpd="sng">
                            <a:solidFill>
                              <a:srgbClr val="000000"/>
                            </a:solidFill>
                            <a:prstDash val="solid"/>
                            <a:miter/>
                            <a:headEnd type="none" w="med" len="med"/>
                            <a:tailEnd type="none" w="med" len="med"/>
                          </a:ln>
                          <a:effectLst/>
                        </wps:spPr>
                        <wps:bodyPr vert="eaVert" upright="1"/>
                      </wps:wsp>
                      <wps:wsp>
                        <wps:cNvPr id="22" name="上下箭头 20"/>
                        <wps:cNvSpPr/>
                        <wps:spPr>
                          <a:xfrm>
                            <a:off x="2628900" y="3250565"/>
                            <a:ext cx="209550" cy="533400"/>
                          </a:xfrm>
                          <a:prstGeom prst="upDownArrow">
                            <a:avLst>
                              <a:gd name="adj1" fmla="val 50000"/>
                              <a:gd name="adj2" fmla="val 50909"/>
                            </a:avLst>
                          </a:prstGeom>
                          <a:solidFill>
                            <a:srgbClr val="92D050"/>
                          </a:solidFill>
                          <a:ln w="9525" cap="flat" cmpd="sng">
                            <a:solidFill>
                              <a:srgbClr val="000000"/>
                            </a:solidFill>
                            <a:prstDash val="solid"/>
                            <a:miter/>
                            <a:headEnd type="none" w="med" len="med"/>
                            <a:tailEnd type="none" w="med" len="med"/>
                          </a:ln>
                          <a:effectLst/>
                        </wps:spPr>
                        <wps:bodyPr vert="eaVert" upright="1"/>
                      </wps:wsp>
                      <wps:wsp>
                        <wps:cNvPr id="23" name="上下箭头 21"/>
                        <wps:cNvSpPr/>
                        <wps:spPr>
                          <a:xfrm>
                            <a:off x="4529455" y="3250565"/>
                            <a:ext cx="209550" cy="531495"/>
                          </a:xfrm>
                          <a:prstGeom prst="upDownArrow">
                            <a:avLst>
                              <a:gd name="adj1" fmla="val 50000"/>
                              <a:gd name="adj2" fmla="val 50727"/>
                            </a:avLst>
                          </a:prstGeom>
                          <a:solidFill>
                            <a:srgbClr val="92D050"/>
                          </a:solidFill>
                          <a:ln w="9525" cap="flat" cmpd="sng">
                            <a:solidFill>
                              <a:srgbClr val="000000"/>
                            </a:solidFill>
                            <a:prstDash val="solid"/>
                            <a:miter/>
                            <a:headEnd type="none" w="med" len="med"/>
                            <a:tailEnd type="none" w="med" len="med"/>
                          </a:ln>
                          <a:effectLst/>
                        </wps:spPr>
                        <wps:bodyPr vert="eaVert" upright="1"/>
                      </wps:wsp>
                      <wps:wsp>
                        <wps:cNvPr id="24" name="文本框 22"/>
                        <wps:cNvSpPr txBox="1"/>
                        <wps:spPr>
                          <a:xfrm>
                            <a:off x="3727450" y="4089400"/>
                            <a:ext cx="1206500"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其它子系统</w:t>
                              </w:r>
                            </w:p>
                          </w:txbxContent>
                        </wps:txbx>
                        <wps:bodyPr upright="1"/>
                      </wps:wsp>
                      <wps:wsp>
                        <wps:cNvPr id="25" name="文本框 23"/>
                        <wps:cNvSpPr txBox="1"/>
                        <wps:spPr>
                          <a:xfrm>
                            <a:off x="331470" y="429895"/>
                            <a:ext cx="704850"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展示</w:t>
                              </w:r>
                            </w:p>
                          </w:txbxContent>
                        </wps:txbx>
                        <wps:bodyPr upright="1"/>
                      </wps:wsp>
                      <wps:wsp>
                        <wps:cNvPr id="26" name="矩形 24"/>
                        <wps:cNvSpPr/>
                        <wps:spPr>
                          <a:xfrm>
                            <a:off x="158115" y="365760"/>
                            <a:ext cx="5042535" cy="424815"/>
                          </a:xfrm>
                          <a:prstGeom prst="rect">
                            <a:avLst/>
                          </a:prstGeom>
                          <a:noFill/>
                          <a:ln w="9525" cap="flat" cmpd="sng">
                            <a:solidFill>
                              <a:srgbClr val="000000"/>
                            </a:solidFill>
                            <a:prstDash val="dash"/>
                            <a:miter/>
                            <a:headEnd type="none" w="med" len="med"/>
                            <a:tailEnd type="none" w="med" len="med"/>
                          </a:ln>
                          <a:effectLst/>
                        </wps:spPr>
                        <wps:bodyPr upright="1"/>
                      </wps:wsp>
                      <wps:wsp>
                        <wps:cNvPr id="27" name="矩形 25"/>
                        <wps:cNvSpPr/>
                        <wps:spPr>
                          <a:xfrm>
                            <a:off x="142875" y="842010"/>
                            <a:ext cx="1939925" cy="2046605"/>
                          </a:xfrm>
                          <a:prstGeom prst="rect">
                            <a:avLst/>
                          </a:prstGeom>
                          <a:noFill/>
                          <a:ln w="9525" cap="flat" cmpd="sng">
                            <a:solidFill>
                              <a:srgbClr val="000000"/>
                            </a:solidFill>
                            <a:prstDash val="dash"/>
                            <a:miter/>
                            <a:headEnd type="none" w="med" len="med"/>
                            <a:tailEnd type="none" w="med" len="med"/>
                          </a:ln>
                          <a:effectLst/>
                        </wps:spPr>
                        <wps:bodyPr upright="1"/>
                      </wps:wsp>
                      <wps:wsp>
                        <wps:cNvPr id="28" name="文本框 26"/>
                        <wps:cNvSpPr txBox="1"/>
                        <wps:spPr>
                          <a:xfrm>
                            <a:off x="765175" y="811530"/>
                            <a:ext cx="657225"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设施管理</w:t>
                              </w:r>
                            </w:p>
                          </w:txbxContent>
                        </wps:txbx>
                        <wps:bodyPr upright="1"/>
                      </wps:wsp>
                      <wps:wsp>
                        <wps:cNvPr id="29" name="文本框 27"/>
                        <wps:cNvSpPr txBox="1"/>
                        <wps:spPr>
                          <a:xfrm>
                            <a:off x="1129030" y="1104265"/>
                            <a:ext cx="80454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温度云图</w:t>
                              </w:r>
                            </w:p>
                          </w:txbxContent>
                        </wps:txbx>
                        <wps:bodyPr upright="1"/>
                      </wps:wsp>
                      <wps:wsp>
                        <wps:cNvPr id="30" name="文本框 28"/>
                        <wps:cNvSpPr txBox="1"/>
                        <wps:spPr>
                          <a:xfrm>
                            <a:off x="1137920" y="1449070"/>
                            <a:ext cx="80454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容量管理</w:t>
                              </w:r>
                            </w:p>
                          </w:txbxContent>
                        </wps:txbx>
                        <wps:bodyPr upright="1"/>
                      </wps:wsp>
                      <wps:wsp>
                        <wps:cNvPr id="31" name="文本框 29"/>
                        <wps:cNvSpPr txBox="1"/>
                        <wps:spPr>
                          <a:xfrm>
                            <a:off x="1128395" y="1814830"/>
                            <a:ext cx="80454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能效管理</w:t>
                              </w:r>
                            </w:p>
                          </w:txbxContent>
                        </wps:txbx>
                        <wps:bodyPr upright="1"/>
                      </wps:wsp>
                      <wps:wsp>
                        <wps:cNvPr id="32" name="文本框 30"/>
                        <wps:cNvSpPr txBox="1"/>
                        <wps:spPr>
                          <a:xfrm>
                            <a:off x="2262505" y="1440180"/>
                            <a:ext cx="92011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资产管理</w:t>
                              </w:r>
                            </w:p>
                          </w:txbxContent>
                        </wps:txbx>
                        <wps:bodyPr upright="1"/>
                      </wps:wsp>
                      <wps:wsp>
                        <wps:cNvPr id="33" name="文本框 31"/>
                        <wps:cNvSpPr txBox="1"/>
                        <wps:spPr>
                          <a:xfrm>
                            <a:off x="2262505" y="1793240"/>
                            <a:ext cx="92011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人员及组织</w:t>
                              </w:r>
                            </w:p>
                          </w:txbxContent>
                        </wps:txbx>
                        <wps:bodyPr upright="1"/>
                      </wps:wsp>
                      <wps:wsp>
                        <wps:cNvPr id="34" name="文本框 32"/>
                        <wps:cNvSpPr txBox="1"/>
                        <wps:spPr>
                          <a:xfrm>
                            <a:off x="2262505" y="2146935"/>
                            <a:ext cx="92011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运行管理</w:t>
                              </w:r>
                            </w:p>
                          </w:txbxContent>
                        </wps:txbx>
                        <wps:bodyPr upright="1"/>
                      </wps:wsp>
                      <wps:wsp>
                        <wps:cNvPr id="35" name="文本框 33"/>
                        <wps:cNvSpPr txBox="1"/>
                        <wps:spPr>
                          <a:xfrm>
                            <a:off x="2261870" y="2491740"/>
                            <a:ext cx="92011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设备维护</w:t>
                              </w:r>
                            </w:p>
                          </w:txbxContent>
                        </wps:txbx>
                        <wps:bodyPr upright="1"/>
                      </wps:wsp>
                      <wps:wsp>
                        <wps:cNvPr id="36" name="文本框 34"/>
                        <wps:cNvSpPr txBox="1"/>
                        <wps:spPr>
                          <a:xfrm>
                            <a:off x="2261870" y="1094740"/>
                            <a:ext cx="92011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消息中心</w:t>
                              </w:r>
                            </w:p>
                          </w:txbxContent>
                        </wps:txbx>
                        <wps:bodyPr upright="1"/>
                      </wps:wsp>
                      <wps:wsp>
                        <wps:cNvPr id="37" name="矩形 35"/>
                        <wps:cNvSpPr/>
                        <wps:spPr>
                          <a:xfrm>
                            <a:off x="2152650" y="842010"/>
                            <a:ext cx="2057400" cy="2046605"/>
                          </a:xfrm>
                          <a:prstGeom prst="rect">
                            <a:avLst/>
                          </a:prstGeom>
                          <a:noFill/>
                          <a:ln w="9525" cap="flat" cmpd="sng">
                            <a:solidFill>
                              <a:srgbClr val="000000"/>
                            </a:solidFill>
                            <a:prstDash val="dash"/>
                            <a:miter/>
                            <a:headEnd type="none" w="med" len="med"/>
                            <a:tailEnd type="none" w="med" len="med"/>
                          </a:ln>
                          <a:effectLst/>
                        </wps:spPr>
                        <wps:bodyPr upright="1"/>
                      </wps:wsp>
                      <wps:wsp>
                        <wps:cNvPr id="38" name="文本框 36"/>
                        <wps:cNvSpPr txBox="1"/>
                        <wps:spPr>
                          <a:xfrm>
                            <a:off x="2774950" y="811530"/>
                            <a:ext cx="822325"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运维管理</w:t>
                              </w:r>
                            </w:p>
                          </w:txbxContent>
                        </wps:txbx>
                        <wps:bodyPr upright="1"/>
                      </wps:wsp>
                      <wps:wsp>
                        <wps:cNvPr id="39" name="文本框 37"/>
                        <wps:cNvSpPr txBox="1"/>
                        <wps:spPr>
                          <a:xfrm>
                            <a:off x="3233420" y="1094740"/>
                            <a:ext cx="92011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规划协调管理</w:t>
                              </w:r>
                            </w:p>
                          </w:txbxContent>
                        </wps:txbx>
                        <wps:bodyPr upright="1"/>
                      </wps:wsp>
                      <wps:wsp>
                        <wps:cNvPr id="40" name="文本框 38"/>
                        <wps:cNvSpPr txBox="1"/>
                        <wps:spPr>
                          <a:xfrm>
                            <a:off x="4379595" y="1440180"/>
                            <a:ext cx="72072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权限管理</w:t>
                              </w:r>
                            </w:p>
                          </w:txbxContent>
                        </wps:txbx>
                        <wps:bodyPr upright="1"/>
                      </wps:wsp>
                      <wps:wsp>
                        <wps:cNvPr id="41" name="文本框 39"/>
                        <wps:cNvSpPr txBox="1"/>
                        <wps:spPr>
                          <a:xfrm>
                            <a:off x="4379595" y="1793240"/>
                            <a:ext cx="72072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报表管理</w:t>
                              </w:r>
                            </w:p>
                          </w:txbxContent>
                        </wps:txbx>
                        <wps:bodyPr upright="1"/>
                      </wps:wsp>
                      <wps:wsp>
                        <wps:cNvPr id="42" name="文本框 40"/>
                        <wps:cNvSpPr txBox="1"/>
                        <wps:spPr>
                          <a:xfrm>
                            <a:off x="4378960" y="1094740"/>
                            <a:ext cx="72072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人员管理</w:t>
                              </w:r>
                            </w:p>
                          </w:txbxContent>
                        </wps:txbx>
                        <wps:bodyPr upright="1"/>
                      </wps:wsp>
                      <wps:wsp>
                        <wps:cNvPr id="43" name="矩形 41"/>
                        <wps:cNvSpPr/>
                        <wps:spPr>
                          <a:xfrm>
                            <a:off x="4289425" y="842010"/>
                            <a:ext cx="901700" cy="2046605"/>
                          </a:xfrm>
                          <a:prstGeom prst="rect">
                            <a:avLst/>
                          </a:prstGeom>
                          <a:noFill/>
                          <a:ln w="9525" cap="flat" cmpd="sng">
                            <a:solidFill>
                              <a:srgbClr val="000000"/>
                            </a:solidFill>
                            <a:prstDash val="dash"/>
                            <a:miter/>
                            <a:headEnd type="none" w="med" len="med"/>
                            <a:tailEnd type="none" w="med" len="med"/>
                          </a:ln>
                          <a:effectLst/>
                        </wps:spPr>
                        <wps:bodyPr upright="1"/>
                      </wps:wsp>
                      <wps:wsp>
                        <wps:cNvPr id="44" name="文本框 42"/>
                        <wps:cNvSpPr txBox="1"/>
                        <wps:spPr>
                          <a:xfrm>
                            <a:off x="4412615" y="811530"/>
                            <a:ext cx="644525"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其它应用</w:t>
                              </w:r>
                            </w:p>
                          </w:txbxContent>
                        </wps:txbx>
                        <wps:bodyPr upright="1"/>
                      </wps:wsp>
                      <wps:wsp>
                        <wps:cNvPr id="45" name="文本框 43"/>
                        <wps:cNvSpPr txBox="1"/>
                        <wps:spPr>
                          <a:xfrm>
                            <a:off x="3233420" y="1447165"/>
                            <a:ext cx="92011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培训</w:t>
                              </w:r>
                            </w:p>
                          </w:txbxContent>
                        </wps:txbx>
                        <wps:bodyPr upright="1"/>
                      </wps:wsp>
                      <wps:wsp>
                        <wps:cNvPr id="47" name="文本框 44"/>
                        <wps:cNvSpPr txBox="1"/>
                        <wps:spPr>
                          <a:xfrm>
                            <a:off x="3233420" y="1790065"/>
                            <a:ext cx="92011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配置</w:t>
                              </w:r>
                            </w:p>
                          </w:txbxContent>
                        </wps:txbx>
                        <wps:bodyPr upright="1"/>
                      </wps:wsp>
                      <wps:wsp>
                        <wps:cNvPr id="48" name="文本框 45"/>
                        <wps:cNvSpPr txBox="1"/>
                        <wps:spPr>
                          <a:xfrm>
                            <a:off x="3233420" y="2152015"/>
                            <a:ext cx="92011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设置</w:t>
                              </w:r>
                            </w:p>
                          </w:txbxContent>
                        </wps:txbx>
                        <wps:bodyPr upright="1"/>
                      </wps:wsp>
                    </wpc:wpc>
                  </a:graphicData>
                </a:graphic>
              </wp:inline>
            </w:drawing>
          </mc:Choice>
          <mc:Fallback>
            <w:pict>
              <v:group id="画布 46" o:spid="_x0000_s1026" o:spt="203" style="height:369.95pt;width:420pt;" coordsize="5334000,4698365" editas="canvas" o:gfxdata="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">
                <o:lock v:ext="edit" aspectratio="f"/>
                <v:shape id="画布 46" o:spid="_x0000_s1026" style="position:absolute;left:0;top:0;height:4698365;width:5334000;" filled="f" stroked="f" coordsize="21600,21600" o:gfxdata="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">
                  <v:fill on="f" focussize="0,0"/>
                  <v:stroke on="f"/>
                  <v:imagedata o:title=""/>
                  <o:lock v:ext="edit" aspectratio="t"/>
                </v:shape>
                <v:rect id="_x0000_s1026" o:spid="_x0000_s1026" o:spt="1" style="position:absolute;left:0;top:0;height:3374390;width:5334000;" fillcolor="#5B9BD5" filled="t" stroked="t" coordsize="21600,21600" o:gfxdata="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yjFK1gAAAAUBAAAPAAAAAAAAAAEAIAAAACIAAABkcnMvZG93bnJl&#10;di54bWxQSwECFAAUAAAACACHTuJAtsrbFTgCAAB5BAAADgAAAAAAAAABACAAAAAlAQAAZHJzL2Uy&#10;b0RvYy54bWxQSwUGAAAAAAYABgBZAQAAzwUAAAAA&#10;">
                  <v:fill on="t" focussize="0,0"/>
                  <v:stroke weight="3pt" color="#F2F2F2" joinstyle="miter"/>
                  <v:imagedata o:title=""/>
                  <o:lock v:ext="edit" aspectratio="f"/>
                  <v:shadow on="t" color="#1F4D78" opacity="32768f" offset="1pt,2pt" origin="0f,0f" matrix="65536f,0f,0f,65536f"/>
                </v:rect>
                <v:rect id="_x0000_s1026" o:spid="_x0000_s1026" o:spt="1" style="position:absolute;left:0;top:3519170;height:1129030;width:5334000;" fillcolor="#5B9BD5" filled="t" stroked="t" coordsize="21600,21600" o:gfxdata="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5yjFK1gAAAAUBAAAPAAAAAAAAAAEAIAAAACIAAABkcnMv&#10;ZG93bnJldi54bWxQSwECFAAUAAAACACHTuJA3Vg8uj4CAAB/BAAADgAAAAAAAAABACAAAAAlAQAA&#10;ZHJzL2Uyb0RvYy54bWxQSwUGAAAAAAYABgBZAQAA1QUAAAAA&#10;">
                  <v:fill on="t" focussize="0,0"/>
                  <v:stroke weight="3pt" color="#F2F2F2" joinstyle="miter"/>
                  <v:imagedata o:title=""/>
                  <o:lock v:ext="edit" aspectratio="f"/>
                  <v:shadow on="t" color="#1F4D78" opacity="32768f" offset="1pt,2pt" origin="0f,0f" matrix="65536f,0f,0f,65536f"/>
                </v:rect>
                <v:shape id="文本框 5" o:spid="_x0000_s1026" o:spt="202" type="#_x0000_t202" style="position:absolute;left:2938780;top:429895;height:295275;width:89344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MObHjVAAAABQEAAA8AAAAAAAAAAQAgAAAAIgAAAGRy&#10;cy9kb3ducmV2LnhtbFBLAQIUABQAAAAIAIdO4kDxd/58CAIAAOQDAAAOAAAAAAAAAAEAIAAAACQB&#10;AABkcnMvZTJvRG9jLnhtbFBLBQYAAAAABgAGAFkBAACe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3</w:t>
                        </w:r>
                        <w:r>
                          <w:rPr>
                            <w:rFonts w:ascii="Calibri" w:hAnsi="Calibri" w:eastAsia="仿宋" w:cs="Times New Roman"/>
                            <w:sz w:val="18"/>
                            <w:szCs w:val="20"/>
                          </w:rPr>
                          <w:t>D</w:t>
                        </w:r>
                        <w:r>
                          <w:rPr>
                            <w:rFonts w:hint="eastAsia" w:ascii="Calibri" w:hAnsi="Calibri" w:eastAsia="仿宋" w:cs="Times New Roman"/>
                            <w:sz w:val="18"/>
                            <w:szCs w:val="20"/>
                          </w:rPr>
                          <w:t>可视化</w:t>
                        </w:r>
                      </w:p>
                    </w:txbxContent>
                  </v:textbox>
                </v:shape>
                <v:shape id="文本框 6" o:spid="_x0000_s1026" o:spt="202" type="#_x0000_t202" style="position:absolute;left:243205;top:1440180;height:295910;width:80454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MObHjVAAAABQEAAA8AAAAAAAAAAQAgAAAAIgAAAGRycy9k&#10;b3ducmV2LnhtbFBLAQIUABQAAAAIAIdO4kDfrydyBQIAAOQDAAAOAAAAAAAAAAEAIAAAACQBAABk&#10;cnMvZTJvRG9jLnhtbFBLBQYAAAAABgAGAFkBAACb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告警管理</w:t>
                        </w:r>
                      </w:p>
                    </w:txbxContent>
                  </v:textbox>
                </v:shape>
                <v:shape id="文本框 7" o:spid="_x0000_s1026" o:spt="202" type="#_x0000_t202" style="position:absolute;left:243205;top:1793240;height:295910;width:80454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w5seNUAAAAFAQAADwAAAAAAAAABACAAAAAiAAAAZHJzL2Rv&#10;d25yZXYueG1sUEsBAhQAFAAAAAgAh07iQDqq43EEAgAA5AMAAA4AAAAAAAAAAQAgAAAAJAEAAGRy&#10;cy9lMm9Eb2MueG1sUEsFBgAAAAAGAAYAWQEAAJo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配电管理</w:t>
                        </w:r>
                      </w:p>
                    </w:txbxContent>
                  </v:textbox>
                </v:shape>
                <v:shape id="文本框 8" o:spid="_x0000_s1026" o:spt="202" type="#_x0000_t202" style="position:absolute;left:142875;top:2955290;height:295910;width:4980305;" fillcolor="#92D050" filled="t" stroked="f" coordsize="21600,21600" o:gfxdata="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P3ztUAAAAFAQAADwAAAAAAAAABACAAAAAiAAAAZHJzL2Rv&#10;d25yZXYueG1sUEsBAhQAFAAAAAgAh07iQPWZXsEEAgAA5gMAAA4AAAAAAAAAAQAgAAAAJAEAAGRy&#10;cy9lMm9Eb2MueG1sUEsFBgAAAAAGAAYAWQEAAJo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数据接口</w:t>
                        </w:r>
                      </w:p>
                    </w:txbxContent>
                  </v:textbox>
                </v:shape>
                <v:shape id="文本框 9" o:spid="_x0000_s1026" o:spt="202" type="#_x0000_t202" style="position:absolute;left:1388745;top:429895;height:295275;width:1002030;"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MObHjVAAAABQEAAA8AAAAAAAAAAQAgAAAAIgAAAGRy&#10;cy9kb3ducmV2LnhtbFBLAQIUABQAAAAIAIdO4kADTmZlCAIAAOYDAAAOAAAAAAAAAAEAIAAAACQB&#10;AABkcnMvZTJvRG9jLnhtbFBLBQYAAAAABgAGAFkBAACe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定制展示页面</w:t>
                        </w:r>
                      </w:p>
                    </w:txbxContent>
                  </v:textbox>
                </v:shape>
                <v:shape id="文本框 10" o:spid="_x0000_s1026" o:spt="202" type="#_x0000_t202" style="position:absolute;left:242570;top:1094740;height:295910;width:80454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w5seNUAAAAFAQAADwAAAAAAAAABACAAAAAiAAAAZHJz&#10;L2Rvd25yZXYueG1sUEsBAhQAFAAAAAgAh07iQMmAFvcHAgAA5gMAAA4AAAAAAAAAAQAgAAAAJAEA&#10;AGRycy9lMm9Eb2MueG1sUEsFBgAAAAAGAAYAWQEAAJ0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设施监控</w:t>
                        </w:r>
                      </w:p>
                    </w:txbxContent>
                  </v:textbox>
                </v:shape>
                <v:shape id="文本框 11" o:spid="_x0000_s1026" o:spt="202" type="#_x0000_t202" style="position:absolute;left:2251075;top:4089400;height:295910;width:1206500;"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&#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MObHjVAAAABQEAAA8AAAAAAAAAAQAgAAAAIgAAAGRy&#10;cy9kb3ducmV2LnhtbFBLAQIUABQAAAAIAIdO4kC/qLCICAIAAOgDAAAOAAAAAAAAAAEAIAAAACQB&#10;AABkcnMvZTJvRG9jLnhtbFBLBQYAAAAABgAGAFkBAACe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安防子系统</w:t>
                        </w:r>
                      </w:p>
                    </w:txbxContent>
                  </v:textbox>
                </v:shape>
                <v:shape id="文本框 12" o:spid="_x0000_s1026" o:spt="202" type="#_x0000_t202" style="position:absolute;left:218440;top:4079240;height:295910;width:166179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w5seNUAAAAFAQAADwAAAAAAAAABACAAAAAiAAAAZHJz&#10;L2Rvd25yZXYueG1sUEsBAhQAFAAAAAgAh07iQF73cbUHAgAA5wMAAA4AAAAAAAAAAQAgAAAAJAEA&#10;AGRycy9lMm9Eb2MueG1sUEsFBgAAAAAGAAYAWQEAAJ0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动环数据采集</w:t>
                        </w:r>
                      </w:p>
                    </w:txbxContent>
                  </v:textbox>
                </v:shape>
                <v:shape id="文本框 13" o:spid="_x0000_s1026" o:spt="202" type="#_x0000_t202" style="position:absolute;left:499110;top:3825875;height:253365;width:1247775;" filled="f" stroked="f" coordsize="21600,21600" o:gfxdata="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W9y7c0wAAAAUBAAAPAAAAAAAAAAEAIAAAACIAAABkcnMvZG93bnJldi54bWxQ&#10;SwECFAAUAAAACACHTuJAo2hE0/wBAAC+AwAADgAAAAAAAAABACAAAAAiAQAAZHJzL2Uyb0RvYy54&#10;bWxQSwUGAAAAAAYABgBZAQAAkAU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动环数据采集</w:t>
                        </w:r>
                      </w:p>
                    </w:txbxContent>
                  </v:textbox>
                </v:shape>
                <v:shape id="文本框 14" o:spid="_x0000_s1026" o:spt="202" type="#_x0000_t202" style="position:absolute;left:3152775;top:3783965;height:253365;width:788670;" filled="f" stroked="f" coordsize="21600,21600" o:gfxdata="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W9y7c0wAAAAUBAAAPAAAAAAAAAAEAIAAAACIAAABkcnMvZG93bnJldi54bWxQ&#10;SwECFAAUAAAACACHTuJAAe4eMvwBAAC+AwAADgAAAAAAAAABACAAAAAiAQAAZHJzL2Uyb0RvYy54&#10;bWxQSwUGAAAAAAYABgBZAQAAkAU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子系统</w:t>
                        </w:r>
                      </w:p>
                    </w:txbxContent>
                  </v:textbox>
                </v:shape>
                <v:shape id="文本框 15" o:spid="_x0000_s1026" o:spt="202" type="#_x0000_t202" style="position:absolute;left:3152775;top:3530600;height:253365;width:904875;" filled="f" stroked="f" coordsize="21600,21600" o:gfxdata="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9y7c0wAAAAUBAAAPAAAAAAAAAAEAIAAAACIAAABkcnMvZG93bnJldi54bWxQSwEC&#10;FAAUAAAACACHTuJAdNsZUfkBAAC+AwAADgAAAAAAAAABACAAAAAiAQAAZHJzL2Uyb0RvYy54bWxQ&#10;SwUGAAAAAAYABgBZAQAAjQU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b/>
                            <w:color w:val="FFFFFF"/>
                            <w:sz w:val="24"/>
                            <w:szCs w:val="20"/>
                          </w:rPr>
                        </w:pPr>
                        <w:r>
                          <w:rPr>
                            <w:rFonts w:hint="eastAsia" w:ascii="Calibri" w:hAnsi="Calibri" w:eastAsia="仿宋" w:cs="Times New Roman"/>
                            <w:b/>
                            <w:color w:val="FFFFFF"/>
                            <w:sz w:val="24"/>
                            <w:szCs w:val="20"/>
                          </w:rPr>
                          <w:t>系统集成</w:t>
                        </w:r>
                      </w:p>
                    </w:txbxContent>
                  </v:textbox>
                </v:shape>
                <v:shape id="文本框 16" o:spid="_x0000_s1026" o:spt="202" type="#_x0000_t202" style="position:absolute;left:1993900;top:52705;height:254000;width:1311275;" filled="f" stroked="f" coordsize="21600,21600" o:gfxdata="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b3LtzTAAAABQEAAA8AAAAAAAAAAQAgAAAAIgAAAGRycy9kb3ducmV2LnhtbFBLAQIU&#10;ABQAAAAIAIdO4kBhsC37+AEAAL0DAAAOAAAAAAAAAAEAIAAAACIBAABkcnMvZTJvRG9jLnhtbFBL&#10;BQYAAAAABgAGAFkBAACMBQ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b/>
                            <w:color w:val="FFFFFF"/>
                            <w:sz w:val="24"/>
                            <w:szCs w:val="20"/>
                          </w:rPr>
                        </w:pPr>
                        <w:r>
                          <w:rPr>
                            <w:rFonts w:hint="eastAsia" w:ascii="Calibri" w:hAnsi="Calibri" w:eastAsia="仿宋" w:cs="Times New Roman"/>
                            <w:b/>
                            <w:color w:val="FFFFFF"/>
                            <w:sz w:val="24"/>
                            <w:szCs w:val="20"/>
                          </w:rPr>
                          <w:t>D</w:t>
                        </w:r>
                        <w:r>
                          <w:rPr>
                            <w:rFonts w:ascii="Calibri" w:hAnsi="Calibri" w:eastAsia="仿宋" w:cs="Times New Roman"/>
                            <w:b/>
                            <w:color w:val="FFFFFF"/>
                            <w:sz w:val="24"/>
                            <w:szCs w:val="20"/>
                          </w:rPr>
                          <w:t>CIM</w:t>
                        </w:r>
                        <w:r>
                          <w:rPr>
                            <w:rFonts w:hint="eastAsia" w:ascii="Calibri" w:hAnsi="Calibri" w:eastAsia="仿宋" w:cs="Times New Roman"/>
                            <w:b/>
                            <w:color w:val="FFFFFF"/>
                            <w:sz w:val="24"/>
                            <w:szCs w:val="20"/>
                          </w:rPr>
                          <w:t>管理平台</w:t>
                        </w:r>
                      </w:p>
                    </w:txbxContent>
                  </v:textbox>
                </v:shape>
                <v:rect id="矩形 17" o:spid="_x0000_s1026" o:spt="1" style="position:absolute;left:142875;top:3782060;height:733425;width:1939925;" filled="f" stroked="t" coordsize="21600,21600" o:gfxdata="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0S2&#10;DtQAAAAFAQAADwAAAAAAAAABACAAAAAiAAAAZHJzL2Rvd25yZXYueG1sUEsBAhQAFAAAAAgAh07i&#10;QI3aAzntAQAAwQMAAA4AAAAAAAAAAQAgAAAAIwEAAGRycy9lMm9Eb2MueG1sUEsFBgAAAAAGAAYA&#10;WQEAAIIFAAAAAA==&#10;">
                  <v:fill on="f" focussize="0,0"/>
                  <v:stroke color="#000000" joinstyle="miter" dashstyle="dash"/>
                  <v:imagedata o:title=""/>
                  <o:lock v:ext="edit" aspectratio="f"/>
                </v:rect>
                <v:rect id="矩形 18" o:spid="_x0000_s1026" o:spt="1" style="position:absolute;left:2177415;top:3782060;height:733425;width:2961005;" filled="f" stroked="t" coordsize="21600,21600" o:gfxdata="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NE&#10;tg7UAAAABQEAAA8AAAAAAAAAAQAgAAAAIgAAAGRycy9kb3ducmV2LnhtbFBLAQIUABQAAAAIAIdO&#10;4kBv7fM47gEAAMIDAAAOAAAAAAAAAAEAIAAAACMBAABkcnMvZTJvRG9jLnhtbFBLBQYAAAAABgAG&#10;AFkBAACDBQAAAAA=&#10;">
                  <v:fill on="f" focussize="0,0"/>
                  <v:stroke color="#000000" joinstyle="miter" dashstyle="dash"/>
                  <v:imagedata o:title=""/>
                  <o:lock v:ext="edit" aspectratio="f"/>
                </v:rect>
                <v:shape id="上下箭头 19" o:spid="_x0000_s1026" o:spt="70" type="#_x0000_t70" style="position:absolute;left:986155;top:3250565;height:531495;width:209550;" fillcolor="#92D050" filled="t" stroked="t" coordsize="21600,21600" o:gfxdata="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6wc33WAAAABQEAAA8AAAAAAAAAAQAgAAAAIgAAAGRycy9kb3ducmV2LnhtbFBL&#10;AQIUABQAAAAIAIdO4kCo7Qr8MQIAAFYEAAAOAAAAAAAAAAEAIAAAACUBAABkcnMvZTJvRG9jLnht&#10;bFBLBQYAAAAABgAGAFkBAADIBQAAAAA=&#10;" adj="5400,4319">
                  <v:fill on="t" focussize="0,0"/>
                  <v:stroke color="#000000" joinstyle="miter"/>
                  <v:imagedata o:title=""/>
                  <o:lock v:ext="edit" aspectratio="f"/>
                  <v:textbox style="layout-flow:vertical-ideographic;"/>
                </v:shape>
                <v:shape id="上下箭头 20" o:spid="_x0000_s1026" o:spt="70" type="#_x0000_t70" style="position:absolute;left:2628900;top:3250565;height:533400;width:209550;" fillcolor="#92D050" filled="t" stroked="t" coordsize="21600,21600" o:gfxdata="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7rBzfdYAAAAFAQAADwAAAAAAAAABACAAAAAiAAAAZHJzL2Rvd25yZXYueG1sUEsBAhQA&#10;FAAAAAgAh07iQIfwReMtAgAAVwQAAA4AAAAAAAAAAQAgAAAAJQEAAGRycy9lMm9Eb2MueG1sUEsF&#10;BgAAAAAGAAYAWQEAAMQFAAAAAA==&#10;" adj="5400,4319">
                  <v:fill on="t" focussize="0,0"/>
                  <v:stroke color="#000000" joinstyle="miter"/>
                  <v:imagedata o:title=""/>
                  <o:lock v:ext="edit" aspectratio="f"/>
                  <v:textbox style="layout-flow:vertical-ideographic;"/>
                </v:shape>
                <v:shape id="上下箭头 21" o:spid="_x0000_s1026" o:spt="70" type="#_x0000_t70" style="position:absolute;left:4529455;top:3250565;height:531495;width:209550;" fillcolor="#92D050" filled="t" stroked="t" coordsize="21600,21600" o:gfxdata="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rBzfdYAAAAFAQAADwAAAAAAAAABACAAAAAiAAAAZHJzL2Rvd25yZXYueG1s&#10;UEsBAhQAFAAAAAgAh07iQE3YMqIzAgAAVwQAAA4AAAAAAAAAAQAgAAAAJQEAAGRycy9lMm9Eb2Mu&#10;eG1sUEsFBgAAAAAGAAYAWQEAAMoFAAAAAA==&#10;" adj="5400,4319">
                  <v:fill on="t" focussize="0,0"/>
                  <v:stroke color="#000000" joinstyle="miter"/>
                  <v:imagedata o:title=""/>
                  <o:lock v:ext="edit" aspectratio="f"/>
                  <v:textbox style="layout-flow:vertical-ideographic;"/>
                </v:shape>
                <v:shape id="文本框 22" o:spid="_x0000_s1026" o:spt="202" type="#_x0000_t202" style="position:absolute;left:3727450;top:4089400;height:295910;width:1206500;"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w5seNUAAAAFAQAADwAAAAAAAAABACAAAAAiAAAAZHJz&#10;L2Rvd25yZXYueG1sUEsBAhQAFAAAAAgAh07iQLbjxRQHAgAA6AMAAA4AAAAAAAAAAQAgAAAAJAEA&#10;AGRycy9lMm9Eb2MueG1sUEsFBgAAAAAGAAYAWQEAAJ0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其它子系统</w:t>
                        </w:r>
                      </w:p>
                    </w:txbxContent>
                  </v:textbox>
                </v:shape>
                <v:shape id="文本框 23" o:spid="_x0000_s1026" o:spt="202" type="#_x0000_t202" style="position:absolute;left:331470;top:429895;height:253365;width:704850;" filled="f" stroked="f" coordsize="21600,21600" o:gfxdata="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b3LtzTAAAABQEAAA8AAAAAAAAAAQAgAAAAIgAAAGRycy9kb3ducmV2Lnht&#10;bFBLAQIUABQAAAAIAIdO4kBIN0ZI/gEAALwDAAAOAAAAAAAAAAEAIAAAACIBAABkcnMvZTJvRG9j&#10;LnhtbFBLBQYAAAAABgAGAFkBAACSBQ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展示</w:t>
                        </w:r>
                      </w:p>
                    </w:txbxContent>
                  </v:textbox>
                </v:shape>
                <v:rect id="矩形 24" o:spid="_x0000_s1026" o:spt="1" style="position:absolute;left:158115;top:365760;height:424815;width:5042535;" filled="f" stroked="t" coordsize="21600,21600" o:gfxdata="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RLYO&#10;1AAAAAUBAAAPAAAAAAAAAAEAIAAAACIAAABkcnMvZG93bnJldi54bWxQSwECFAAUAAAACACHTuJA&#10;5Rx3SuwBAADAAwAADgAAAAAAAAABACAAAAAjAQAAZHJzL2Uyb0RvYy54bWxQSwUGAAAAAAYABgBZ&#10;AQAAgQUAAAAA&#10;">
                  <v:fill on="f" focussize="0,0"/>
                  <v:stroke color="#000000" joinstyle="miter" dashstyle="dash"/>
                  <v:imagedata o:title=""/>
                  <o:lock v:ext="edit" aspectratio="f"/>
                </v:rect>
                <v:rect id="矩形 25" o:spid="_x0000_s1026" o:spt="1" style="position:absolute;left:142875;top:842010;height:2046605;width:1939925;" filled="f" stroked="t" coordsize="21600,21600" o:gfxdata="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RLYO&#10;1AAAAAUBAAAPAAAAAAAAAAEAIAAAACIAAABkcnMvZG93bnJldi54bWxQSwECFAAUAAAACACHTuJA&#10;P+3ffewBAADBAwAADgAAAAAAAAABACAAAAAjAQAAZHJzL2Uyb0RvYy54bWxQSwUGAAAAAAYABgBZ&#10;AQAAgQUAAAAA&#10;">
                  <v:fill on="f" focussize="0,0"/>
                  <v:stroke color="#000000" joinstyle="miter" dashstyle="dash"/>
                  <v:imagedata o:title=""/>
                  <o:lock v:ext="edit" aspectratio="f"/>
                </v:rect>
                <v:shape id="文本框 26" o:spid="_x0000_s1026" o:spt="202" type="#_x0000_t202" style="position:absolute;left:765175;top:811530;height:253365;width:657225;" filled="f" stroked="f" coordsize="21600,21600" o:gfxdata="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9y7c0wAAAAUBAAAPAAAAAAAAAAEAIAAAACIAAABkcnMvZG93bnJldi54bWxQSwEC&#10;FAAUAAAACACHTuJArCIXBvkBAAC8AwAADgAAAAAAAAABACAAAAAiAQAAZHJzL2Uyb0RvYy54bWxQ&#10;SwUGAAAAAAYABgBZAQAAjQU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设施管理</w:t>
                        </w:r>
                      </w:p>
                    </w:txbxContent>
                  </v:textbox>
                </v:shape>
                <v:shape id="文本框 27" o:spid="_x0000_s1026" o:spt="202" type="#_x0000_t202" style="position:absolute;left:1129030;top:1104265;height:295275;width:80454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&#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MObHjVAAAABQEAAA8AAAAAAAAAAQAgAAAAIgAAAGRy&#10;cy9kb3ducmV2LnhtbFBLAQIUABQAAAAIAIdO4kAdOKFiCAIAAOcDAAAOAAAAAAAAAAEAIAAAACQB&#10;AABkcnMvZTJvRG9jLnhtbFBLBQYAAAAABgAGAFkBAACe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温度云图</w:t>
                        </w:r>
                      </w:p>
                    </w:txbxContent>
                  </v:textbox>
                </v:shape>
                <v:shape id="文本框 28" o:spid="_x0000_s1026" o:spt="202" type="#_x0000_t202" style="position:absolute;left:1137920;top:1449070;height:295275;width:80454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MObHjVAAAABQEAAA8AAAAAAAAAAQAgAAAAIgAAAGRy&#10;cy9kb3ducmV2LnhtbFBLAQIUABQAAAAIAIdO4kAquRUwCAIAAOcDAAAOAAAAAAAAAAEAIAAAACQB&#10;AABkcnMvZTJvRG9jLnhtbFBLBQYAAAAABgAGAFkBAACe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容量管理</w:t>
                        </w:r>
                      </w:p>
                    </w:txbxContent>
                  </v:textbox>
                </v:shape>
                <v:shape id="文本框 29" o:spid="_x0000_s1026" o:spt="202" type="#_x0000_t202" style="position:absolute;left:1128395;top:1814830;height:295275;width:80454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Dmx41QAAAAUBAAAPAAAAAAAAAAEAIAAAACIAAABkcnMv&#10;ZG93bnJldi54bWxQSwECFAAUAAAACACHTuJAt+BVhQYCAADnAwAADgAAAAAAAAABACAAAAAk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能效管理</w:t>
                        </w:r>
                      </w:p>
                    </w:txbxContent>
                  </v:textbox>
                </v:shape>
                <v:shape id="文本框 30" o:spid="_x0000_s1026" o:spt="202" type="#_x0000_t202" style="position:absolute;left:2262505;top:1440180;height:295910;width:92011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Dmx41QAAAAUBAAAPAAAAAAAAAAEAIAAAACIAAABkcnMv&#10;ZG93bnJldi54bWxQSwECFAAUAAAACACHTuJAh15hGQYCAADnAwAADgAAAAAAAAABACAAAAAk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资产管理</w:t>
                        </w:r>
                      </w:p>
                    </w:txbxContent>
                  </v:textbox>
                </v:shape>
                <v:shape id="文本框 31" o:spid="_x0000_s1026" o:spt="202" type="#_x0000_t202" style="position:absolute;left:2262505;top:1793240;height:295910;width:92011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Dmx41QAAAAUBAAAPAAAAAAAAAAEAIAAAACIAAABkcnMv&#10;ZG93bnJldi54bWxQSwECFAAUAAAACACHTuJAcQuKnAYCAADnAwAADgAAAAAAAAABACAAAAAk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人员及组织</w:t>
                        </w:r>
                      </w:p>
                    </w:txbxContent>
                  </v:textbox>
                </v:shape>
                <v:shape id="文本框 32" o:spid="_x0000_s1026" o:spt="202" type="#_x0000_t202" style="position:absolute;left:2262505;top:2146935;height:295275;width:92011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&#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Dmx41QAAAAUBAAAPAAAAAAAAAAEAIAAAACIAAABk&#10;cnMvZG93bnJldi54bWxQSwECFAAUAAAACACHTuJAf6MBvAkCAADnAwAADgAAAAAAAAABACAAAAAk&#10;AQAAZHJzL2Uyb0RvYy54bWxQSwUGAAAAAAYABgBZAQAAnw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运行管理</w:t>
                        </w:r>
                      </w:p>
                    </w:txbxContent>
                  </v:textbox>
                </v:shape>
                <v:shape id="文本框 33" o:spid="_x0000_s1026" o:spt="202" type="#_x0000_t202" style="position:absolute;left:2261870;top:2491740;height:295275;width:92011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Dmx41QAAAAUBAAAPAAAAAAAAAAEAIAAAACIAAABkcnMv&#10;ZG93bnJldi54bWxQSwECFAAUAAAACACHTuJA8Ix/OQYCAADnAwAADgAAAAAAAAABACAAAAAk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设备维护</w:t>
                        </w:r>
                      </w:p>
                    </w:txbxContent>
                  </v:textbox>
                </v:shape>
                <v:shape id="文本框 34" o:spid="_x0000_s1026" o:spt="202" type="#_x0000_t202" style="position:absolute;left:2261870;top:1094740;height:295910;width:92011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Dmx41QAAAAUBAAAPAAAAAAAAAAEAIAAAACIAAABkcnMv&#10;ZG93bnJldi54bWxQSwECFAAUAAAACACHTuJA3uXkgwYCAADnAwAADgAAAAAAAAABACAAAAAk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消息中心</w:t>
                        </w:r>
                      </w:p>
                    </w:txbxContent>
                  </v:textbox>
                </v:shape>
                <v:rect id="矩形 35" o:spid="_x0000_s1026" o:spt="1" style="position:absolute;left:2152650;top:842010;height:2046605;width:2057400;" filled="f" stroked="t" coordsize="21600,21600" o:gfxdata="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RLYO1AAAAAUBAAAPAAAAAAAAAAEAIAAAACIAAABkcnMvZG93bnJldi54bWxQSwECFAAUAAAACACH&#10;TuJAgenaR+8BAADCAwAADgAAAAAAAAABACAAAAAjAQAAZHJzL2Uyb0RvYy54bWxQSwUGAAAAAAYA&#10;BgBZAQAAhAUAAAAA&#10;">
                  <v:fill on="f" focussize="0,0"/>
                  <v:stroke color="#000000" joinstyle="miter" dashstyle="dash"/>
                  <v:imagedata o:title=""/>
                  <o:lock v:ext="edit" aspectratio="f"/>
                </v:rect>
                <v:shape id="文本框 36" o:spid="_x0000_s1026" o:spt="202" type="#_x0000_t202" style="position:absolute;left:2774950;top:811530;height:253365;width:822325;" filled="f" stroked="f" coordsize="21600,21600" o:gfxdata="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vcu3NMAAAAFAQAADwAAAAAAAAABACAAAAAiAAAAZHJzL2Rvd25yZXYueG1sUEsB&#10;AhQAFAAAAAgAh07iQOTGTun6AQAAvQMAAA4AAAAAAAAAAQAgAAAAIgEAAGRycy9lMm9Eb2MueG1s&#10;UEsFBgAAAAAGAAYAWQEAAI4FA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运维管理</w:t>
                        </w:r>
                      </w:p>
                    </w:txbxContent>
                  </v:textbox>
                </v:shape>
                <v:shape id="文本框 37" o:spid="_x0000_s1026" o:spt="202" type="#_x0000_t202" style="position:absolute;left:3233420;top:1094740;height:295275;width:92011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MObHjVAAAABQEAAA8AAAAAAAAAAQAgAAAAIgAAAGRy&#10;cy9kb3ducmV2LnhtbFBLAQIUABQAAAAIAIdO4kCvu9MaCAIAAOcDAAAOAAAAAAAAAAEAIAAAACQB&#10;AABkcnMvZTJvRG9jLnhtbFBLBQYAAAAABgAGAFkBAACe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规划协调管理</w:t>
                        </w:r>
                      </w:p>
                    </w:txbxContent>
                  </v:textbox>
                </v:shape>
                <v:shape id="文本框 38" o:spid="_x0000_s1026" o:spt="202" type="#_x0000_t202" style="position:absolute;left:4379595;top:1440180;height:295910;width:72072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Dmx41QAAAAUBAAAPAAAAAAAAAAEAIAAAACIAAABkcnMv&#10;ZG93bnJldi54bWxQSwECFAAUAAAACACHTuJApUi7VwYCAADnAwAADgAAAAAAAAABACAAAAAk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权限管理</w:t>
                        </w:r>
                      </w:p>
                    </w:txbxContent>
                  </v:textbox>
                </v:shape>
                <v:shape id="文本框 39" o:spid="_x0000_s1026" o:spt="202" type="#_x0000_t202" style="position:absolute;left:4379595;top:1793240;height:295910;width:72072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Dmx41QAAAAUBAAAPAAAAAAAAAAEAIAAAACIAAABkcnMv&#10;ZG93bnJldi54bWxQSwECFAAUAAAACACHTuJAUx1Q0gYCAADnAwAADgAAAAAAAAABACAAAAAk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报表管理</w:t>
                        </w:r>
                      </w:p>
                    </w:txbxContent>
                  </v:textbox>
                </v:shape>
                <v:shape id="文本框 40" o:spid="_x0000_s1026" o:spt="202" type="#_x0000_t202" style="position:absolute;left:4378960;top:1094740;height:295910;width:72072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MObHjVAAAABQEAAA8AAAAAAAAAAQAgAAAAIgAAAGRy&#10;cy9kb3ducmV2LnhtbFBLAQIUABQAAAAIAIdO4kCesIgsCAIAAOcDAAAOAAAAAAAAAAEAIAAAACQB&#10;AABkcnMvZTJvRG9jLnhtbFBLBQYAAAAABgAGAFkBAACe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人员管理</w:t>
                        </w:r>
                      </w:p>
                    </w:txbxContent>
                  </v:textbox>
                </v:shape>
                <v:rect id="矩形 41" o:spid="_x0000_s1026" o:spt="1" style="position:absolute;left:4289425;top:842010;height:2046605;width:901700;" filled="f" stroked="t" coordsize="21600,21600" o:gfxdata="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NEtg7U&#10;AAAABQEAAA8AAAAAAAAAAQAgAAAAIgAAAGRycy9kb3ducmV2LnhtbFBLAQIUABQAAAAIAIdO4kDJ&#10;mY536wEAAMEDAAAOAAAAAAAAAAEAIAAAACMBAABkcnMvZTJvRG9jLnhtbFBLBQYAAAAABgAGAFkB&#10;AACABQAAAAA=&#10;">
                  <v:fill on="f" focussize="0,0"/>
                  <v:stroke color="#000000" joinstyle="miter" dashstyle="dash"/>
                  <v:imagedata o:title=""/>
                  <o:lock v:ext="edit" aspectratio="f"/>
                </v:rect>
                <v:shape id="文本框 42" o:spid="_x0000_s1026" o:spt="202" type="#_x0000_t202" style="position:absolute;left:4412615;top:811530;height:253365;width:644525;" filled="f" stroked="f" coordsize="21600,21600" o:gfxdata="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vcu3NMAAAAFAQAADwAAAAAAAAABACAAAAAiAAAAZHJzL2Rvd25yZXYueG1sUEsB&#10;AhQAFAAAAAgAh07iQEN0PaL6AQAAvQMAAA4AAAAAAAAAAQAgAAAAIgEAAGRycy9lMm9Eb2MueG1s&#10;UEsFBgAAAAAGAAYAWQEAAI4FA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其它应用</w:t>
                        </w:r>
                      </w:p>
                    </w:txbxContent>
                  </v:textbox>
                </v:shape>
                <v:shape id="文本框 43" o:spid="_x0000_s1026" o:spt="202" type="#_x0000_t202" style="position:absolute;left:3233420;top:1447165;height:295275;width:92011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MObHjVAAAABQEAAA8AAAAAAAAAAQAgAAAAIgAAAGRy&#10;cy9kb3ducmV2LnhtbFBLAQIUABQAAAAIAIdO4kAfuO6NCAIAAOcDAAAOAAAAAAAAAAEAIAAAACQB&#10;AABkcnMvZTJvRG9jLnhtbFBLBQYAAAAABgAGAFkBAACe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培训</w:t>
                        </w:r>
                      </w:p>
                    </w:txbxContent>
                  </v:textbox>
                </v:shape>
                <v:shape id="文本框 44" o:spid="_x0000_s1026" o:spt="202" type="#_x0000_t202" style="position:absolute;left:3233420;top:1790065;height:295275;width:92011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&#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Dmx41QAAAAUBAAAPAAAAAAAAAAEAIAAAACIAAABk&#10;cnMvZG93bnJldi54bWxQSwECFAAUAAAACACHTuJAXCRgFAkCAADnAwAADgAAAAAAAAABACAAAAAk&#10;AQAAZHJzL2Uyb0RvYy54bWxQSwUGAAAAAAYABgBZAQAAnw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配置</w:t>
                        </w:r>
                      </w:p>
                    </w:txbxContent>
                  </v:textbox>
                </v:shape>
                <v:shape id="文本框 45" o:spid="_x0000_s1026" o:spt="202" type="#_x0000_t202" style="position:absolute;left:3233420;top:2152015;height:295275;width:920115;" fillcolor="#FFC000" filled="t" stroked="f" coordsize="21600,21600" o:gfxdata="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w5seNUAAAAFAQAADwAAAAAAAAABACAAAAAiAAAAZHJz&#10;L2Rvd25yZXYueG1sUEsBAhQAFAAAAAgAh07iQERDSGYHAgAA5wMAAA4AAAAAAAAAAQAgAAAAJAEA&#10;AGRycy9lMm9Eb2MueG1sUEsFBgAAAAAGAAYAWQEAAJ0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设置</w:t>
                        </w:r>
                      </w:p>
                    </w:txbxContent>
                  </v:textbox>
                </v:shape>
                <w10:wrap type="none"/>
                <w10:anchorlock/>
              </v:group>
            </w:pict>
          </mc:Fallback>
        </mc:AlternateContent>
      </w:r>
    </w:p>
    <w:p>
      <w:pPr>
        <w:widowControl/>
        <w:spacing w:line="560" w:lineRule="exact"/>
        <w:ind w:firstLine="560" w:firstLineChars="200"/>
        <w:textAlignment w:val="center"/>
        <w:rPr>
          <w:rFonts w:ascii="仿宋" w:hAnsi="仿宋" w:eastAsia="仿宋" w:cs="Times New Roman"/>
          <w:sz w:val="24"/>
          <w:szCs w:val="24"/>
        </w:rPr>
      </w:pPr>
      <w:r>
        <w:rPr>
          <w:rFonts w:hint="eastAsia" w:ascii="仿宋" w:hAnsi="仿宋" w:eastAsia="仿宋" w:cs="Times New Roman"/>
          <w:sz w:val="28"/>
          <w:szCs w:val="28"/>
          <w:lang w:val="zh-CN"/>
        </w:rPr>
        <w:t>运维管理应按照</w:t>
      </w:r>
      <w:r>
        <w:rPr>
          <w:rFonts w:ascii="仿宋" w:hAnsi="仿宋" w:eastAsia="仿宋" w:cs="Times New Roman"/>
          <w:sz w:val="28"/>
          <w:szCs w:val="28"/>
          <w:lang w:val="zh-CN"/>
        </w:rPr>
        <w:t>ITIL</w:t>
      </w:r>
      <w:r>
        <w:rPr>
          <w:rFonts w:hint="eastAsia" w:ascii="仿宋" w:hAnsi="仿宋" w:eastAsia="仿宋" w:cs="Times New Roman"/>
          <w:sz w:val="28"/>
          <w:szCs w:val="28"/>
          <w:lang w:val="zh-CN"/>
        </w:rPr>
        <w:t>管理理念和Uptime认证体系模型建立运维管理业务，具体业务参考以下业务架构来设计。</w:t>
      </w:r>
    </w:p>
    <w:p>
      <w:pPr>
        <w:adjustRightInd/>
        <w:snapToGrid/>
        <w:spacing w:before="0" w:after="76" w:afterLines="20" w:line="360" w:lineRule="auto"/>
        <w:ind w:left="0"/>
        <w:jc w:val="both"/>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mc:AlternateContent>
          <mc:Choice Requires="wpc">
            <w:drawing>
              <wp:inline distT="0" distB="0" distL="114300" distR="114300">
                <wp:extent cx="5334000" cy="5783580"/>
                <wp:effectExtent l="19050" t="19050" r="38100" b="7620"/>
                <wp:docPr id="6" name="画布 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 name="矩形 47"/>
                        <wps:cNvSpPr/>
                        <wps:spPr>
                          <a:xfrm>
                            <a:off x="0" y="0"/>
                            <a:ext cx="5334000" cy="5735955"/>
                          </a:xfrm>
                          <a:prstGeom prst="rect">
                            <a:avLst/>
                          </a:prstGeom>
                          <a:solidFill>
                            <a:srgbClr val="5B9BD5"/>
                          </a:solidFill>
                          <a:ln w="38100" cap="flat" cmpd="sng">
                            <a:solidFill>
                              <a:srgbClr val="F2F2F2"/>
                            </a:solidFill>
                            <a:prstDash val="solid"/>
                            <a:miter/>
                            <a:headEnd type="none" w="med" len="med"/>
                            <a:tailEnd type="none" w="med" len="med"/>
                          </a:ln>
                          <a:effectLst>
                            <a:outerShdw dist="28398" dir="3806096" algn="ctr" rotWithShape="0">
                              <a:srgbClr val="1F4D78">
                                <a:alpha val="50000"/>
                              </a:srgbClr>
                            </a:outerShdw>
                          </a:effectLst>
                        </wps:spPr>
                        <wps:bodyPr upright="1"/>
                      </wps:wsp>
                      <wps:wsp>
                        <wps:cNvPr id="50" name="文本框 48"/>
                        <wps:cNvSpPr txBox="1"/>
                        <wps:spPr>
                          <a:xfrm>
                            <a:off x="81280" y="1021080"/>
                            <a:ext cx="81978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待办及已办</w:t>
                              </w:r>
                            </w:p>
                          </w:txbxContent>
                        </wps:txbx>
                        <wps:bodyPr upright="1"/>
                      </wps:wsp>
                      <wps:wsp>
                        <wps:cNvPr id="51" name="文本框 49"/>
                        <wps:cNvSpPr txBox="1"/>
                        <wps:spPr>
                          <a:xfrm>
                            <a:off x="81280" y="1374140"/>
                            <a:ext cx="81978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公告</w:t>
                              </w:r>
                            </w:p>
                          </w:txbxContent>
                        </wps:txbx>
                        <wps:bodyPr upright="1"/>
                      </wps:wsp>
                      <wps:wsp>
                        <wps:cNvPr id="52" name="文本框 50"/>
                        <wps:cNvSpPr txBox="1"/>
                        <wps:spPr>
                          <a:xfrm>
                            <a:off x="81280" y="1727835"/>
                            <a:ext cx="81978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消息提醒</w:t>
                              </w:r>
                            </w:p>
                          </w:txbxContent>
                        </wps:txbx>
                        <wps:bodyPr upright="1"/>
                      </wps:wsp>
                      <wps:wsp>
                        <wps:cNvPr id="53" name="文本框 51"/>
                        <wps:cNvSpPr txBox="1"/>
                        <wps:spPr>
                          <a:xfrm>
                            <a:off x="80645" y="2072640"/>
                            <a:ext cx="81978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服务日历</w:t>
                              </w:r>
                            </w:p>
                          </w:txbxContent>
                        </wps:txbx>
                        <wps:bodyPr upright="1"/>
                      </wps:wsp>
                      <wps:wsp>
                        <wps:cNvPr id="54" name="文本框 52"/>
                        <wps:cNvSpPr txBox="1"/>
                        <wps:spPr>
                          <a:xfrm>
                            <a:off x="80645" y="675640"/>
                            <a:ext cx="81978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工作台</w:t>
                              </w:r>
                            </w:p>
                          </w:txbxContent>
                        </wps:txbx>
                        <wps:bodyPr upright="1"/>
                      </wps:wsp>
                      <wps:wsp>
                        <wps:cNvPr id="55" name="文本框 53"/>
                        <wps:cNvSpPr txBox="1"/>
                        <wps:spPr>
                          <a:xfrm>
                            <a:off x="1736725" y="52705"/>
                            <a:ext cx="1673225" cy="254000"/>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b/>
                                  <w:color w:val="FFFFFF"/>
                                  <w:sz w:val="24"/>
                                  <w:szCs w:val="20"/>
                                </w:rPr>
                              </w:pPr>
                              <w:r>
                                <w:rPr>
                                  <w:rFonts w:hint="eastAsia" w:ascii="Calibri" w:hAnsi="Calibri" w:eastAsia="仿宋" w:cs="Times New Roman"/>
                                  <w:b/>
                                  <w:color w:val="FFFFFF"/>
                                  <w:sz w:val="24"/>
                                  <w:szCs w:val="20"/>
                                </w:rPr>
                                <w:t>运维管理业务架构</w:t>
                              </w:r>
                            </w:p>
                          </w:txbxContent>
                        </wps:txbx>
                        <wps:bodyPr upright="1"/>
                      </wps:wsp>
                      <wps:wsp>
                        <wps:cNvPr id="56" name="矩形 54"/>
                        <wps:cNvSpPr/>
                        <wps:spPr>
                          <a:xfrm>
                            <a:off x="38100" y="422910"/>
                            <a:ext cx="920115" cy="2705735"/>
                          </a:xfrm>
                          <a:prstGeom prst="rect">
                            <a:avLst/>
                          </a:prstGeom>
                          <a:noFill/>
                          <a:ln w="9525" cap="flat" cmpd="sng">
                            <a:solidFill>
                              <a:srgbClr val="000000"/>
                            </a:solidFill>
                            <a:prstDash val="dash"/>
                            <a:miter/>
                            <a:headEnd type="none" w="med" len="med"/>
                            <a:tailEnd type="none" w="med" len="med"/>
                          </a:ln>
                          <a:effectLst/>
                        </wps:spPr>
                        <wps:bodyPr upright="1"/>
                      </wps:wsp>
                      <wps:wsp>
                        <wps:cNvPr id="57" name="文本框 55"/>
                        <wps:cNvSpPr txBox="1"/>
                        <wps:spPr>
                          <a:xfrm>
                            <a:off x="184150" y="392430"/>
                            <a:ext cx="657225"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信息中心</w:t>
                              </w:r>
                            </w:p>
                          </w:txbxContent>
                        </wps:txbx>
                        <wps:bodyPr upright="1"/>
                      </wps:wsp>
                      <wps:wsp>
                        <wps:cNvPr id="58" name="文本框 56"/>
                        <wps:cNvSpPr txBox="1"/>
                        <wps:spPr>
                          <a:xfrm>
                            <a:off x="80645" y="2409825"/>
                            <a:ext cx="81978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资源日历</w:t>
                              </w:r>
                            </w:p>
                          </w:txbxContent>
                        </wps:txbx>
                        <wps:bodyPr upright="1"/>
                      </wps:wsp>
                      <wps:wsp>
                        <wps:cNvPr id="59" name="文本框 57"/>
                        <wps:cNvSpPr txBox="1"/>
                        <wps:spPr>
                          <a:xfrm>
                            <a:off x="1043305" y="1021080"/>
                            <a:ext cx="909320"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工具管理</w:t>
                              </w:r>
                            </w:p>
                          </w:txbxContent>
                        </wps:txbx>
                        <wps:bodyPr upright="1"/>
                      </wps:wsp>
                      <wps:wsp>
                        <wps:cNvPr id="60" name="文本框 58"/>
                        <wps:cNvSpPr txBox="1"/>
                        <wps:spPr>
                          <a:xfrm>
                            <a:off x="1043305" y="1374140"/>
                            <a:ext cx="909320"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备件耗材管理</w:t>
                              </w:r>
                            </w:p>
                          </w:txbxContent>
                        </wps:txbx>
                        <wps:bodyPr upright="1"/>
                      </wps:wsp>
                      <wps:wsp>
                        <wps:cNvPr id="61" name="文本框 59"/>
                        <wps:cNvSpPr txBox="1"/>
                        <wps:spPr>
                          <a:xfrm>
                            <a:off x="1042670" y="675640"/>
                            <a:ext cx="909320"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设备管理</w:t>
                              </w:r>
                            </w:p>
                          </w:txbxContent>
                        </wps:txbx>
                        <wps:bodyPr upright="1"/>
                      </wps:wsp>
                      <wps:wsp>
                        <wps:cNvPr id="62" name="矩形 60"/>
                        <wps:cNvSpPr/>
                        <wps:spPr>
                          <a:xfrm>
                            <a:off x="1009650" y="422910"/>
                            <a:ext cx="1009650" cy="2705735"/>
                          </a:xfrm>
                          <a:prstGeom prst="rect">
                            <a:avLst/>
                          </a:prstGeom>
                          <a:noFill/>
                          <a:ln w="9525" cap="flat" cmpd="sng">
                            <a:solidFill>
                              <a:srgbClr val="000000"/>
                            </a:solidFill>
                            <a:prstDash val="dash"/>
                            <a:miter/>
                            <a:headEnd type="none" w="med" len="med"/>
                            <a:tailEnd type="none" w="med" len="med"/>
                          </a:ln>
                          <a:effectLst/>
                        </wps:spPr>
                        <wps:bodyPr upright="1"/>
                      </wps:wsp>
                      <wps:wsp>
                        <wps:cNvPr id="63" name="文本框 61"/>
                        <wps:cNvSpPr txBox="1"/>
                        <wps:spPr>
                          <a:xfrm>
                            <a:off x="1009650" y="392430"/>
                            <a:ext cx="920115"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资产管理</w:t>
                              </w:r>
                            </w:p>
                          </w:txbxContent>
                        </wps:txbx>
                        <wps:bodyPr upright="1"/>
                      </wps:wsp>
                      <wps:wsp>
                        <wps:cNvPr id="64" name="文本框 62"/>
                        <wps:cNvSpPr txBox="1"/>
                        <wps:spPr>
                          <a:xfrm>
                            <a:off x="2167255" y="1021080"/>
                            <a:ext cx="78676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排班管理</w:t>
                              </w:r>
                            </w:p>
                          </w:txbxContent>
                        </wps:txbx>
                        <wps:bodyPr upright="1"/>
                      </wps:wsp>
                      <wps:wsp>
                        <wps:cNvPr id="65" name="文本框 63"/>
                        <wps:cNvSpPr txBox="1"/>
                        <wps:spPr>
                          <a:xfrm>
                            <a:off x="2167255" y="1374140"/>
                            <a:ext cx="78676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出入管理</w:t>
                              </w:r>
                            </w:p>
                          </w:txbxContent>
                        </wps:txbx>
                        <wps:bodyPr upright="1"/>
                      </wps:wsp>
                      <wps:wsp>
                        <wps:cNvPr id="66" name="文本框 64"/>
                        <wps:cNvSpPr txBox="1"/>
                        <wps:spPr>
                          <a:xfrm>
                            <a:off x="2166620" y="675640"/>
                            <a:ext cx="78676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团队管理</w:t>
                              </w:r>
                            </w:p>
                          </w:txbxContent>
                        </wps:txbx>
                        <wps:bodyPr upright="1"/>
                      </wps:wsp>
                      <wps:wsp>
                        <wps:cNvPr id="67" name="矩形 65"/>
                        <wps:cNvSpPr/>
                        <wps:spPr>
                          <a:xfrm>
                            <a:off x="2076450" y="422910"/>
                            <a:ext cx="923925" cy="2705735"/>
                          </a:xfrm>
                          <a:prstGeom prst="rect">
                            <a:avLst/>
                          </a:prstGeom>
                          <a:noFill/>
                          <a:ln w="9525" cap="flat" cmpd="sng">
                            <a:solidFill>
                              <a:srgbClr val="000000"/>
                            </a:solidFill>
                            <a:prstDash val="dash"/>
                            <a:miter/>
                            <a:headEnd type="none" w="med" len="med"/>
                            <a:tailEnd type="none" w="med" len="med"/>
                          </a:ln>
                          <a:effectLst/>
                        </wps:spPr>
                        <wps:bodyPr upright="1"/>
                      </wps:wsp>
                      <wps:wsp>
                        <wps:cNvPr id="68" name="文本框 66"/>
                        <wps:cNvSpPr txBox="1"/>
                        <wps:spPr>
                          <a:xfrm>
                            <a:off x="2076450" y="392430"/>
                            <a:ext cx="840105"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人员及组织</w:t>
                              </w:r>
                            </w:p>
                          </w:txbxContent>
                        </wps:txbx>
                        <wps:bodyPr upright="1"/>
                      </wps:wsp>
                      <wps:wsp>
                        <wps:cNvPr id="69" name="文本框 67"/>
                        <wps:cNvSpPr txBox="1"/>
                        <wps:spPr>
                          <a:xfrm>
                            <a:off x="3138170" y="675640"/>
                            <a:ext cx="92011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巡检管理</w:t>
                              </w:r>
                            </w:p>
                          </w:txbxContent>
                        </wps:txbx>
                        <wps:bodyPr upright="1"/>
                      </wps:wsp>
                      <wps:wsp>
                        <wps:cNvPr id="70" name="文本框 68"/>
                        <wps:cNvSpPr txBox="1"/>
                        <wps:spPr>
                          <a:xfrm>
                            <a:off x="4323715" y="1021080"/>
                            <a:ext cx="89090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事件管理</w:t>
                              </w:r>
                            </w:p>
                          </w:txbxContent>
                        </wps:txbx>
                        <wps:bodyPr upright="1"/>
                      </wps:wsp>
                      <wps:wsp>
                        <wps:cNvPr id="71" name="文本框 69"/>
                        <wps:cNvSpPr txBox="1"/>
                        <wps:spPr>
                          <a:xfrm>
                            <a:off x="4323715" y="1374140"/>
                            <a:ext cx="89090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预防性维护</w:t>
                              </w:r>
                            </w:p>
                          </w:txbxContent>
                        </wps:txbx>
                        <wps:bodyPr upright="1"/>
                      </wps:wsp>
                      <wps:wsp>
                        <wps:cNvPr id="72" name="文本框 70"/>
                        <wps:cNvSpPr txBox="1"/>
                        <wps:spPr>
                          <a:xfrm>
                            <a:off x="4323080" y="675640"/>
                            <a:ext cx="89090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服务商管理</w:t>
                              </w:r>
                            </w:p>
                          </w:txbxContent>
                        </wps:txbx>
                        <wps:bodyPr upright="1"/>
                      </wps:wsp>
                      <wps:wsp>
                        <wps:cNvPr id="73" name="矩形 71"/>
                        <wps:cNvSpPr/>
                        <wps:spPr>
                          <a:xfrm>
                            <a:off x="4229100" y="422910"/>
                            <a:ext cx="1038225" cy="2705735"/>
                          </a:xfrm>
                          <a:prstGeom prst="rect">
                            <a:avLst/>
                          </a:prstGeom>
                          <a:noFill/>
                          <a:ln w="9525" cap="flat" cmpd="sng">
                            <a:solidFill>
                              <a:srgbClr val="000000"/>
                            </a:solidFill>
                            <a:prstDash val="dash"/>
                            <a:miter/>
                            <a:headEnd type="none" w="med" len="med"/>
                            <a:tailEnd type="none" w="med" len="med"/>
                          </a:ln>
                          <a:effectLst/>
                        </wps:spPr>
                        <wps:bodyPr upright="1"/>
                      </wps:wsp>
                      <wps:wsp>
                        <wps:cNvPr id="74" name="文本框 72"/>
                        <wps:cNvSpPr txBox="1"/>
                        <wps:spPr>
                          <a:xfrm>
                            <a:off x="4362450" y="392430"/>
                            <a:ext cx="796925"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设备维护</w:t>
                              </w:r>
                            </w:p>
                          </w:txbxContent>
                        </wps:txbx>
                        <wps:bodyPr upright="1"/>
                      </wps:wsp>
                      <wps:wsp>
                        <wps:cNvPr id="75" name="文本框 73"/>
                        <wps:cNvSpPr txBox="1"/>
                        <wps:spPr>
                          <a:xfrm>
                            <a:off x="3138170" y="1028065"/>
                            <a:ext cx="92011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系统健康状态</w:t>
                              </w:r>
                            </w:p>
                          </w:txbxContent>
                        </wps:txbx>
                        <wps:bodyPr upright="1"/>
                      </wps:wsp>
                      <wps:wsp>
                        <wps:cNvPr id="76" name="文本框 74"/>
                        <wps:cNvSpPr txBox="1"/>
                        <wps:spPr>
                          <a:xfrm>
                            <a:off x="3138170" y="1370965"/>
                            <a:ext cx="92011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应急演练</w:t>
                              </w:r>
                            </w:p>
                          </w:txbxContent>
                        </wps:txbx>
                        <wps:bodyPr upright="1"/>
                      </wps:wsp>
                      <wps:wsp>
                        <wps:cNvPr id="77" name="文本框 75"/>
                        <wps:cNvSpPr txBox="1"/>
                        <wps:spPr>
                          <a:xfrm>
                            <a:off x="3138170" y="1732915"/>
                            <a:ext cx="92011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监控数据查询</w:t>
                              </w:r>
                            </w:p>
                          </w:txbxContent>
                        </wps:txbx>
                        <wps:bodyPr upright="1"/>
                      </wps:wsp>
                      <wps:wsp>
                        <wps:cNvPr id="78" name="文本框 76"/>
                        <wps:cNvSpPr txBox="1"/>
                        <wps:spPr>
                          <a:xfrm>
                            <a:off x="3175000" y="392430"/>
                            <a:ext cx="822325"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运行管理</w:t>
                              </w:r>
                            </w:p>
                          </w:txbxContent>
                        </wps:txbx>
                        <wps:bodyPr upright="1"/>
                      </wps:wsp>
                      <wps:wsp>
                        <wps:cNvPr id="79" name="文本框 77"/>
                        <wps:cNvSpPr txBox="1"/>
                        <wps:spPr>
                          <a:xfrm>
                            <a:off x="71120" y="2752725"/>
                            <a:ext cx="81978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报表</w:t>
                              </w:r>
                            </w:p>
                          </w:txbxContent>
                        </wps:txbx>
                        <wps:bodyPr upright="1"/>
                      </wps:wsp>
                      <wps:wsp>
                        <wps:cNvPr id="80" name="文本框 78"/>
                        <wps:cNvSpPr txBox="1"/>
                        <wps:spPr>
                          <a:xfrm>
                            <a:off x="4333240" y="1717040"/>
                            <a:ext cx="89090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器件生命周期</w:t>
                              </w:r>
                            </w:p>
                          </w:txbxContent>
                        </wps:txbx>
                        <wps:bodyPr upright="1"/>
                      </wps:wsp>
                      <wps:wsp>
                        <wps:cNvPr id="81" name="矩形 79"/>
                        <wps:cNvSpPr/>
                        <wps:spPr>
                          <a:xfrm>
                            <a:off x="3073400" y="421005"/>
                            <a:ext cx="1082675" cy="2707640"/>
                          </a:xfrm>
                          <a:prstGeom prst="rect">
                            <a:avLst/>
                          </a:prstGeom>
                          <a:noFill/>
                          <a:ln w="9525" cap="flat" cmpd="sng">
                            <a:solidFill>
                              <a:srgbClr val="000000"/>
                            </a:solidFill>
                            <a:prstDash val="dash"/>
                            <a:miter/>
                            <a:headEnd type="none" w="med" len="med"/>
                            <a:tailEnd type="none" w="med" len="med"/>
                          </a:ln>
                          <a:effectLst/>
                        </wps:spPr>
                        <wps:bodyPr upright="1"/>
                      </wps:wsp>
                      <wps:wsp>
                        <wps:cNvPr id="82" name="文本框 80"/>
                        <wps:cNvSpPr txBox="1"/>
                        <wps:spPr>
                          <a:xfrm>
                            <a:off x="357505" y="3878580"/>
                            <a:ext cx="81978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知识管理</w:t>
                              </w:r>
                            </w:p>
                          </w:txbxContent>
                        </wps:txbx>
                        <wps:bodyPr upright="1"/>
                      </wps:wsp>
                      <wps:wsp>
                        <wps:cNvPr id="83" name="文本框 81"/>
                        <wps:cNvSpPr txBox="1"/>
                        <wps:spPr>
                          <a:xfrm>
                            <a:off x="357505" y="4231640"/>
                            <a:ext cx="81978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风险管理</w:t>
                              </w:r>
                            </w:p>
                          </w:txbxContent>
                        </wps:txbx>
                        <wps:bodyPr upright="1"/>
                      </wps:wsp>
                      <wps:wsp>
                        <wps:cNvPr id="84" name="文本框 82"/>
                        <wps:cNvSpPr txBox="1"/>
                        <wps:spPr>
                          <a:xfrm>
                            <a:off x="357505" y="4585335"/>
                            <a:ext cx="81978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服务需求</w:t>
                              </w:r>
                            </w:p>
                          </w:txbxContent>
                        </wps:txbx>
                        <wps:bodyPr upright="1"/>
                      </wps:wsp>
                      <wps:wsp>
                        <wps:cNvPr id="85" name="文本框 83"/>
                        <wps:cNvSpPr txBox="1"/>
                        <wps:spPr>
                          <a:xfrm>
                            <a:off x="356870" y="3533140"/>
                            <a:ext cx="81978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文档管理</w:t>
                              </w:r>
                            </w:p>
                          </w:txbxContent>
                        </wps:txbx>
                        <wps:bodyPr upright="1"/>
                      </wps:wsp>
                      <wps:wsp>
                        <wps:cNvPr id="86" name="矩形 84"/>
                        <wps:cNvSpPr/>
                        <wps:spPr>
                          <a:xfrm>
                            <a:off x="314325" y="3280410"/>
                            <a:ext cx="920115" cy="2388870"/>
                          </a:xfrm>
                          <a:prstGeom prst="rect">
                            <a:avLst/>
                          </a:prstGeom>
                          <a:noFill/>
                          <a:ln w="9525" cap="flat" cmpd="sng">
                            <a:solidFill>
                              <a:srgbClr val="000000"/>
                            </a:solidFill>
                            <a:prstDash val="dash"/>
                            <a:miter/>
                            <a:headEnd type="none" w="med" len="med"/>
                            <a:tailEnd type="none" w="med" len="med"/>
                          </a:ln>
                          <a:effectLst/>
                        </wps:spPr>
                        <wps:bodyPr upright="1"/>
                      </wps:wsp>
                      <wps:wsp>
                        <wps:cNvPr id="87" name="文本框 85"/>
                        <wps:cNvSpPr txBox="1"/>
                        <wps:spPr>
                          <a:xfrm>
                            <a:off x="347345" y="3249930"/>
                            <a:ext cx="887095"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规划协调管理</w:t>
                              </w:r>
                            </w:p>
                          </w:txbxContent>
                        </wps:txbx>
                        <wps:bodyPr upright="1"/>
                      </wps:wsp>
                      <wps:wsp>
                        <wps:cNvPr id="88" name="文本框 86"/>
                        <wps:cNvSpPr txBox="1"/>
                        <wps:spPr>
                          <a:xfrm>
                            <a:off x="1357630" y="3878580"/>
                            <a:ext cx="104203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员工培训</w:t>
                              </w:r>
                            </w:p>
                          </w:txbxContent>
                        </wps:txbx>
                        <wps:bodyPr upright="1"/>
                      </wps:wsp>
                      <wps:wsp>
                        <wps:cNvPr id="89" name="文本框 87"/>
                        <wps:cNvSpPr txBox="1"/>
                        <wps:spPr>
                          <a:xfrm>
                            <a:off x="1357630" y="4231640"/>
                            <a:ext cx="104203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服务商培训</w:t>
                              </w:r>
                            </w:p>
                          </w:txbxContent>
                        </wps:txbx>
                        <wps:bodyPr upright="1"/>
                      </wps:wsp>
                      <wps:wsp>
                        <wps:cNvPr id="90" name="文本框 88"/>
                        <wps:cNvSpPr txBox="1"/>
                        <wps:spPr>
                          <a:xfrm>
                            <a:off x="1356995" y="3533140"/>
                            <a:ext cx="104203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课程及模板管理</w:t>
                              </w:r>
                            </w:p>
                          </w:txbxContent>
                        </wps:txbx>
                        <wps:bodyPr upright="1"/>
                      </wps:wsp>
                      <wps:wsp>
                        <wps:cNvPr id="91" name="矩形 89"/>
                        <wps:cNvSpPr/>
                        <wps:spPr>
                          <a:xfrm>
                            <a:off x="1323975" y="3280410"/>
                            <a:ext cx="1156970" cy="2388870"/>
                          </a:xfrm>
                          <a:prstGeom prst="rect">
                            <a:avLst/>
                          </a:prstGeom>
                          <a:noFill/>
                          <a:ln w="9525" cap="flat" cmpd="sng">
                            <a:solidFill>
                              <a:srgbClr val="000000"/>
                            </a:solidFill>
                            <a:prstDash val="dash"/>
                            <a:miter/>
                            <a:headEnd type="none" w="med" len="med"/>
                            <a:tailEnd type="none" w="med" len="med"/>
                          </a:ln>
                          <a:effectLst/>
                        </wps:spPr>
                        <wps:bodyPr upright="1"/>
                      </wps:wsp>
                      <wps:wsp>
                        <wps:cNvPr id="92" name="文本框 90"/>
                        <wps:cNvSpPr txBox="1"/>
                        <wps:spPr>
                          <a:xfrm>
                            <a:off x="1323975" y="3249930"/>
                            <a:ext cx="1054100"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培训</w:t>
                              </w:r>
                            </w:p>
                          </w:txbxContent>
                        </wps:txbx>
                        <wps:bodyPr upright="1"/>
                      </wps:wsp>
                      <wps:wsp>
                        <wps:cNvPr id="93" name="文本框 91"/>
                        <wps:cNvSpPr txBox="1"/>
                        <wps:spPr>
                          <a:xfrm>
                            <a:off x="2653030" y="3878580"/>
                            <a:ext cx="101409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设备基础数据</w:t>
                              </w:r>
                            </w:p>
                          </w:txbxContent>
                        </wps:txbx>
                        <wps:bodyPr upright="1"/>
                      </wps:wsp>
                      <wps:wsp>
                        <wps:cNvPr id="94" name="文本框 92"/>
                        <wps:cNvSpPr txBox="1"/>
                        <wps:spPr>
                          <a:xfrm>
                            <a:off x="2653030" y="4231640"/>
                            <a:ext cx="101409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备件基础数据</w:t>
                              </w:r>
                            </w:p>
                          </w:txbxContent>
                        </wps:txbx>
                        <wps:bodyPr upright="1"/>
                      </wps:wsp>
                      <wps:wsp>
                        <wps:cNvPr id="95" name="文本框 93"/>
                        <wps:cNvSpPr txBox="1"/>
                        <wps:spPr>
                          <a:xfrm>
                            <a:off x="2652395" y="3533140"/>
                            <a:ext cx="101409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服务指标</w:t>
                              </w:r>
                            </w:p>
                          </w:txbxContent>
                        </wps:txbx>
                        <wps:bodyPr upright="1"/>
                      </wps:wsp>
                      <wps:wsp>
                        <wps:cNvPr id="96" name="矩形 94"/>
                        <wps:cNvSpPr/>
                        <wps:spPr>
                          <a:xfrm>
                            <a:off x="2562225" y="3280410"/>
                            <a:ext cx="1190625" cy="2388870"/>
                          </a:xfrm>
                          <a:prstGeom prst="rect">
                            <a:avLst/>
                          </a:prstGeom>
                          <a:noFill/>
                          <a:ln w="9525" cap="flat" cmpd="sng">
                            <a:solidFill>
                              <a:srgbClr val="000000"/>
                            </a:solidFill>
                            <a:prstDash val="dash"/>
                            <a:miter/>
                            <a:headEnd type="none" w="med" len="med"/>
                            <a:tailEnd type="none" w="med" len="med"/>
                          </a:ln>
                          <a:effectLst/>
                        </wps:spPr>
                        <wps:bodyPr upright="1"/>
                      </wps:wsp>
                      <wps:wsp>
                        <wps:cNvPr id="97" name="文本框 95"/>
                        <wps:cNvSpPr txBox="1"/>
                        <wps:spPr>
                          <a:xfrm>
                            <a:off x="2698750" y="3249930"/>
                            <a:ext cx="906780"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配置</w:t>
                              </w:r>
                            </w:p>
                          </w:txbxContent>
                        </wps:txbx>
                        <wps:bodyPr upright="1"/>
                      </wps:wsp>
                      <wps:wsp>
                        <wps:cNvPr id="98" name="文本框 96"/>
                        <wps:cNvSpPr txBox="1"/>
                        <wps:spPr>
                          <a:xfrm>
                            <a:off x="3938270" y="3533140"/>
                            <a:ext cx="92011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流程</w:t>
                              </w:r>
                            </w:p>
                          </w:txbxContent>
                        </wps:txbx>
                        <wps:bodyPr upright="1"/>
                      </wps:wsp>
                      <wps:wsp>
                        <wps:cNvPr id="99" name="文本框 97"/>
                        <wps:cNvSpPr txBox="1"/>
                        <wps:spPr>
                          <a:xfrm>
                            <a:off x="3938270" y="3885565"/>
                            <a:ext cx="92011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系统作业</w:t>
                              </w:r>
                            </w:p>
                          </w:txbxContent>
                        </wps:txbx>
                        <wps:bodyPr upright="1"/>
                      </wps:wsp>
                      <wps:wsp>
                        <wps:cNvPr id="100" name="文本框 98"/>
                        <wps:cNvSpPr txBox="1"/>
                        <wps:spPr>
                          <a:xfrm>
                            <a:off x="3938270" y="4228465"/>
                            <a:ext cx="92011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审批设置</w:t>
                              </w:r>
                            </w:p>
                          </w:txbxContent>
                        </wps:txbx>
                        <wps:bodyPr upright="1"/>
                      </wps:wsp>
                      <wps:wsp>
                        <wps:cNvPr id="101" name="文本框 99"/>
                        <wps:cNvSpPr txBox="1"/>
                        <wps:spPr>
                          <a:xfrm>
                            <a:off x="3938270" y="4590415"/>
                            <a:ext cx="920115" cy="295275"/>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日志</w:t>
                              </w:r>
                            </w:p>
                          </w:txbxContent>
                        </wps:txbx>
                        <wps:bodyPr upright="1"/>
                      </wps:wsp>
                      <wps:wsp>
                        <wps:cNvPr id="102" name="文本框 100"/>
                        <wps:cNvSpPr txBox="1"/>
                        <wps:spPr>
                          <a:xfrm>
                            <a:off x="3975100" y="3249930"/>
                            <a:ext cx="822325" cy="253365"/>
                          </a:xfrm>
                          <a:prstGeom prst="rect">
                            <a:avLst/>
                          </a:prstGeom>
                          <a:no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设置</w:t>
                              </w:r>
                            </w:p>
                          </w:txbxContent>
                        </wps:txbx>
                        <wps:bodyPr upright="1"/>
                      </wps:wsp>
                      <wps:wsp>
                        <wps:cNvPr id="103" name="矩形 101"/>
                        <wps:cNvSpPr/>
                        <wps:spPr>
                          <a:xfrm>
                            <a:off x="3873500" y="3278505"/>
                            <a:ext cx="1082675" cy="2390775"/>
                          </a:xfrm>
                          <a:prstGeom prst="rect">
                            <a:avLst/>
                          </a:prstGeom>
                          <a:noFill/>
                          <a:ln w="9525" cap="flat" cmpd="sng">
                            <a:solidFill>
                              <a:srgbClr val="000000"/>
                            </a:solidFill>
                            <a:prstDash val="dash"/>
                            <a:miter/>
                            <a:headEnd type="none" w="med" len="med"/>
                            <a:tailEnd type="none" w="med" len="med"/>
                          </a:ln>
                          <a:effectLst/>
                        </wps:spPr>
                        <wps:bodyPr upright="1"/>
                      </wps:wsp>
                      <wps:wsp>
                        <wps:cNvPr id="104" name="文本框 102"/>
                        <wps:cNvSpPr txBox="1"/>
                        <wps:spPr>
                          <a:xfrm>
                            <a:off x="2672080" y="4926330"/>
                            <a:ext cx="101409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预防性维护配置</w:t>
                              </w:r>
                            </w:p>
                          </w:txbxContent>
                        </wps:txbx>
                        <wps:bodyPr upright="1"/>
                      </wps:wsp>
                      <wps:wsp>
                        <wps:cNvPr id="112" name="文本框 103"/>
                        <wps:cNvSpPr txBox="1"/>
                        <wps:spPr>
                          <a:xfrm>
                            <a:off x="2672080" y="5279390"/>
                            <a:ext cx="101409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系统配置</w:t>
                              </w:r>
                            </w:p>
                          </w:txbxContent>
                        </wps:txbx>
                        <wps:bodyPr upright="1"/>
                      </wps:wsp>
                      <wps:wsp>
                        <wps:cNvPr id="113" name="文本框 104"/>
                        <wps:cNvSpPr txBox="1"/>
                        <wps:spPr>
                          <a:xfrm>
                            <a:off x="2671445" y="4580890"/>
                            <a:ext cx="1014095" cy="295910"/>
                          </a:xfrm>
                          <a:prstGeom prst="rect">
                            <a:avLst/>
                          </a:prstGeom>
                          <a:solidFill>
                            <a:srgbClr val="FFC000"/>
                          </a:solidFill>
                          <a:ln w="38100">
                            <a:noFill/>
                          </a:ln>
                          <a:effectLst>
                            <a:outerShdw dist="28398" dir="3806096" algn="ctr" rotWithShape="0">
                              <a:srgbClr val="7F5F00">
                                <a:alpha val="50000"/>
                              </a:srgbClr>
                            </a:outerShdw>
                          </a:effectLst>
                        </wps:spPr>
                        <wps:txb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巡检配置</w:t>
                              </w:r>
                            </w:p>
                          </w:txbxContent>
                        </wps:txbx>
                        <wps:bodyPr upright="1"/>
                      </wps:wsp>
                    </wpc:wpc>
                  </a:graphicData>
                </a:graphic>
              </wp:inline>
            </w:drawing>
          </mc:Choice>
          <mc:Fallback>
            <w:pict>
              <v:group id="画布 105" o:spid="_x0000_s1026" o:spt="203" style="height:455.4pt;width:420pt;" coordsize="5334000,5783580" editas="canvas" o:gfxdata="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">
                <o:lock v:ext="edit" aspectratio="f"/>
                <v:shape id="画布 105" o:spid="_x0000_s1026" style="position:absolute;left:0;top:0;height:5783580;width:5334000;" filled="f" stroked="f" coordsize="21600,21600" o:gfxdata="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">
                  <v:fill on="f" focussize="0,0"/>
                  <v:stroke on="f"/>
                  <v:imagedata o:title=""/>
                  <o:lock v:ext="edit" aspectratio="t"/>
                </v:shape>
                <v:rect id="矩形 47" o:spid="_x0000_s1026" o:spt="1" style="position:absolute;left:0;top:0;height:5735955;width:5334000;" fillcolor="#5B9BD5" filled="t" stroked="t" coordsize="21600,21600" o:gfxdata="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jaGUrVAAAABQEAAA8AAAAAAAAAAQAgAAAAIgAAAGRycy9kb3du&#10;cmV2LnhtbFBLAQIUABQAAAAIAIdO4kAtXvzWOwIAAHsEAAAOAAAAAAAAAAEAIAAAACQBAABkcnMv&#10;ZTJvRG9jLnhtbFBLBQYAAAAABgAGAFkBAADRBQAAAAA=&#10;">
                  <v:fill on="t" focussize="0,0"/>
                  <v:stroke weight="3pt" color="#F2F2F2" joinstyle="miter"/>
                  <v:imagedata o:title=""/>
                  <o:lock v:ext="edit" aspectratio="f"/>
                  <v:shadow on="t" color="#1F4D78" opacity="32768f" offset="1pt,2pt" origin="0f,0f" matrix="65536f,0f,0f,65536f"/>
                </v:rect>
                <v:shape id="文本框 48" o:spid="_x0000_s1026" o:spt="202" type="#_x0000_t202" style="position:absolute;left:81280;top:1021080;height:295910;width:81978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HkR41AAAAAUBAAAPAAAAAAAAAAEAIAAAACIAAABkcnMvZG93&#10;bnJldi54bWxQSwECFAAUAAAACACHTuJAhcSn6wQCAADlAwAADgAAAAAAAAABACAAAAAjAQAAZHJz&#10;L2Uyb0RvYy54bWxQSwUGAAAAAAYABgBZAQAAmQ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待办及已办</w:t>
                        </w:r>
                      </w:p>
                    </w:txbxContent>
                  </v:textbox>
                </v:shape>
                <v:shape id="文本框 49" o:spid="_x0000_s1026" o:spt="202" type="#_x0000_t202" style="position:absolute;left:81280;top:1374140;height:295910;width:81978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HkR41AAAAAUBAAAPAAAAAAAAAAEAIAAAACIAAABkcnMvZG93&#10;bnJldi54bWxQSwECFAAUAAAACACHTuJAxdAWRQQCAADlAwAADgAAAAAAAAABACAAAAAjAQAAZHJz&#10;L2Uyb0RvYy54bWxQSwUGAAAAAAYABgBZAQAAmQ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公告</w:t>
                        </w:r>
                      </w:p>
                    </w:txbxContent>
                  </v:textbox>
                </v:shape>
                <v:shape id="文本框 50" o:spid="_x0000_s1026" o:spt="202" type="#_x0000_t202" style="position:absolute;left:81280;top:1727835;height:295275;width:81978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IeRHjUAAAABQEAAA8AAAAAAAAAAQAgAAAAIgAAAGRycy9k&#10;b3ducmV2LnhtbFBLAQIUABQAAAAIAIdO4kD8j+8yBgIAAOUDAAAOAAAAAAAAAAEAIAAAACMBAABk&#10;cnMvZTJvRG9jLnhtbFBLBQYAAAAABgAGAFkBAACb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消息提醒</w:t>
                        </w:r>
                      </w:p>
                    </w:txbxContent>
                  </v:textbox>
                </v:shape>
                <v:shape id="文本框 51" o:spid="_x0000_s1026" o:spt="202" type="#_x0000_t202" style="position:absolute;left:80645;top:2072640;height:295275;width:81978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5EeNQAAAAFAQAADwAAAAAAAAABACAAAAAiAAAAZHJzL2Rv&#10;d25yZXYueG1sUEsBAhQAFAAAAAgAh07iQMhw0fUFAgAA5QMAAA4AAAAAAAAAAQAgAAAAIwEAAGRy&#10;cy9lMm9Eb2MueG1sUEsFBgAAAAAGAAYAWQEAAJo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服务日历</w:t>
                        </w:r>
                      </w:p>
                    </w:txbxContent>
                  </v:textbox>
                </v:shape>
                <v:shape id="文本框 52" o:spid="_x0000_s1026" o:spt="202" type="#_x0000_t202" style="position:absolute;left:80645;top:675640;height:295910;width:81978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HkR41AAAAAUBAAAPAAAAAAAAAAEAIAAAACIAAABkcnMvZG93&#10;bnJldi54bWxQSwECFAAUAAAACACHTuJArpA4wQQCAADkAwAADgAAAAAAAAABACAAAAAjAQAAZHJz&#10;L2Uyb0RvYy54bWxQSwUGAAAAAAYABgBZAQAAmQ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工作台</w:t>
                        </w:r>
                      </w:p>
                    </w:txbxContent>
                  </v:textbox>
                </v:shape>
                <v:shape id="文本框 53" o:spid="_x0000_s1026" o:spt="202" type="#_x0000_t202" style="position:absolute;left:1736725;top:52705;height:254000;width:1673225;" filled="f" stroked="f" coordsize="21600,21600" o:gfxdata="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cG3NIAAAAFAQAADwAAAAAAAAABACAAAAAiAAAAZHJzL2Rvd25yZXYueG1sUEsBAhQA&#10;FAAAAAgAh07iQEePAOT4AQAAvQMAAA4AAAAAAAAAAQAgAAAAIQEAAGRycy9lMm9Eb2MueG1sUEsF&#10;BgAAAAAGAAYAWQEAAIsFA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b/>
                            <w:color w:val="FFFFFF"/>
                            <w:sz w:val="24"/>
                            <w:szCs w:val="20"/>
                          </w:rPr>
                        </w:pPr>
                        <w:r>
                          <w:rPr>
                            <w:rFonts w:hint="eastAsia" w:ascii="Calibri" w:hAnsi="Calibri" w:eastAsia="仿宋" w:cs="Times New Roman"/>
                            <w:b/>
                            <w:color w:val="FFFFFF"/>
                            <w:sz w:val="24"/>
                            <w:szCs w:val="20"/>
                          </w:rPr>
                          <w:t>运维管理业务架构</w:t>
                        </w:r>
                      </w:p>
                    </w:txbxContent>
                  </v:textbox>
                </v:shape>
                <v:rect id="矩形 54" o:spid="_x0000_s1026" o:spt="1" style="position:absolute;left:38100;top:422910;height:2705735;width:920115;" filled="f" stroked="t" coordsize="21600,21600" o:gfxdata="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VJ4O0gAA&#10;AAUBAAAPAAAAAAAAAAEAIAAAACIAAABkcnMvZG93bnJldi54bWxQSwECFAAUAAAACACHTuJA6PZm&#10;3+sBAAC/AwAADgAAAAAAAAABACAAAAAhAQAAZHJzL2Uyb0RvYy54bWxQSwUGAAAAAAYABgBZAQAA&#10;fgUAAAAA&#10;">
                  <v:fill on="f" focussize="0,0"/>
                  <v:stroke color="#000000" joinstyle="miter" dashstyle="dash"/>
                  <v:imagedata o:title=""/>
                  <o:lock v:ext="edit" aspectratio="f"/>
                </v:rect>
                <v:shape id="文本框 55" o:spid="_x0000_s1026" o:spt="202" type="#_x0000_t202" style="position:absolute;left:184150;top:392430;height:253365;width:657225;" filled="f" stroked="f" coordsize="21600,21600" o:gfxdata="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fnBtzSAAAABQEAAA8AAAAAAAAAAQAgAAAAIgAAAGRycy9kb3ducmV2LnhtbFBL&#10;AQIUABQAAAAIAIdO4kDFkLcr/AEAALwDAAAOAAAAAAAAAAEAIAAAACEBAABkcnMvZTJvRG9jLnht&#10;bFBLBQYAAAAABgAGAFkBAACPBQ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信息中心</w:t>
                        </w:r>
                      </w:p>
                    </w:txbxContent>
                  </v:textbox>
                </v:shape>
                <v:shape id="文本框 56" o:spid="_x0000_s1026" o:spt="202" type="#_x0000_t202" style="position:absolute;left:80645;top:2409825;height:295275;width:81978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IeRHjUAAAABQEAAA8AAAAAAAAAAQAgAAAAIgAAAGRycy9k&#10;b3ducmV2LnhtbFBLAQIUABQAAAAIAIdO4kAmrqKfBgIAAOUDAAAOAAAAAAAAAAEAIAAAACMBAABk&#10;cnMvZTJvRG9jLnhtbFBLBQYAAAAABgAGAFkBAACb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资源日历</w:t>
                        </w:r>
                      </w:p>
                    </w:txbxContent>
                  </v:textbox>
                </v:shape>
                <v:shape id="文本框 57" o:spid="_x0000_s1026" o:spt="202" type="#_x0000_t202" style="position:absolute;left:1043305;top:1021080;height:295910;width:909320;"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IeRHjUAAAABQEAAA8AAAAAAAAAAQAgAAAAIgAAAGRycy9k&#10;b3ducmV2LnhtbFBLAQIUABQAAAAIAIdO4kBI4QerBgIAAOcDAAAOAAAAAAAAAAEAIAAAACMBAABk&#10;cnMvZTJvRG9jLnhtbFBLBQYAAAAABgAGAFkBAACb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工具管理</w:t>
                        </w:r>
                      </w:p>
                    </w:txbxContent>
                  </v:textbox>
                </v:shape>
                <v:shape id="文本框 58" o:spid="_x0000_s1026" o:spt="202" type="#_x0000_t202" style="position:absolute;left:1043305;top:1374140;height:295910;width:909320;"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HkR41AAAAAUBAAAPAAAAAAAAAAEAIAAAACIAAABkcnMv&#10;ZG93bnJldi54bWxQSwECFAAUAAAACACHTuJAbFHjXQcCAADnAwAADgAAAAAAAAABACAAAAAj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备件耗材管理</w:t>
                        </w:r>
                      </w:p>
                    </w:txbxContent>
                  </v:textbox>
                </v:shape>
                <v:shape id="文本框 59" o:spid="_x0000_s1026" o:spt="202" type="#_x0000_t202" style="position:absolute;left:1042670;top:675640;height:295910;width:909320;"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IeRHjUAAAABQEAAA8AAAAAAAAAAQAgAAAAIgAAAGRycy9k&#10;b3ducmV2LnhtbFBLAQIUABQAAAAIAIdO4kDhzVH+BgIAAOYDAAAOAAAAAAAAAAEAIAAAACMBAABk&#10;cnMvZTJvRG9jLnhtbFBLBQYAAAAABgAGAFkBAACb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设备管理</w:t>
                        </w:r>
                      </w:p>
                    </w:txbxContent>
                  </v:textbox>
                </v:shape>
                <v:rect id="矩形 60" o:spid="_x0000_s1026" o:spt="1" style="position:absolute;left:1009650;top:422910;height:2705735;width:1009650;" filled="f" stroked="t" coordsize="21600,21600" o:gfxdata="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JUng7SAAAABQEA&#10;AA8AAAAAAAAAAQAgAAAAIgAAAGRycy9kb3ducmV2LnhtbFBLAQIUABQAAAAIAIdO4kCAJEeC5wEA&#10;AMIDAAAOAAAAAAAAAAEAIAAAACEBAABkcnMvZTJvRG9jLnhtbFBLBQYAAAAABgAGAFkBAAB6BQAA&#10;AAA=&#10;">
                  <v:fill on="f" focussize="0,0"/>
                  <v:stroke color="#000000" joinstyle="miter" dashstyle="dash"/>
                  <v:imagedata o:title=""/>
                  <o:lock v:ext="edit" aspectratio="f"/>
                </v:rect>
                <v:shape id="文本框 61" o:spid="_x0000_s1026" o:spt="202" type="#_x0000_t202" style="position:absolute;left:1009650;top:392430;height:253365;width:920115;" filled="f" stroked="f" coordsize="21600,21600" o:gfxdata="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cG3NIAAAAFAQAADwAAAAAAAAABACAAAAAiAAAAZHJzL2Rvd25yZXYueG1sUEsBAhQA&#10;FAAAAAgAh07iQAb29PD4AQAAvQMAAA4AAAAAAAAAAQAgAAAAIQEAAGRycy9lMm9Eb2MueG1sUEsF&#10;BgAAAAAGAAYAWQEAAIsFA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资产管理</w:t>
                        </w:r>
                      </w:p>
                    </w:txbxContent>
                  </v:textbox>
                </v:shape>
                <v:shape id="文本框 62" o:spid="_x0000_s1026" o:spt="202" type="#_x0000_t202" style="position:absolute;left:2167255;top:1021080;height:295910;width:78676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h5EeNQAAAAFAQAADwAAAAAAAAABACAAAAAiAAAAZHJz&#10;L2Rvd25yZXYueG1sUEsBAhQAFAAAAAgAh07iQMtK6uEIAgAA5wMAAA4AAAAAAAAAAQAgAAAAIwEA&#10;AGRycy9lMm9Eb2MueG1sUEsFBgAAAAAGAAYAWQEAAJ0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排班管理</w:t>
                        </w:r>
                      </w:p>
                    </w:txbxContent>
                  </v:textbox>
                </v:shape>
                <v:shape id="文本框 63" o:spid="_x0000_s1026" o:spt="202" type="#_x0000_t202" style="position:absolute;left:2167255;top:1374140;height:295910;width:78676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h5EeNQAAAAFAQAADwAAAAAAAAABACAAAAAiAAAAZHJz&#10;L2Rvd25yZXYueG1sUEsBAhQAFAAAAAgAh07iQN747RwIAgAA5wMAAA4AAAAAAAAAAQAgAAAAIwEA&#10;AGRycy9lMm9Eb2MueG1sUEsFBgAAAAAGAAYAWQEAAJ0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出入管理</w:t>
                        </w:r>
                      </w:p>
                    </w:txbxContent>
                  </v:textbox>
                </v:shape>
                <v:shape id="文本框 64" o:spid="_x0000_s1026" o:spt="202" type="#_x0000_t202" style="position:absolute;left:2166620;top:675640;height:295910;width:78676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HkR41AAAAAUBAAAPAAAAAAAAAAEAIAAAACIAAABkcnMv&#10;ZG93bnJldi54bWxQSwECFAAUAAAACACHTuJABc2nvQcCAADmAwAADgAAAAAAAAABACAAAAAj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团队管理</w:t>
                        </w:r>
                      </w:p>
                    </w:txbxContent>
                  </v:textbox>
                </v:shape>
                <v:rect id="矩形 65" o:spid="_x0000_s1026" o:spt="1" style="position:absolute;left:2076450;top:422910;height:2705735;width:923925;" filled="f" stroked="t" coordsize="21600,21600" o:gfxdata="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lSe&#10;DtIAAAAFAQAADwAAAAAAAAABACAAAAAiAAAAZHJzL2Rvd25yZXYueG1sUEsBAhQAFAAAAAgAh07i&#10;QMwA0FLvAQAAwQMAAA4AAAAAAAAAAQAgAAAAIQEAAGRycy9lMm9Eb2MueG1sUEsFBgAAAAAGAAYA&#10;WQEAAIIFAAAAAA==&#10;">
                  <v:fill on="f" focussize="0,0"/>
                  <v:stroke color="#000000" joinstyle="miter" dashstyle="dash"/>
                  <v:imagedata o:title=""/>
                  <o:lock v:ext="edit" aspectratio="f"/>
                </v:rect>
                <v:shape id="文本框 66" o:spid="_x0000_s1026" o:spt="202" type="#_x0000_t202" style="position:absolute;left:2076450;top:392430;height:253365;width:840105;" filled="f" stroked="f" coordsize="21600,21600" o:gfxdata="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5wbc0gAAAAUBAAAPAAAAAAAAAAEAIAAAACIAAABkcnMvZG93bnJldi54bWxQSwEC&#10;FAAUAAAACACHTuJA8viq6/oBAAC9AwAADgAAAAAAAAABACAAAAAhAQAAZHJzL2Uyb0RvYy54bWxQ&#10;SwUGAAAAAAYABgBZAQAAjQU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人员及组织</w:t>
                        </w:r>
                      </w:p>
                    </w:txbxContent>
                  </v:textbox>
                </v:shape>
                <v:shape id="文本框 67" o:spid="_x0000_s1026" o:spt="202" type="#_x0000_t202" style="position:absolute;left:3138170;top:675640;height:295275;width:92011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HkR41AAAAAUBAAAPAAAAAAAAAAEAIAAAACIAAABkcnMv&#10;ZG93bnJldi54bWxQSwECFAAUAAAACACHTuJAXxj7AgcCAADmAwAADgAAAAAAAAABACAAAAAj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巡检管理</w:t>
                        </w:r>
                      </w:p>
                    </w:txbxContent>
                  </v:textbox>
                </v:shape>
                <v:shape id="文本框 68" o:spid="_x0000_s1026" o:spt="202" type="#_x0000_t202" style="position:absolute;left:4323715;top:1021080;height:295910;width:89090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h5EeNQAAAAFAQAADwAAAAAAAAABACAAAAAiAAAAZHJz&#10;L2Rvd25yZXYueG1sUEsBAhQAFAAAAAgAh07iQE6lsf8IAgAA5wMAAA4AAAAAAAAAAQAgAAAAIwEA&#10;AGRycy9lMm9Eb2MueG1sUEsFBgAAAAAGAAYAWQEAAJ0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事件管理</w:t>
                        </w:r>
                      </w:p>
                    </w:txbxContent>
                  </v:textbox>
                </v:shape>
                <v:shape id="文本框 69" o:spid="_x0000_s1026" o:spt="202" type="#_x0000_t202" style="position:absolute;left:4323715;top:1374140;height:295910;width:89090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HkR41AAAAAUBAAAPAAAAAAAAAAEAIAAAACIAAABkcnMv&#10;ZG93bnJldi54bWxQSwECFAAUAAAACACHTuJAWxe2AgcCAADnAwAADgAAAAAAAAABACAAAAAj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预防性维护</w:t>
                        </w:r>
                      </w:p>
                    </w:txbxContent>
                  </v:textbox>
                </v:shape>
                <v:shape id="文本框 70" o:spid="_x0000_s1026" o:spt="202" type="#_x0000_t202" style="position:absolute;left:4323080;top:675640;height:295910;width:89090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h5EeNQAAAAFAQAADwAAAAAAAAABACAAAAAiAAAAZHJz&#10;L2Rvd25yZXYueG1sUEsBAhQAFAAAAAgAh07iQIeOJhIIAgAA5gMAAA4AAAAAAAAAAQAgAAAAIwEA&#10;AGRycy9lMm9Eb2MueG1sUEsFBgAAAAAGAAYAWQEAAJ0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服务商管理</w:t>
                        </w:r>
                      </w:p>
                    </w:txbxContent>
                  </v:textbox>
                </v:shape>
                <v:rect id="矩形 71" o:spid="_x0000_s1026" o:spt="1" style="position:absolute;left:4229100;top:422910;height:2705735;width:1038225;" filled="f" stroked="t" coordsize="21600,21600" o:gfxdata="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JUng7SAAAA&#10;BQEAAA8AAAAAAAAAAQAgAAAAIgAAAGRycy9kb3ducmV2LnhtbFBLAQIUABQAAAAIAIdO4kBpSNoB&#10;6gEAAMIDAAAOAAAAAAAAAAEAIAAAACEBAABkcnMvZTJvRG9jLnhtbFBLBQYAAAAABgAGAFkBAAB9&#10;BQAAAAA=&#10;">
                  <v:fill on="f" focussize="0,0"/>
                  <v:stroke color="#000000" joinstyle="miter" dashstyle="dash"/>
                  <v:imagedata o:title=""/>
                  <o:lock v:ext="edit" aspectratio="f"/>
                </v:rect>
                <v:shape id="文本框 72" o:spid="_x0000_s1026" o:spt="202" type="#_x0000_t202" style="position:absolute;left:4362450;top:392430;height:253365;width:796925;" filled="f" stroked="f" coordsize="21600,21600" o:gfxdata="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fnBtzSAAAABQEAAA8AAAAAAAAAAQAgAAAAIgAAAGRycy9kb3ducmV2LnhtbFBL&#10;AQIUABQAAAAIAIdO4kCBd5Ww/AEAAL0DAAAOAAAAAAAAAAEAIAAAACEBAABkcnMvZTJvRG9jLnht&#10;bFBLBQYAAAAABgAGAFkBAACPBQ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设备维护</w:t>
                        </w:r>
                      </w:p>
                    </w:txbxContent>
                  </v:textbox>
                </v:shape>
                <v:shape id="文本框 73" o:spid="_x0000_s1026" o:spt="202" type="#_x0000_t202" style="position:absolute;left:3138170;top:1028065;height:295275;width:92011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h5EeNQAAAAFAQAADwAAAAAAAAABACAAAAAiAAAAZHJz&#10;L2Rvd25yZXYueG1sUEsBAhQAFAAAAAgAh07iQMhipN4IAgAA5wMAAA4AAAAAAAAAAQAgAAAAIwEA&#10;AGRycy9lMm9Eb2MueG1sUEsFBgAAAAAGAAYAWQEAAJ0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系统健康状态</w:t>
                        </w:r>
                      </w:p>
                    </w:txbxContent>
                  </v:textbox>
                </v:shape>
                <v:shape id="文本框 74" o:spid="_x0000_s1026" o:spt="202" type="#_x0000_t202" style="position:absolute;left:3138170;top:1370965;height:295275;width:92011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IeRHjUAAAABQEAAA8AAAAAAAAAAQAgAAAAIgAAAGRy&#10;cy9kb3ducmV2LnhtbFBLAQIUABQAAAAIAIdO4kCYJA6VCQIAAOcDAAAOAAAAAAAAAAEAIAAAACMB&#10;AABkcnMvZTJvRG9jLnhtbFBLBQYAAAAABgAGAFkBAACe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应急演练</w:t>
                        </w:r>
                      </w:p>
                    </w:txbxContent>
                  </v:textbox>
                </v:shape>
                <v:shape id="文本框 75" o:spid="_x0000_s1026" o:spt="202" type="#_x0000_t202" style="position:absolute;left:3138170;top:1732915;height:295275;width:92011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h5EeNQAAAAFAQAADwAAAAAAAAABACAAAAAiAAAAZHJz&#10;L2Rvd25yZXYueG1sUEsBAhQAFAAAAAgAh07iQE/E78QIAgAA5wMAAA4AAAAAAAAAAQAgAAAAIwEA&#10;AGRycy9lMm9Eb2MueG1sUEsFBgAAAAAGAAYAWQEAAJ0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监控数据查询</w:t>
                        </w:r>
                      </w:p>
                    </w:txbxContent>
                  </v:textbox>
                </v:shape>
                <v:shape id="文本框 76" o:spid="_x0000_s1026" o:spt="202" type="#_x0000_t202" style="position:absolute;left:3175000;top:392430;height:253365;width:822325;" filled="f" stroked="f" coordsize="21600,21600" o:gfxdata="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fnBtzSAAAABQEAAA8AAAAAAAAAAQAgAAAAIgAAAGRycy9kb3ducmV2LnhtbFBLAQIU&#10;ABQAAAAIAIdO4kCAqEL8+QEAAL0DAAAOAAAAAAAAAAEAIAAAACEBAABkcnMvZTJvRG9jLnhtbFBL&#10;BQYAAAAABgAGAFkBAACMBQ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运行管理</w:t>
                        </w:r>
                      </w:p>
                    </w:txbxContent>
                  </v:textbox>
                </v:shape>
                <v:shape id="文本框 77" o:spid="_x0000_s1026" o:spt="202" type="#_x0000_t202" style="position:absolute;left:71120;top:2752725;height:295275;width:81978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HkR41AAAAAUBAAAPAAAAAAAAAAEAIAAAACIAAABkcnMv&#10;ZG93bnJldi54bWxQSwECFAAUAAAACACHTuJAKrbxoAcCAADlAwAADgAAAAAAAAABACAAAAAj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报表</w:t>
                        </w:r>
                      </w:p>
                    </w:txbxContent>
                  </v:textbox>
                </v:shape>
                <v:shape id="文本框 78" o:spid="_x0000_s1026" o:spt="202" type="#_x0000_t202" style="position:absolute;left:4333240;top:1717040;height:295910;width:89090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h5EeNQAAAAFAQAADwAAAAAAAAABACAAAAAiAAAAZHJz&#10;L2Rvd25yZXYueG1sUEsBAhQAFAAAAAgAh07iQE1e0HMIAgAA5wMAAA4AAAAAAAAAAQAgAAAAIwEA&#10;AGRycy9lMm9Eb2MueG1sUEsFBgAAAAAGAAYAWQEAAJ0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器件生命周期</w:t>
                        </w:r>
                      </w:p>
                    </w:txbxContent>
                  </v:textbox>
                </v:shape>
                <v:rect id="矩形 79" o:spid="_x0000_s1026" o:spt="1" style="position:absolute;left:3073400;top:421005;height:2707640;width:1082675;" filled="f" stroked="t" coordsize="21600,21600" o:gfxdata="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VJ4O0gAAAAUBAAAPAAAAAAAAAAEAIAAAACIAAABkcnMvZG93bnJldi54bWxQSwECFAAUAAAACACH&#10;TuJAzdUow/EBAADCAwAADgAAAAAAAAABACAAAAAhAQAAZHJzL2Uyb0RvYy54bWxQSwUGAAAAAAYA&#10;BgBZAQAAhAUAAAAA&#10;">
                  <v:fill on="f" focussize="0,0"/>
                  <v:stroke color="#000000" joinstyle="miter" dashstyle="dash"/>
                  <v:imagedata o:title=""/>
                  <o:lock v:ext="edit" aspectratio="f"/>
                </v:rect>
                <v:shape id="文本框 80" o:spid="_x0000_s1026" o:spt="202" type="#_x0000_t202" style="position:absolute;left:357505;top:3878580;height:295910;width:81978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HkR41AAAAAUBAAAPAAAAAAAAAAEAIAAAACIAAABkcnMvZG93&#10;bnJldi54bWxQSwECFAAUAAAACACHTuJAiPUvXAQCAADmAwAADgAAAAAAAAABACAAAAAjAQAAZHJz&#10;L2Uyb0RvYy54bWxQSwUGAAAAAAYABgBZAQAAmQ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知识管理</w:t>
                        </w:r>
                      </w:p>
                    </w:txbxContent>
                  </v:textbox>
                </v:shape>
                <v:shape id="文本框 81" o:spid="_x0000_s1026" o:spt="202" type="#_x0000_t202" style="position:absolute;left:357505;top:4231640;height:295910;width:81978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HkR41AAAAAUBAAAPAAAAAAAAAAEAIAAAACIAAABkcnMv&#10;ZG93bnJldi54bWxQSwECFAAUAAAACACHTuJAOfA9zQcCAADmAwAADgAAAAAAAAABACAAAAAj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风险管理</w:t>
                        </w:r>
                      </w:p>
                    </w:txbxContent>
                  </v:textbox>
                </v:shape>
                <v:shape id="文本框 82" o:spid="_x0000_s1026" o:spt="202" type="#_x0000_t202" style="position:absolute;left:357505;top:4585335;height:295275;width:81978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IeRHjUAAAABQEAAA8AAAAAAAAAAQAgAAAAIgAAAGRy&#10;cy9kb3ducmV2LnhtbFBLAQIUABQAAAAIAIdO4kBUjGe0CQIAAOYDAAAOAAAAAAAAAAEAIAAAACMB&#10;AABkcnMvZTJvRG9jLnhtbFBLBQYAAAAABgAGAFkBAACe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服务需求</w:t>
                        </w:r>
                      </w:p>
                    </w:txbxContent>
                  </v:textbox>
                </v:shape>
                <v:shape id="文本框 83" o:spid="_x0000_s1026" o:spt="202" type="#_x0000_t202" style="position:absolute;left:356870;top:3533140;height:295910;width:81978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5EeNQAAAAFAQAADwAAAAAAAAABACAAAAAiAAAAZHJzL2Rv&#10;d25yZXYueG1sUEsBAhQAFAAAAAgAh07iQCyWOisFAgAA5gMAAA4AAAAAAAAAAQAgAAAAIwEAAGRy&#10;cy9lMm9Eb2MueG1sUEsFBgAAAAAGAAYAWQEAAJo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文档管理</w:t>
                        </w:r>
                      </w:p>
                    </w:txbxContent>
                  </v:textbox>
                </v:shape>
                <v:rect id="矩形 84" o:spid="_x0000_s1026" o:spt="1" style="position:absolute;left:314325;top:3280410;height:2388870;width:920115;" filled="f" stroked="t" coordsize="21600,21600" o:gfxdata="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lSeDtIA&#10;AAAFAQAADwAAAAAAAAABACAAAAAiAAAAZHJzL2Rvd25yZXYueG1sUEsBAhQAFAAAAAgAh07iQJ+E&#10;Q+LsAQAAwQMAAA4AAAAAAAAAAQAgAAAAIQEAAGRycy9lMm9Eb2MueG1sUEsFBgAAAAAGAAYAWQEA&#10;AH8FAAAAAA==&#10;">
                  <v:fill on="f" focussize="0,0"/>
                  <v:stroke color="#000000" joinstyle="miter" dashstyle="dash"/>
                  <v:imagedata o:title=""/>
                  <o:lock v:ext="edit" aspectratio="f"/>
                </v:rect>
                <v:shape id="文本框 85" o:spid="_x0000_s1026" o:spt="202" type="#_x0000_t202" style="position:absolute;left:347345;top:3249930;height:253365;width:887095;" filled="f" stroked="f" coordsize="21600,21600" o:gfxdata="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5wbc0gAAAAUBAAAPAAAAAAAAAAEAIAAAACIAAABkcnMvZG93bnJldi54bWxQ&#10;SwECFAAUAAAACACHTuJAyL8O//0BAAC9AwAADgAAAAAAAAABACAAAAAhAQAAZHJzL2Uyb0RvYy54&#10;bWxQSwUGAAAAAAYABgBZAQAAkAU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规划协调管理</w:t>
                        </w:r>
                      </w:p>
                    </w:txbxContent>
                  </v:textbox>
                </v:shape>
                <v:shape id="文本框 86" o:spid="_x0000_s1026" o:spt="202" type="#_x0000_t202" style="position:absolute;left:1357630;top:3878580;height:295910;width:104203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HkR41AAAAAUBAAAPAAAAAAAAAAEAIAAAACIAAABkcnMv&#10;ZG93bnJldi54bWxQSwECFAAUAAAACACHTuJAizNctQcCAADoAwAADgAAAAAAAAABACAAAAAj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员工培训</w:t>
                        </w:r>
                      </w:p>
                    </w:txbxContent>
                  </v:textbox>
                </v:shape>
                <v:shape id="文本框 87" o:spid="_x0000_s1026" o:spt="202" type="#_x0000_t202" style="position:absolute;left:1357630;top:4231640;height:295910;width:104203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h5EeNQAAAAFAQAADwAAAAAAAAABACAAAAAiAAAAZHJz&#10;L2Rvd25yZXYueG1sUEsBAhQAFAAAAAgAh07iQHXX8CYIAgAA6AMAAA4AAAAAAAAAAQAgAAAAIwEA&#10;AGRycy9lMm9Eb2MueG1sUEsFBgAAAAAGAAYAWQEAAJ0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服务商培训</w:t>
                        </w:r>
                      </w:p>
                    </w:txbxContent>
                  </v:textbox>
                </v:shape>
                <v:shape id="文本框 88" o:spid="_x0000_s1026" o:spt="202" type="#_x0000_t202" style="position:absolute;left:1356995;top:3533140;height:295910;width:104203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HkR41AAAAAUBAAAPAAAAAAAAAAEAIAAAACIAAABkcnMv&#10;ZG93bnJldi54bWxQSwECFAAUAAAACACHTuJAkst0pQcCAADoAwAADgAAAAAAAAABACAAAAAj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课程及模板管理</w:t>
                        </w:r>
                      </w:p>
                    </w:txbxContent>
                  </v:textbox>
                </v:shape>
                <v:rect id="矩形 89" o:spid="_x0000_s1026" o:spt="1" style="position:absolute;left:1323975;top:3280410;height:2388870;width:1156970;" filled="f" stroked="t" coordsize="21600,21600" o:gfxdata="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JU&#10;ng7SAAAABQEAAA8AAAAAAAAAAQAgAAAAIgAAAGRycy9kb3ducmV2LnhtbFBLAQIUABQAAAAIAIdO&#10;4kBFd21z8AEAAMMDAAAOAAAAAAAAAAEAIAAAACEBAABkcnMvZTJvRG9jLnhtbFBLBQYAAAAABgAG&#10;AFkBAACDBQAAAAA=&#10;">
                  <v:fill on="f" focussize="0,0"/>
                  <v:stroke color="#000000" joinstyle="miter" dashstyle="dash"/>
                  <v:imagedata o:title=""/>
                  <o:lock v:ext="edit" aspectratio="f"/>
                </v:rect>
                <v:shape id="文本框 90" o:spid="_x0000_s1026" o:spt="202" type="#_x0000_t202" style="position:absolute;left:1323975;top:3249930;height:253365;width:1054100;" filled="f" stroked="f" coordsize="21600,21600" o:gfxdata="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fnBtzSAAAABQEAAA8AAAAAAAAAAQAgAAAAIgAAAGRycy9kb3ducmV2LnhtbFBLAQIU&#10;ABQAAAAIAIdO4kDH4Xwi+QEAAL8DAAAOAAAAAAAAAAEAIAAAACEBAABkcnMvZTJvRG9jLnhtbFBL&#10;BQYAAAAABgAGAFkBAACMBQ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培训</w:t>
                        </w:r>
                      </w:p>
                    </w:txbxContent>
                  </v:textbox>
                </v:shape>
                <v:shape id="文本框 91" o:spid="_x0000_s1026" o:spt="202" type="#_x0000_t202" style="position:absolute;left:2653030;top:3878580;height:295910;width:101409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HkR41AAAAAUBAAAPAAAAAAAAAAEAIAAAACIAAABkcnMv&#10;ZG93bnJldi54bWxQSwECFAAUAAAACACHTuJAfls7nQcCAADoAwAADgAAAAAAAAABACAAAAAj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设备基础数据</w:t>
                        </w:r>
                      </w:p>
                    </w:txbxContent>
                  </v:textbox>
                </v:shape>
                <v:shape id="文本框 92" o:spid="_x0000_s1026" o:spt="202" type="#_x0000_t202" style="position:absolute;left:2653030;top:4231640;height:295910;width:101409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IeRHjUAAAABQEAAA8AAAAAAAAAAQAgAAAAIgAAAGRy&#10;cy9kb3ducmV2LnhtbFBLAQIUABQAAAAIAIdO4kDtnewzCQIAAOgDAAAOAAAAAAAAAAEAIAAAACMB&#10;AABkcnMvZTJvRG9jLnhtbFBLBQYAAAAABgAGAFkBAACe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备件基础数据</w:t>
                        </w:r>
                      </w:p>
                    </w:txbxContent>
                  </v:textbox>
                </v:shape>
                <v:shape id="文本框 93" o:spid="_x0000_s1026" o:spt="202" type="#_x0000_t202" style="position:absolute;left:2652395;top:3533140;height:295910;width:101409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5EeNQAAAAFAQAADwAAAAAAAAABACAAAAAiAAAAZHJzL2Rv&#10;d25yZXYueG1sUEsBAhQAFAAAAAgAh07iQGzVSH0FAgAA6AMAAA4AAAAAAAAAAQAgAAAAIwEAAGRy&#10;cy9lMm9Eb2MueG1sUEsFBgAAAAAGAAYAWQEAAJo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服务指标</w:t>
                        </w:r>
                      </w:p>
                    </w:txbxContent>
                  </v:textbox>
                </v:shape>
                <v:rect id="矩形 94" o:spid="_x0000_s1026" o:spt="1" style="position:absolute;left:2562225;top:3280410;height:2388870;width:1190625;" filled="f" stroked="t" coordsize="21600,21600" o:gfxdata="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lSe&#10;DtIAAAAFAQAADwAAAAAAAAABACAAAAAiAAAAZHJzL2Rvd25yZXYueG1sUEsBAhQAFAAAAAgAh07i&#10;QCiN9XfvAQAAwwMAAA4AAAAAAAAAAQAgAAAAIQEAAGRycy9lMm9Eb2MueG1sUEsFBgAAAAAGAAYA&#10;WQEAAIIFAAAAAA==&#10;">
                  <v:fill on="f" focussize="0,0"/>
                  <v:stroke color="#000000" joinstyle="miter" dashstyle="dash"/>
                  <v:imagedata o:title=""/>
                  <o:lock v:ext="edit" aspectratio="f"/>
                </v:rect>
                <v:shape id="文本框 95" o:spid="_x0000_s1026" o:spt="202" type="#_x0000_t202" style="position:absolute;left:2698750;top:3249930;height:253365;width:906780;" filled="f" stroked="f" coordsize="21600,21600" o:gfxdata="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cG3NIAAAAFAQAADwAAAAAAAAABACAAAAAiAAAAZHJzL2Rvd25yZXYueG1s&#10;UEsBAhQAFAAAAAgAh07iQG14YzX+AQAAvgMAAA4AAAAAAAAAAQAgAAAAIQEAAGRycy9lMm9Eb2Mu&#10;eG1sUEsFBgAAAAAGAAYAWQEAAJEFA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配置</w:t>
                        </w:r>
                      </w:p>
                    </w:txbxContent>
                  </v:textbox>
                </v:shape>
                <v:shape id="文本框 96" o:spid="_x0000_s1026" o:spt="202" type="#_x0000_t202" style="position:absolute;left:3938270;top:3533140;height:295275;width:92011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IeRHjUAAAABQEAAA8AAAAAAAAAAQAgAAAAIgAAAGRycy9k&#10;b3ducmV2LnhtbFBLAQIUABQAAAAIAIdO4kDtZWfLBgIAAOcDAAAOAAAAAAAAAAEAIAAAACMBAABk&#10;cnMvZTJvRG9jLnhtbFBLBQYAAAAABgAGAFkBAACb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流程</w:t>
                        </w:r>
                      </w:p>
                    </w:txbxContent>
                  </v:textbox>
                </v:shape>
                <v:shape id="文本框 97" o:spid="_x0000_s1026" o:spt="202" type="#_x0000_t202" style="position:absolute;left:3938270;top:3885565;height:295275;width:92011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h5EeNQAAAAFAQAADwAAAAAAAAABACAAAAAiAAAAZHJz&#10;L2Rvd25yZXYueG1sUEsBAhQAFAAAAAgAh07iQNPsMUkIAgAA5wMAAA4AAAAAAAAAAQAgAAAAIwEA&#10;AGRycy9lMm9Eb2MueG1sUEsFBgAAAAAGAAYAWQEAAJ0FA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系统作业</w:t>
                        </w:r>
                      </w:p>
                    </w:txbxContent>
                  </v:textbox>
                </v:shape>
                <v:shape id="文本框 98" o:spid="_x0000_s1026" o:spt="202" type="#_x0000_t202" style="position:absolute;left:3938270;top:4228465;height:295275;width:92011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HkR41AAAAAUBAAAPAAAAAAAAAAEAIAAAACIAAABkcnMv&#10;ZG93bnJldi54bWxQSwECFAAUAAAACACHTuJAe755HwcCAADoAwAADgAAAAAAAAABACAAAAAjAQAA&#10;ZHJzL2Uyb0RvYy54bWxQSwUGAAAAAAYABgBZAQAAnA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审批设置</w:t>
                        </w:r>
                      </w:p>
                    </w:txbxContent>
                  </v:textbox>
                </v:shape>
                <v:shape id="文本框 99" o:spid="_x0000_s1026" o:spt="202" type="#_x0000_t202" style="position:absolute;left:3938270;top:4590415;height:295275;width:92011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IeRHjUAAAABQEAAA8AAAAAAAAAAQAgAAAAIgAAAGRy&#10;cy9kb3ducmV2LnhtbFBLAQIUABQAAAAIAIdO4kDvDTYlCQIAAOgDAAAOAAAAAAAAAAEAIAAAACMB&#10;AABkcnMvZTJvRG9jLnhtbFBLBQYAAAAABgAGAFkBAACe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日志</w:t>
                        </w:r>
                      </w:p>
                    </w:txbxContent>
                  </v:textbox>
                </v:shape>
                <v:shape id="文本框 100" o:spid="_x0000_s1026" o:spt="202" type="#_x0000_t202" style="position:absolute;left:3975100;top:3249930;height:253365;width:822325;" filled="f" stroked="f" coordsize="21600,21600" o:gfxdata="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cG3NIAAAAFAQAADwAAAAAAAAABACAAAAAiAAAAZHJzL2Rvd25yZXYueG1sUEsBAhQA&#10;FAAAAAgAh07iQK5MHln4AQAAwAMAAA4AAAAAAAAAAQAgAAAAIQEAAGRycy9lMm9Eb2MueG1sUEsF&#10;BgAAAAAGAAYAWQEAAIsFAAAAAA==&#10;">
                  <v:fill on="f"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color w:val="FFFFFF"/>
                            <w:sz w:val="18"/>
                            <w:szCs w:val="20"/>
                          </w:rPr>
                        </w:pPr>
                        <w:r>
                          <w:rPr>
                            <w:rFonts w:hint="eastAsia" w:ascii="Calibri" w:hAnsi="Calibri" w:eastAsia="仿宋" w:cs="Times New Roman"/>
                            <w:color w:val="FFFFFF"/>
                            <w:sz w:val="18"/>
                            <w:szCs w:val="20"/>
                          </w:rPr>
                          <w:t>设置</w:t>
                        </w:r>
                      </w:p>
                    </w:txbxContent>
                  </v:textbox>
                </v:shape>
                <v:rect id="矩形 101" o:spid="_x0000_s1026" o:spt="1" style="position:absolute;left:3873500;top:3278505;height:2390775;width:1082675;" filled="f" stroked="t" coordsize="21600,21600" o:gfxdata="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lSe&#10;DtIAAAAFAQAADwAAAAAAAAABACAAAAAiAAAAZHJzL2Rvd25yZXYueG1sUEsBAhQAFAAAAAgAh07i&#10;QE5wHObvAQAAxQMAAA4AAAAAAAAAAQAgAAAAIQEAAGRycy9lMm9Eb2MueG1sUEsFBgAAAAAGAAYA&#10;WQEAAIIFAAAAAA==&#10;">
                  <v:fill on="f" focussize="0,0"/>
                  <v:stroke color="#000000" joinstyle="miter" dashstyle="dash"/>
                  <v:imagedata o:title=""/>
                  <o:lock v:ext="edit" aspectratio="f"/>
                </v:rect>
                <v:shape id="文本框 102" o:spid="_x0000_s1026" o:spt="202" type="#_x0000_t202" style="position:absolute;left:2672080;top:4926330;height:295910;width:101409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HkR41AAAAAUBAAAPAAAAAAAAAAEAIAAAACIAAABk&#10;cnMvZG93bnJldi54bWxQSwECFAAUAAAACACHTuJA3B/4sgoCAADqAwAADgAAAAAAAAABACAAAAAj&#10;AQAAZHJzL2Uyb0RvYy54bWxQSwUGAAAAAAYABgBZAQAAnwU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预防性维护配置</w:t>
                        </w:r>
                      </w:p>
                    </w:txbxContent>
                  </v:textbox>
                </v:shape>
                <v:shape id="文本框 103" o:spid="_x0000_s1026" o:spt="202" type="#_x0000_t202" style="position:absolute;left:2672080;top:5279390;height:295910;width:101409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&#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IeRHjUAAAABQEAAA8AAAAAAAAAAQAgAAAAIgAAAGRy&#10;cy9kb3ducmV2LnhtbFBLAQIUABQAAAAIAIdO4kBOcothCQIAAOoDAAAOAAAAAAAAAAEAIAAAACMB&#10;AABkcnMvZTJvRG9jLnhtbFBLBQYAAAAABgAGAFkBAACe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系统配置</w:t>
                        </w:r>
                      </w:p>
                    </w:txbxContent>
                  </v:textbox>
                </v:shape>
                <v:shape id="文本框 104" o:spid="_x0000_s1026" o:spt="202" type="#_x0000_t202" style="position:absolute;left:2671445;top:4580890;height:295910;width:1014095;" fillcolor="#FFC000" filled="t" stroked="f" coordsize="21600,21600" o:gfxdata="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IeRHjUAAAABQEAAA8AAAAAAAAAAQAgAAAAIgAAAGRy&#10;cy9kb3ducmV2LnhtbFBLAQIUABQAAAAIAIdO4kAJjETbCQIAAOoDAAAOAAAAAAAAAAEAIAAAACMB&#10;AABkcnMvZTJvRG9jLnhtbFBLBQYAAAAABgAGAFkBAACeBQAAAAA=&#10;">
                  <v:fill on="t" focussize="0,0"/>
                  <v:stroke on="f" weight="3pt"/>
                  <v:imagedata o:title=""/>
                  <o:lock v:ext="edit" aspectratio="f"/>
                  <v:shadow on="t" color="#7F5F00" opacity="32768f" offset="1pt,2pt" origin="0f,0f" matrix="65536f,0f,0f,65536f"/>
                  <v:textbox>
                    <w:txbxContent>
                      <w:p>
                        <w:pPr>
                          <w:widowControl/>
                          <w:jc w:val="center"/>
                          <w:rPr>
                            <w:rFonts w:hint="eastAsia" w:ascii="Calibri" w:hAnsi="Calibri" w:eastAsia="仿宋" w:cs="Times New Roman"/>
                            <w:sz w:val="18"/>
                            <w:szCs w:val="20"/>
                          </w:rPr>
                        </w:pPr>
                        <w:r>
                          <w:rPr>
                            <w:rFonts w:hint="eastAsia" w:ascii="Calibri" w:hAnsi="Calibri" w:eastAsia="仿宋" w:cs="Times New Roman"/>
                            <w:sz w:val="18"/>
                            <w:szCs w:val="20"/>
                          </w:rPr>
                          <w:t>巡检配置</w:t>
                        </w:r>
                      </w:p>
                    </w:txbxContent>
                  </v:textbox>
                </v:shape>
                <w10:wrap type="none"/>
                <w10:anchorlock/>
              </v:group>
            </w:pict>
          </mc:Fallback>
        </mc:AlternateConten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4"/>
          <w:lang w:val="en-US" w:eastAsia="zh-CN" w:bidi="ar-SA"/>
        </w:rPr>
      </w:pPr>
      <w:bookmarkStart w:id="299" w:name="_Toc307781500"/>
      <w:bookmarkStart w:id="300" w:name="_Toc25651238"/>
      <w:bookmarkStart w:id="301" w:name="_Toc441654309"/>
      <w:r>
        <w:rPr>
          <w:rFonts w:hint="eastAsia" w:ascii="仿宋" w:hAnsi="仿宋" w:eastAsia="仿宋" w:cs="仿宋"/>
          <w:b/>
          <w:kern w:val="2"/>
          <w:sz w:val="28"/>
          <w:szCs w:val="28"/>
          <w:lang w:val="en-US" w:eastAsia="zh-CN" w:bidi="ar-SA"/>
        </w:rPr>
        <w:t>系统功能</w:t>
      </w:r>
      <w:bookmarkEnd w:id="299"/>
      <w:r>
        <w:rPr>
          <w:rFonts w:hint="eastAsia" w:ascii="仿宋" w:hAnsi="仿宋" w:eastAsia="仿宋" w:cs="仿宋"/>
          <w:b/>
          <w:kern w:val="2"/>
          <w:sz w:val="28"/>
          <w:szCs w:val="24"/>
          <w:lang w:val="en-US" w:eastAsia="zh-CN" w:bidi="ar-SA"/>
        </w:rPr>
        <w:t>要求</w:t>
      </w:r>
      <w:bookmarkEnd w:id="300"/>
    </w:p>
    <w:bookmarkEnd w:id="301"/>
    <w:p>
      <w:pPr>
        <w:keepNext/>
        <w:keepLines/>
        <w:numPr>
          <w:ilvl w:val="4"/>
          <w:numId w:val="2"/>
        </w:numPr>
        <w:spacing w:before="0" w:beforeLines="0" w:after="0" w:afterLines="0" w:line="560" w:lineRule="exact"/>
        <w:ind w:left="0" w:firstLine="0"/>
        <w:jc w:val="both"/>
        <w:outlineLvl w:val="4"/>
        <w:rPr>
          <w:rFonts w:ascii="仿宋" w:hAnsi="仿宋" w:eastAsia="仿宋" w:cs="仿宋"/>
          <w:b w:val="0"/>
          <w:bCs/>
          <w:kern w:val="2"/>
          <w:sz w:val="28"/>
          <w:szCs w:val="28"/>
          <w:lang w:val="en-US" w:eastAsia="zh-CN" w:bidi="ar-SA"/>
        </w:rPr>
      </w:pPr>
      <w:bookmarkStart w:id="302" w:name="_Toc307781503"/>
      <w:r>
        <w:rPr>
          <w:rFonts w:hint="eastAsia" w:ascii="仿宋" w:hAnsi="仿宋" w:eastAsia="仿宋" w:cs="仿宋"/>
          <w:b w:val="0"/>
          <w:bCs/>
          <w:kern w:val="2"/>
          <w:sz w:val="28"/>
          <w:szCs w:val="28"/>
          <w:lang w:val="en-US" w:eastAsia="zh-CN" w:bidi="ar-SA"/>
        </w:rPr>
        <w:t>首页展板</w:t>
      </w:r>
    </w:p>
    <w:p>
      <w:pPr>
        <w:widowControl/>
        <w:spacing w:line="560" w:lineRule="exact"/>
        <w:ind w:firstLine="560" w:firstLineChars="200"/>
        <w:textAlignment w:val="center"/>
        <w:rPr>
          <w:rFonts w:ascii="仿宋" w:hAnsi="仿宋" w:eastAsia="仿宋" w:cs="Times New Roman"/>
          <w:sz w:val="28"/>
          <w:szCs w:val="28"/>
          <w:lang w:val="zh-CN"/>
        </w:rPr>
      </w:pPr>
      <w:r>
        <w:rPr>
          <w:rFonts w:hint="eastAsia" w:ascii="仿宋" w:hAnsi="仿宋" w:eastAsia="仿宋" w:cs="Times New Roman"/>
          <w:sz w:val="28"/>
          <w:szCs w:val="28"/>
          <w:lang w:val="zh-CN"/>
        </w:rPr>
        <w:t>首页展板是企业对外的展示平台，应以2D组态和3</w:t>
      </w:r>
      <w:r>
        <w:rPr>
          <w:rFonts w:ascii="仿宋" w:hAnsi="仿宋" w:eastAsia="仿宋" w:cs="Times New Roman"/>
          <w:sz w:val="28"/>
          <w:szCs w:val="28"/>
          <w:lang w:val="zh-CN"/>
        </w:rPr>
        <w:t>D</w:t>
      </w:r>
      <w:r>
        <w:rPr>
          <w:rFonts w:hint="eastAsia" w:ascii="仿宋" w:hAnsi="仿宋" w:eastAsia="仿宋" w:cs="Times New Roman"/>
          <w:sz w:val="28"/>
          <w:szCs w:val="28"/>
          <w:lang w:val="zh-CN"/>
        </w:rPr>
        <w:t>仿真混合方式展示数据中心全局到局部的设备信息。</w:t>
      </w:r>
    </w:p>
    <w:p>
      <w:pPr>
        <w:widowControl/>
        <w:spacing w:line="560" w:lineRule="exact"/>
        <w:ind w:firstLine="560" w:firstLineChars="200"/>
        <w:textAlignment w:val="center"/>
        <w:rPr>
          <w:rFonts w:ascii="仿宋" w:hAnsi="仿宋" w:eastAsia="仿宋" w:cs="Times New Roman"/>
          <w:sz w:val="28"/>
          <w:szCs w:val="28"/>
          <w:lang w:val="zh-CN"/>
        </w:rPr>
      </w:pPr>
      <w:r>
        <w:rPr>
          <w:rFonts w:hint="eastAsia" w:ascii="仿宋" w:hAnsi="仿宋" w:eastAsia="仿宋" w:cs="Times New Roman"/>
          <w:sz w:val="28"/>
          <w:szCs w:val="28"/>
          <w:lang w:val="zh-CN"/>
        </w:rPr>
        <w:t>应能查询设备数据、告警信息、视频和资产数据，展板应内置温度云图、容量管理等显示页面。</w:t>
      </w:r>
    </w:p>
    <w:p>
      <w:pPr>
        <w:widowControl/>
        <w:spacing w:line="560" w:lineRule="exact"/>
        <w:ind w:firstLine="560" w:firstLineChars="200"/>
        <w:textAlignment w:val="center"/>
        <w:rPr>
          <w:rFonts w:ascii="仿宋" w:hAnsi="仿宋" w:eastAsia="仿宋" w:cs="Times New Roman"/>
          <w:sz w:val="28"/>
          <w:szCs w:val="28"/>
          <w:lang w:val="zh-CN"/>
        </w:rPr>
      </w:pPr>
      <w:r>
        <w:rPr>
          <w:rFonts w:hint="eastAsia" w:ascii="仿宋" w:hAnsi="仿宋" w:eastAsia="仿宋" w:cs="Times New Roman"/>
          <w:sz w:val="28"/>
          <w:szCs w:val="28"/>
          <w:lang w:val="zh-CN"/>
        </w:rPr>
        <w:t>应提供实时KPI指标，KPI指标随大楼、楼层等展示区域的变化进行动态调整KP</w:t>
      </w:r>
      <w:r>
        <w:rPr>
          <w:rFonts w:ascii="仿宋" w:hAnsi="仿宋" w:eastAsia="仿宋" w:cs="Times New Roman"/>
          <w:sz w:val="28"/>
          <w:szCs w:val="28"/>
          <w:lang w:val="zh-CN"/>
        </w:rPr>
        <w:t>I</w:t>
      </w:r>
      <w:r>
        <w:rPr>
          <w:rFonts w:hint="eastAsia" w:ascii="仿宋" w:hAnsi="仿宋" w:eastAsia="仿宋" w:cs="Times New Roman"/>
          <w:sz w:val="28"/>
          <w:szCs w:val="28"/>
          <w:lang w:val="zh-CN"/>
        </w:rPr>
        <w:t>指标，KPI数据应匹配展示场景。</w:t>
      </w:r>
    </w:p>
    <w:p>
      <w:pPr>
        <w:widowControl/>
        <w:spacing w:line="560" w:lineRule="exact"/>
        <w:ind w:firstLine="560" w:firstLineChars="200"/>
        <w:textAlignment w:val="center"/>
        <w:rPr>
          <w:rFonts w:ascii="仿宋" w:hAnsi="仿宋" w:eastAsia="仿宋" w:cs="Times New Roman"/>
          <w:sz w:val="28"/>
          <w:szCs w:val="28"/>
          <w:lang w:val="zh-CN"/>
        </w:rPr>
      </w:pPr>
      <w:r>
        <w:rPr>
          <w:rFonts w:hint="eastAsia" w:ascii="仿宋" w:hAnsi="仿宋" w:eastAsia="仿宋" w:cs="Times New Roman"/>
          <w:sz w:val="28"/>
          <w:szCs w:val="28"/>
          <w:lang w:val="zh-CN"/>
        </w:rPr>
        <w:t>首页展板应具备一定的灵活性，支持用户的个性化定制需求。</w:t>
      </w:r>
    </w:p>
    <w:p>
      <w:pPr>
        <w:keepNext/>
        <w:keepLines/>
        <w:numPr>
          <w:ilvl w:val="4"/>
          <w:numId w:val="2"/>
        </w:numPr>
        <w:spacing w:before="0" w:beforeLines="0" w:after="0" w:afterLines="0" w:line="560" w:lineRule="exact"/>
        <w:ind w:left="0" w:firstLine="0"/>
        <w:jc w:val="both"/>
        <w:outlineLvl w:val="4"/>
        <w:rPr>
          <w:rFonts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设施监控</w:t>
      </w:r>
    </w:p>
    <w:p>
      <w:pPr>
        <w:widowControl/>
        <w:ind w:firstLine="495" w:firstLineChars="177"/>
        <w:rPr>
          <w:rFonts w:ascii="仿宋" w:hAnsi="仿宋" w:eastAsia="仿宋" w:cs="Times New Roman"/>
          <w:color w:val="000000"/>
          <w:sz w:val="28"/>
          <w:szCs w:val="24"/>
        </w:rPr>
      </w:pPr>
      <w:r>
        <w:rPr>
          <w:rFonts w:hint="eastAsia" w:ascii="仿宋" w:hAnsi="仿宋" w:eastAsia="仿宋" w:cs="Times New Roman"/>
          <w:color w:val="000000"/>
          <w:sz w:val="28"/>
          <w:szCs w:val="24"/>
        </w:rPr>
        <w:t>现场监控应支持3D仿真监控、列表监控、2D组态</w:t>
      </w:r>
      <w:r>
        <w:rPr>
          <w:rFonts w:ascii="仿宋" w:hAnsi="仿宋" w:eastAsia="仿宋" w:cs="Times New Roman"/>
          <w:color w:val="000000"/>
          <w:sz w:val="28"/>
          <w:szCs w:val="24"/>
        </w:rPr>
        <w:t>监控</w:t>
      </w:r>
      <w:r>
        <w:rPr>
          <w:rFonts w:hint="eastAsia" w:ascii="仿宋" w:hAnsi="仿宋" w:eastAsia="仿宋" w:cs="Times New Roman"/>
          <w:color w:val="000000"/>
          <w:sz w:val="28"/>
          <w:szCs w:val="24"/>
        </w:rPr>
        <w:t>三种模式，内容上应包括实时数据、视频、门禁和资产信息。</w:t>
      </w:r>
    </w:p>
    <w:p>
      <w:pPr>
        <w:numPr>
          <w:ilvl w:val="0"/>
          <w:numId w:val="57"/>
        </w:numPr>
        <w:ind w:left="900" w:hanging="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3D仿真监控</w:t>
      </w:r>
    </w:p>
    <w:p>
      <w:pPr>
        <w:widowControl/>
        <w:ind w:firstLine="495" w:firstLineChars="177"/>
        <w:rPr>
          <w:rFonts w:ascii="仿宋" w:hAnsi="仿宋" w:eastAsia="仿宋" w:cs="Times New Roman"/>
          <w:color w:val="000000"/>
          <w:sz w:val="28"/>
          <w:szCs w:val="24"/>
        </w:rPr>
      </w:pPr>
      <w:r>
        <w:rPr>
          <w:rFonts w:ascii="仿宋" w:hAnsi="仿宋" w:eastAsia="仿宋" w:cs="Times New Roman"/>
          <w:color w:val="000000"/>
          <w:sz w:val="28"/>
          <w:szCs w:val="24"/>
        </w:rPr>
        <w:t>3D</w:t>
      </w:r>
      <w:r>
        <w:rPr>
          <w:rFonts w:hint="eastAsia" w:ascii="仿宋" w:hAnsi="仿宋" w:eastAsia="仿宋" w:cs="Times New Roman"/>
          <w:color w:val="000000"/>
          <w:sz w:val="28"/>
          <w:szCs w:val="24"/>
        </w:rPr>
        <w:t>仿真应支持多种视图方式，至少</w:t>
      </w:r>
      <w:r>
        <w:rPr>
          <w:rFonts w:ascii="仿宋" w:hAnsi="仿宋" w:eastAsia="仿宋" w:cs="Times New Roman"/>
          <w:color w:val="000000"/>
          <w:sz w:val="28"/>
          <w:szCs w:val="24"/>
        </w:rPr>
        <w:t>提供第一人称、正视、俯视、左视和右视五种视图方式。</w:t>
      </w:r>
    </w:p>
    <w:p>
      <w:pPr>
        <w:widowControl/>
        <w:ind w:firstLine="495" w:firstLineChars="177"/>
        <w:rPr>
          <w:rFonts w:ascii="仿宋" w:hAnsi="仿宋" w:eastAsia="仿宋" w:cs="Times New Roman"/>
          <w:color w:val="000000"/>
          <w:sz w:val="28"/>
          <w:szCs w:val="24"/>
        </w:rPr>
      </w:pPr>
      <w:r>
        <w:rPr>
          <w:rFonts w:hint="eastAsia" w:ascii="仿宋" w:hAnsi="仿宋" w:eastAsia="仿宋" w:cs="Times New Roman"/>
          <w:color w:val="000000"/>
          <w:sz w:val="28"/>
          <w:szCs w:val="24"/>
        </w:rPr>
        <w:t>系统应</w:t>
      </w:r>
      <w:r>
        <w:rPr>
          <w:rFonts w:ascii="仿宋" w:hAnsi="仿宋" w:eastAsia="仿宋" w:cs="Times New Roman"/>
          <w:color w:val="000000"/>
          <w:sz w:val="28"/>
          <w:szCs w:val="24"/>
        </w:rPr>
        <w:t>支持以三维的形式展现整体机房的效果，可以做到镜头拉升,前进/后退及以360旋转方式展示机房</w:t>
      </w:r>
      <w:r>
        <w:rPr>
          <w:rFonts w:hint="eastAsia" w:ascii="仿宋" w:hAnsi="仿宋" w:eastAsia="仿宋" w:cs="Times New Roman"/>
          <w:color w:val="000000"/>
          <w:sz w:val="28"/>
          <w:szCs w:val="24"/>
        </w:rPr>
        <w:t>。</w:t>
      </w:r>
    </w:p>
    <w:p>
      <w:pPr>
        <w:widowControl/>
        <w:ind w:firstLine="495" w:firstLineChars="177"/>
        <w:rPr>
          <w:rFonts w:ascii="仿宋" w:hAnsi="仿宋" w:eastAsia="仿宋" w:cs="Times New Roman"/>
          <w:color w:val="000000"/>
          <w:sz w:val="28"/>
          <w:szCs w:val="24"/>
        </w:rPr>
      </w:pPr>
      <w:r>
        <w:rPr>
          <w:rFonts w:hint="eastAsia" w:ascii="仿宋" w:hAnsi="仿宋" w:eastAsia="仿宋" w:cs="Times New Roman"/>
          <w:color w:val="000000"/>
          <w:sz w:val="28"/>
          <w:szCs w:val="24"/>
        </w:rPr>
        <w:t>系统应</w:t>
      </w:r>
      <w:r>
        <w:rPr>
          <w:rFonts w:ascii="仿宋" w:hAnsi="仿宋" w:eastAsia="仿宋" w:cs="Times New Roman"/>
          <w:color w:val="000000"/>
          <w:sz w:val="28"/>
          <w:szCs w:val="24"/>
        </w:rPr>
        <w:t>具备以3D形式在</w:t>
      </w:r>
      <w:r>
        <w:rPr>
          <w:rFonts w:hint="eastAsia" w:ascii="仿宋" w:hAnsi="仿宋" w:eastAsia="仿宋" w:cs="Times New Roman"/>
          <w:color w:val="000000"/>
          <w:sz w:val="28"/>
          <w:szCs w:val="24"/>
        </w:rPr>
        <w:t>监控中心</w:t>
      </w:r>
      <w:r>
        <w:rPr>
          <w:rFonts w:ascii="仿宋" w:hAnsi="仿宋" w:eastAsia="仿宋" w:cs="Times New Roman"/>
          <w:color w:val="000000"/>
          <w:sz w:val="28"/>
          <w:szCs w:val="24"/>
        </w:rPr>
        <w:t>查看设备的具体位置、运行状态、运行曲线等</w:t>
      </w:r>
      <w:r>
        <w:rPr>
          <w:rFonts w:hint="eastAsia" w:ascii="仿宋" w:hAnsi="仿宋" w:eastAsia="仿宋" w:cs="Times New Roman"/>
          <w:color w:val="000000"/>
          <w:sz w:val="28"/>
          <w:szCs w:val="24"/>
        </w:rPr>
        <w:t>。系统应提供过滤功能，</w:t>
      </w:r>
      <w:r>
        <w:rPr>
          <w:rFonts w:ascii="仿宋" w:hAnsi="仿宋" w:eastAsia="仿宋" w:cs="Times New Roman"/>
          <w:color w:val="000000"/>
          <w:sz w:val="28"/>
          <w:szCs w:val="24"/>
        </w:rPr>
        <w:t>通过房间、设备告警和设备分类三种方式过滤，浏览设备和环境数据。</w:t>
      </w:r>
    </w:p>
    <w:p>
      <w:pPr>
        <w:widowControl/>
        <w:ind w:firstLine="495" w:firstLineChars="177"/>
        <w:rPr>
          <w:rFonts w:ascii="仿宋" w:hAnsi="仿宋" w:eastAsia="仿宋" w:cs="Times New Roman"/>
          <w:color w:val="000000"/>
          <w:sz w:val="28"/>
          <w:szCs w:val="24"/>
        </w:rPr>
      </w:pPr>
      <w:r>
        <w:rPr>
          <w:rFonts w:ascii="仿宋" w:hAnsi="仿宋" w:eastAsia="仿宋" w:cs="Times New Roman"/>
          <w:color w:val="000000"/>
          <w:sz w:val="28"/>
          <w:szCs w:val="24"/>
        </w:rPr>
        <w:t>所有告警信息采用红、橙、黄、蓝四种颜色的闪烁色块提醒</w:t>
      </w:r>
      <w:r>
        <w:rPr>
          <w:rFonts w:hint="eastAsia" w:ascii="仿宋" w:hAnsi="仿宋" w:eastAsia="仿宋" w:cs="Times New Roman"/>
          <w:color w:val="000000"/>
          <w:sz w:val="28"/>
          <w:szCs w:val="24"/>
        </w:rPr>
        <w:t>，在3D告警列表中通过</w:t>
      </w:r>
      <w:r>
        <w:rPr>
          <w:rFonts w:ascii="仿宋" w:hAnsi="仿宋" w:eastAsia="仿宋" w:cs="Times New Roman"/>
          <w:color w:val="000000"/>
          <w:sz w:val="28"/>
          <w:szCs w:val="24"/>
        </w:rPr>
        <w:t>告警</w:t>
      </w:r>
      <w:r>
        <w:rPr>
          <w:rFonts w:hint="eastAsia" w:ascii="仿宋" w:hAnsi="仿宋" w:eastAsia="仿宋" w:cs="Times New Roman"/>
          <w:color w:val="000000"/>
          <w:sz w:val="28"/>
          <w:szCs w:val="24"/>
        </w:rPr>
        <w:t>信息</w:t>
      </w:r>
      <w:r>
        <w:rPr>
          <w:rFonts w:ascii="仿宋" w:hAnsi="仿宋" w:eastAsia="仿宋" w:cs="Times New Roman"/>
          <w:color w:val="000000"/>
          <w:sz w:val="28"/>
          <w:szCs w:val="24"/>
        </w:rPr>
        <w:t>可</w:t>
      </w:r>
      <w:r>
        <w:rPr>
          <w:rFonts w:hint="eastAsia" w:ascii="仿宋" w:hAnsi="仿宋" w:eastAsia="仿宋" w:cs="Times New Roman"/>
          <w:color w:val="000000"/>
          <w:sz w:val="28"/>
          <w:szCs w:val="24"/>
        </w:rPr>
        <w:t>反向</w:t>
      </w:r>
      <w:r>
        <w:rPr>
          <w:rFonts w:ascii="仿宋" w:hAnsi="仿宋" w:eastAsia="仿宋" w:cs="Times New Roman"/>
          <w:color w:val="000000"/>
          <w:sz w:val="28"/>
          <w:szCs w:val="24"/>
        </w:rPr>
        <w:t>定位告警</w:t>
      </w:r>
      <w:r>
        <w:rPr>
          <w:rFonts w:hint="eastAsia" w:ascii="仿宋" w:hAnsi="仿宋" w:eastAsia="仿宋" w:cs="Times New Roman"/>
          <w:color w:val="000000"/>
          <w:sz w:val="28"/>
          <w:szCs w:val="24"/>
        </w:rPr>
        <w:t>物理</w:t>
      </w:r>
      <w:r>
        <w:rPr>
          <w:rFonts w:ascii="仿宋" w:hAnsi="仿宋" w:eastAsia="仿宋" w:cs="Times New Roman"/>
          <w:color w:val="000000"/>
          <w:sz w:val="28"/>
          <w:szCs w:val="24"/>
        </w:rPr>
        <w:t>位置，查看设备具体状态和详细告警数据。</w:t>
      </w:r>
    </w:p>
    <w:p>
      <w:pPr>
        <w:widowControl/>
        <w:ind w:firstLine="495" w:firstLineChars="177"/>
        <w:rPr>
          <w:rFonts w:ascii="仿宋" w:hAnsi="仿宋" w:eastAsia="仿宋" w:cs="Times New Roman"/>
          <w:color w:val="000000"/>
          <w:sz w:val="28"/>
          <w:szCs w:val="24"/>
        </w:rPr>
      </w:pPr>
      <w:r>
        <w:rPr>
          <w:rFonts w:ascii="仿宋" w:hAnsi="仿宋" w:eastAsia="仿宋" w:cs="Times New Roman"/>
          <w:color w:val="000000"/>
          <w:sz w:val="28"/>
          <w:szCs w:val="24"/>
        </w:rPr>
        <w:t>3D</w:t>
      </w:r>
      <w:r>
        <w:rPr>
          <w:rFonts w:hint="eastAsia" w:ascii="仿宋" w:hAnsi="仿宋" w:eastAsia="仿宋" w:cs="Times New Roman"/>
          <w:color w:val="000000"/>
          <w:sz w:val="28"/>
          <w:szCs w:val="24"/>
        </w:rPr>
        <w:t>仿真应支持设备的筛选功能，通过筛选功能只显示关注的设备。</w:t>
      </w:r>
    </w:p>
    <w:p>
      <w:pPr>
        <w:widowControl/>
        <w:ind w:firstLine="495" w:firstLineChars="177"/>
        <w:rPr>
          <w:rFonts w:ascii="仿宋" w:hAnsi="仿宋" w:eastAsia="仿宋" w:cs="Times New Roman"/>
          <w:color w:val="000000"/>
          <w:sz w:val="28"/>
          <w:szCs w:val="24"/>
        </w:rPr>
      </w:pPr>
      <w:r>
        <w:rPr>
          <w:rFonts w:hint="eastAsia" w:ascii="仿宋" w:hAnsi="仿宋" w:eastAsia="仿宋" w:cs="Times New Roman"/>
          <w:color w:val="000000"/>
          <w:sz w:val="28"/>
          <w:szCs w:val="24"/>
        </w:rPr>
        <w:t>应</w:t>
      </w:r>
      <w:r>
        <w:rPr>
          <w:rFonts w:ascii="仿宋" w:hAnsi="仿宋" w:eastAsia="仿宋" w:cs="Times New Roman"/>
          <w:color w:val="000000"/>
          <w:sz w:val="28"/>
          <w:szCs w:val="24"/>
        </w:rPr>
        <w:t>提供</w:t>
      </w:r>
      <w:r>
        <w:rPr>
          <w:rFonts w:hint="eastAsia" w:ascii="仿宋" w:hAnsi="仿宋" w:eastAsia="仿宋" w:cs="Times New Roman"/>
          <w:color w:val="000000"/>
          <w:sz w:val="28"/>
          <w:szCs w:val="24"/>
        </w:rPr>
        <w:t>3D视图</w:t>
      </w:r>
      <w:r>
        <w:rPr>
          <w:rFonts w:ascii="仿宋" w:hAnsi="仿宋" w:eastAsia="仿宋" w:cs="Times New Roman"/>
          <w:color w:val="000000"/>
          <w:sz w:val="28"/>
          <w:szCs w:val="24"/>
        </w:rPr>
        <w:t>告警自动巡检功能，</w:t>
      </w:r>
      <w:r>
        <w:rPr>
          <w:rFonts w:hint="eastAsia" w:ascii="仿宋" w:hAnsi="仿宋" w:eastAsia="仿宋" w:cs="Times New Roman"/>
          <w:color w:val="000000"/>
          <w:sz w:val="28"/>
          <w:szCs w:val="24"/>
        </w:rPr>
        <w:t>轮询各个告警机房，并显示告警信息。应具备房间巡游功能，系统将以巡游方式（从第一个房间开始巡游，每个房间巡游360度）展示所有房间。</w:t>
      </w:r>
    </w:p>
    <w:p>
      <w:pPr>
        <w:widowControl/>
        <w:ind w:firstLine="495" w:firstLineChars="177"/>
        <w:rPr>
          <w:rFonts w:ascii="仿宋" w:hAnsi="仿宋" w:eastAsia="仿宋" w:cs="Times New Roman"/>
          <w:color w:val="000000"/>
          <w:sz w:val="28"/>
          <w:szCs w:val="24"/>
        </w:rPr>
      </w:pPr>
      <w:r>
        <w:rPr>
          <w:rFonts w:hint="eastAsia" w:ascii="仿宋" w:hAnsi="仿宋" w:eastAsia="仿宋" w:cs="Times New Roman"/>
          <w:color w:val="000000"/>
          <w:sz w:val="28"/>
          <w:szCs w:val="24"/>
        </w:rPr>
        <w:t>系统应提供3</w:t>
      </w:r>
      <w:r>
        <w:rPr>
          <w:rFonts w:ascii="仿宋" w:hAnsi="仿宋" w:eastAsia="仿宋" w:cs="Times New Roman"/>
          <w:color w:val="000000"/>
          <w:sz w:val="28"/>
          <w:szCs w:val="24"/>
        </w:rPr>
        <w:t>D</w:t>
      </w:r>
      <w:r>
        <w:rPr>
          <w:rFonts w:hint="eastAsia" w:ascii="仿宋" w:hAnsi="仿宋" w:eastAsia="仿宋" w:cs="Times New Roman"/>
          <w:color w:val="000000"/>
          <w:sz w:val="28"/>
          <w:szCs w:val="24"/>
        </w:rPr>
        <w:t>仿真工具、</w:t>
      </w:r>
      <w:r>
        <w:rPr>
          <w:rFonts w:ascii="仿宋" w:hAnsi="仿宋" w:eastAsia="仿宋" w:cs="Times New Roman"/>
          <w:color w:val="000000"/>
          <w:sz w:val="28"/>
          <w:szCs w:val="24"/>
        </w:rPr>
        <w:t>丰富的</w:t>
      </w:r>
      <w:r>
        <w:rPr>
          <w:rFonts w:hint="eastAsia" w:ascii="仿宋" w:hAnsi="仿宋" w:eastAsia="仿宋" w:cs="Times New Roman"/>
          <w:color w:val="000000"/>
          <w:sz w:val="28"/>
          <w:szCs w:val="24"/>
        </w:rPr>
        <w:t>设备</w:t>
      </w:r>
      <w:r>
        <w:rPr>
          <w:rFonts w:ascii="仿宋" w:hAnsi="仿宋" w:eastAsia="仿宋" w:cs="Times New Roman"/>
          <w:color w:val="000000"/>
          <w:sz w:val="28"/>
          <w:szCs w:val="24"/>
        </w:rPr>
        <w:t>模板和强大的布局功能，</w:t>
      </w:r>
      <w:r>
        <w:rPr>
          <w:rFonts w:hint="eastAsia" w:ascii="仿宋" w:hAnsi="仿宋" w:eastAsia="仿宋" w:cs="Times New Roman"/>
          <w:color w:val="000000"/>
          <w:sz w:val="28"/>
          <w:szCs w:val="24"/>
        </w:rPr>
        <w:t>以3D</w:t>
      </w:r>
      <w:r>
        <w:rPr>
          <w:rFonts w:ascii="仿宋" w:hAnsi="仿宋" w:eastAsia="仿宋" w:cs="Times New Roman"/>
          <w:color w:val="000000"/>
          <w:sz w:val="28"/>
          <w:szCs w:val="24"/>
        </w:rPr>
        <w:t xml:space="preserve"> </w:t>
      </w:r>
      <w:r>
        <w:rPr>
          <w:rFonts w:hint="eastAsia" w:ascii="仿宋" w:hAnsi="仿宋" w:eastAsia="仿宋" w:cs="Times New Roman"/>
          <w:color w:val="000000"/>
          <w:sz w:val="28"/>
          <w:szCs w:val="24"/>
        </w:rPr>
        <w:t>组态的方式实现机房的3D仿真配置。</w:t>
      </w:r>
    </w:p>
    <w:p>
      <w:pPr>
        <w:numPr>
          <w:ilvl w:val="0"/>
          <w:numId w:val="57"/>
        </w:numPr>
        <w:ind w:left="900" w:hanging="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实时列表监控</w:t>
      </w:r>
    </w:p>
    <w:p>
      <w:pPr>
        <w:widowControl/>
        <w:ind w:firstLine="495" w:firstLineChars="177"/>
        <w:rPr>
          <w:rFonts w:ascii="仿宋" w:hAnsi="仿宋" w:eastAsia="仿宋" w:cs="Times New Roman"/>
          <w:color w:val="000000"/>
          <w:sz w:val="28"/>
          <w:szCs w:val="24"/>
        </w:rPr>
      </w:pPr>
      <w:r>
        <w:rPr>
          <w:rFonts w:hint="eastAsia" w:ascii="仿宋" w:hAnsi="仿宋" w:eastAsia="仿宋" w:cs="Times New Roman"/>
          <w:color w:val="000000"/>
          <w:sz w:val="28"/>
          <w:szCs w:val="24"/>
        </w:rPr>
        <w:t>实时列表监控应</w:t>
      </w:r>
      <w:r>
        <w:rPr>
          <w:rFonts w:ascii="仿宋" w:hAnsi="仿宋" w:eastAsia="仿宋" w:cs="Times New Roman"/>
          <w:color w:val="000000"/>
          <w:sz w:val="28"/>
          <w:szCs w:val="24"/>
        </w:rPr>
        <w:t>采用树形结构呈现方式，通过选择树形结构上的</w:t>
      </w:r>
      <w:r>
        <w:rPr>
          <w:rFonts w:hint="eastAsia" w:ascii="仿宋" w:hAnsi="仿宋" w:eastAsia="仿宋" w:cs="Times New Roman"/>
          <w:color w:val="000000"/>
          <w:sz w:val="28"/>
          <w:szCs w:val="24"/>
        </w:rPr>
        <w:t>设备</w:t>
      </w:r>
      <w:r>
        <w:rPr>
          <w:rFonts w:ascii="仿宋" w:hAnsi="仿宋" w:eastAsia="仿宋" w:cs="Times New Roman"/>
          <w:color w:val="000000"/>
          <w:sz w:val="28"/>
          <w:szCs w:val="24"/>
        </w:rPr>
        <w:t>节点，实现机房动力设备和环境信息的浏览和控制。</w:t>
      </w:r>
    </w:p>
    <w:p>
      <w:pPr>
        <w:widowControl/>
        <w:ind w:firstLine="495" w:firstLineChars="177"/>
        <w:rPr>
          <w:rFonts w:ascii="仿宋" w:hAnsi="仿宋" w:eastAsia="仿宋" w:cs="Times New Roman"/>
          <w:color w:val="000000"/>
          <w:sz w:val="28"/>
          <w:szCs w:val="24"/>
        </w:rPr>
      </w:pPr>
      <w:r>
        <w:rPr>
          <w:rFonts w:ascii="仿宋" w:hAnsi="仿宋" w:eastAsia="仿宋" w:cs="Times New Roman"/>
          <w:color w:val="000000"/>
          <w:sz w:val="28"/>
          <w:szCs w:val="24"/>
        </w:rPr>
        <w:t>系统</w:t>
      </w:r>
      <w:r>
        <w:rPr>
          <w:rFonts w:hint="eastAsia" w:ascii="仿宋" w:hAnsi="仿宋" w:eastAsia="仿宋" w:cs="Times New Roman"/>
          <w:color w:val="000000"/>
          <w:sz w:val="28"/>
          <w:szCs w:val="24"/>
        </w:rPr>
        <w:t>实时列表</w:t>
      </w:r>
      <w:r>
        <w:rPr>
          <w:rFonts w:ascii="仿宋" w:hAnsi="仿宋" w:eastAsia="仿宋" w:cs="Times New Roman"/>
          <w:color w:val="000000"/>
          <w:sz w:val="28"/>
          <w:szCs w:val="24"/>
        </w:rPr>
        <w:t>监控</w:t>
      </w:r>
      <w:r>
        <w:rPr>
          <w:rFonts w:hint="eastAsia" w:ascii="仿宋" w:hAnsi="仿宋" w:eastAsia="仿宋" w:cs="Times New Roman"/>
          <w:color w:val="000000"/>
          <w:sz w:val="28"/>
          <w:szCs w:val="24"/>
        </w:rPr>
        <w:t>应</w:t>
      </w:r>
      <w:r>
        <w:rPr>
          <w:rFonts w:ascii="仿宋" w:hAnsi="仿宋" w:eastAsia="仿宋" w:cs="Times New Roman"/>
          <w:color w:val="000000"/>
          <w:sz w:val="28"/>
          <w:szCs w:val="24"/>
        </w:rPr>
        <w:t>提供设备级组态界面，以图形化的方式展现设备监控</w:t>
      </w:r>
      <w:r>
        <w:rPr>
          <w:rFonts w:hint="eastAsia" w:ascii="仿宋" w:hAnsi="仿宋" w:eastAsia="仿宋" w:cs="Times New Roman"/>
          <w:color w:val="000000"/>
          <w:sz w:val="28"/>
          <w:szCs w:val="24"/>
        </w:rPr>
        <w:t>基础</w:t>
      </w:r>
      <w:r>
        <w:rPr>
          <w:rFonts w:ascii="仿宋" w:hAnsi="仿宋" w:eastAsia="仿宋" w:cs="Times New Roman"/>
          <w:color w:val="000000"/>
          <w:sz w:val="28"/>
          <w:szCs w:val="24"/>
        </w:rPr>
        <w:t>数据</w:t>
      </w:r>
      <w:r>
        <w:rPr>
          <w:rFonts w:hint="eastAsia" w:ascii="仿宋" w:hAnsi="仿宋" w:eastAsia="仿宋" w:cs="Times New Roman"/>
          <w:color w:val="000000"/>
          <w:sz w:val="28"/>
          <w:szCs w:val="24"/>
        </w:rPr>
        <w:t>，同时系统应提供监控详情入口，用以查看分析所有采样数据。</w:t>
      </w:r>
    </w:p>
    <w:p>
      <w:pPr>
        <w:widowControl/>
        <w:ind w:firstLine="495" w:firstLineChars="177"/>
        <w:rPr>
          <w:rFonts w:ascii="仿宋" w:hAnsi="仿宋" w:eastAsia="仿宋" w:cs="Times New Roman"/>
          <w:color w:val="000000"/>
          <w:sz w:val="28"/>
          <w:szCs w:val="24"/>
        </w:rPr>
      </w:pPr>
      <w:r>
        <w:rPr>
          <w:rFonts w:hint="eastAsia" w:ascii="仿宋" w:hAnsi="仿宋" w:eastAsia="仿宋" w:cs="Times New Roman"/>
          <w:color w:val="000000"/>
          <w:sz w:val="28"/>
          <w:szCs w:val="24"/>
        </w:rPr>
        <w:t>通过实时监控列表的详情可查看设备的所有测点信息，包含设备的信号测点、</w:t>
      </w:r>
      <w:r>
        <w:rPr>
          <w:rFonts w:ascii="仿宋" w:hAnsi="仿宋" w:eastAsia="仿宋" w:cs="Times New Roman"/>
          <w:color w:val="000000"/>
          <w:sz w:val="28"/>
          <w:szCs w:val="24"/>
        </w:rPr>
        <w:t>告警</w:t>
      </w:r>
      <w:r>
        <w:rPr>
          <w:rFonts w:hint="eastAsia" w:ascii="仿宋" w:hAnsi="仿宋" w:eastAsia="仿宋" w:cs="Times New Roman"/>
          <w:color w:val="000000"/>
          <w:sz w:val="28"/>
          <w:szCs w:val="24"/>
        </w:rPr>
        <w:t>测点、</w:t>
      </w:r>
      <w:r>
        <w:rPr>
          <w:rFonts w:ascii="仿宋" w:hAnsi="仿宋" w:eastAsia="仿宋" w:cs="Times New Roman"/>
          <w:color w:val="000000"/>
          <w:sz w:val="28"/>
          <w:szCs w:val="24"/>
        </w:rPr>
        <w:t>控制</w:t>
      </w:r>
      <w:r>
        <w:rPr>
          <w:rFonts w:hint="eastAsia" w:ascii="仿宋" w:hAnsi="仿宋" w:eastAsia="仿宋" w:cs="Times New Roman"/>
          <w:color w:val="000000"/>
          <w:sz w:val="28"/>
          <w:szCs w:val="24"/>
        </w:rPr>
        <w:t>测点。拒绝测点缺失及遗漏。</w:t>
      </w:r>
    </w:p>
    <w:p>
      <w:pPr>
        <w:widowControl/>
        <w:ind w:firstLine="495" w:firstLineChars="177"/>
        <w:rPr>
          <w:rFonts w:ascii="仿宋" w:hAnsi="仿宋" w:eastAsia="仿宋" w:cs="Times New Roman"/>
          <w:color w:val="000000"/>
          <w:sz w:val="28"/>
          <w:szCs w:val="24"/>
        </w:rPr>
      </w:pPr>
      <w:r>
        <w:rPr>
          <w:rFonts w:hint="eastAsia" w:ascii="仿宋" w:hAnsi="仿宋" w:eastAsia="仿宋" w:cs="Times New Roman"/>
          <w:color w:val="000000"/>
          <w:sz w:val="28"/>
          <w:szCs w:val="24"/>
        </w:rPr>
        <w:t>设备监控界面具备告警条，通过双击当前设备监控界面中的告警条，即会弹出该设备的当前活动告警页面。</w:t>
      </w:r>
    </w:p>
    <w:p>
      <w:pPr>
        <w:widowControl/>
        <w:ind w:firstLine="495" w:firstLineChars="177"/>
        <w:rPr>
          <w:rFonts w:ascii="仿宋" w:hAnsi="仿宋" w:eastAsia="仿宋" w:cs="Times New Roman"/>
          <w:color w:val="000000"/>
          <w:sz w:val="28"/>
          <w:szCs w:val="24"/>
        </w:rPr>
      </w:pPr>
      <w:bookmarkStart w:id="303" w:name="OLE_LINK1"/>
      <w:r>
        <w:rPr>
          <w:rFonts w:hint="eastAsia" w:ascii="仿宋" w:hAnsi="仿宋" w:eastAsia="仿宋" w:cs="Times New Roman"/>
          <w:color w:val="000000"/>
          <w:sz w:val="28"/>
          <w:szCs w:val="24"/>
        </w:rPr>
        <w:t>实时列表</w:t>
      </w:r>
      <w:r>
        <w:rPr>
          <w:rFonts w:ascii="仿宋" w:hAnsi="仿宋" w:eastAsia="仿宋" w:cs="Times New Roman"/>
          <w:color w:val="000000"/>
          <w:sz w:val="28"/>
          <w:szCs w:val="24"/>
        </w:rPr>
        <w:t>监控</w:t>
      </w:r>
      <w:r>
        <w:rPr>
          <w:rFonts w:hint="eastAsia" w:ascii="仿宋" w:hAnsi="仿宋" w:eastAsia="仿宋" w:cs="Times New Roman"/>
          <w:color w:val="000000"/>
          <w:sz w:val="28"/>
          <w:szCs w:val="24"/>
        </w:rPr>
        <w:t>应具备</w:t>
      </w:r>
      <w:r>
        <w:rPr>
          <w:rFonts w:ascii="仿宋" w:hAnsi="仿宋" w:eastAsia="仿宋" w:cs="Times New Roman"/>
          <w:color w:val="000000"/>
          <w:sz w:val="28"/>
          <w:szCs w:val="24"/>
        </w:rPr>
        <w:t>查看信号实时曲线和最近72小时历史曲线</w:t>
      </w:r>
      <w:r>
        <w:rPr>
          <w:rFonts w:hint="eastAsia" w:ascii="仿宋" w:hAnsi="仿宋" w:eastAsia="仿宋" w:cs="Times New Roman"/>
          <w:color w:val="000000"/>
          <w:sz w:val="28"/>
          <w:szCs w:val="24"/>
        </w:rPr>
        <w:t>数据，</w:t>
      </w:r>
      <w:r>
        <w:rPr>
          <w:rFonts w:ascii="仿宋" w:hAnsi="仿宋" w:eastAsia="仿宋" w:cs="Times New Roman"/>
          <w:color w:val="000000"/>
          <w:sz w:val="28"/>
          <w:szCs w:val="24"/>
        </w:rPr>
        <w:t>通过分析曲线走势了解信号变化趋势。</w:t>
      </w:r>
    </w:p>
    <w:bookmarkEnd w:id="303"/>
    <w:p>
      <w:pPr>
        <w:widowControl/>
        <w:ind w:firstLine="495" w:firstLineChars="177"/>
        <w:rPr>
          <w:rFonts w:ascii="仿宋" w:hAnsi="仿宋" w:eastAsia="仿宋" w:cs="Times New Roman"/>
          <w:color w:val="000000"/>
          <w:sz w:val="28"/>
          <w:szCs w:val="24"/>
        </w:rPr>
      </w:pPr>
      <w:r>
        <w:rPr>
          <w:rFonts w:hint="eastAsia" w:ascii="仿宋" w:hAnsi="仿宋" w:eastAsia="仿宋" w:cs="Times New Roman"/>
          <w:color w:val="000000"/>
          <w:sz w:val="28"/>
          <w:szCs w:val="24"/>
        </w:rPr>
        <w:t>设备列表的在线统计信息包括设备通讯状态、告警次数统计（年）</w:t>
      </w:r>
      <w:r>
        <w:rPr>
          <w:rFonts w:ascii="仿宋" w:hAnsi="仿宋" w:eastAsia="仿宋" w:cs="Times New Roman"/>
          <w:color w:val="000000"/>
          <w:sz w:val="28"/>
          <w:szCs w:val="24"/>
        </w:rPr>
        <w:t>、</w:t>
      </w:r>
      <w:r>
        <w:rPr>
          <w:rFonts w:hint="eastAsia" w:ascii="仿宋" w:hAnsi="仿宋" w:eastAsia="仿宋" w:cs="Times New Roman"/>
          <w:color w:val="000000"/>
          <w:sz w:val="28"/>
          <w:szCs w:val="24"/>
        </w:rPr>
        <w:t>设备厂商分布。设备通信状态列表可按设备类别、设备数量、工作状态直观展示设备信息，告警次数统计以年度为单位按一般告警、普通告警、重要告警、</w:t>
      </w:r>
      <w:r>
        <w:rPr>
          <w:rFonts w:ascii="仿宋" w:hAnsi="仿宋" w:eastAsia="仿宋" w:cs="Times New Roman"/>
          <w:color w:val="000000"/>
          <w:sz w:val="28"/>
          <w:szCs w:val="24"/>
        </w:rPr>
        <w:t>紧</w:t>
      </w:r>
      <w:r>
        <w:rPr>
          <w:rFonts w:hint="eastAsia" w:ascii="仿宋" w:hAnsi="仿宋" w:eastAsia="仿宋" w:cs="Times New Roman"/>
          <w:color w:val="000000"/>
          <w:sz w:val="28"/>
          <w:szCs w:val="24"/>
        </w:rPr>
        <w:t>急告警分类统计，设备厂家分布是设备品牌统计数据中心主要厂家的设备数量占比情况，以饼图形式展示。</w:t>
      </w:r>
    </w:p>
    <w:p>
      <w:pPr>
        <w:numPr>
          <w:ilvl w:val="0"/>
          <w:numId w:val="57"/>
        </w:numPr>
        <w:ind w:left="900" w:hanging="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组态监控</w:t>
      </w:r>
    </w:p>
    <w:p>
      <w:pPr>
        <w:widowControl/>
        <w:ind w:firstLine="495" w:firstLineChars="177"/>
        <w:rPr>
          <w:rFonts w:ascii="仿宋" w:hAnsi="仿宋" w:eastAsia="仿宋" w:cs="Times New Roman"/>
          <w:color w:val="000000"/>
          <w:sz w:val="28"/>
          <w:szCs w:val="24"/>
        </w:rPr>
      </w:pPr>
      <w:r>
        <w:rPr>
          <w:rFonts w:hint="eastAsia" w:ascii="仿宋" w:hAnsi="仿宋" w:eastAsia="仿宋" w:cs="Times New Roman"/>
          <w:color w:val="000000"/>
          <w:sz w:val="28"/>
          <w:szCs w:val="24"/>
        </w:rPr>
        <w:t>系统以2D组态的方式提供一种由全局到设备局部的数据浏览方式，查询机房的设备和环境信息，并提供相关的设备控制功能。</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系统</w:t>
      </w:r>
      <w:r>
        <w:rPr>
          <w:rFonts w:hint="eastAsia" w:ascii="仿宋" w:hAnsi="仿宋" w:eastAsia="仿宋" w:cs="Arial"/>
          <w:color w:val="000000"/>
          <w:sz w:val="28"/>
          <w:szCs w:val="20"/>
        </w:rPr>
        <w:t>应提供丰富的组态元件支持2D组态的配置，组态元件包括UPS面板、蓄电池、摄像机等设备原件、温湿度、烟感、红外、水浸等环境元件，以及仪表、信号等通用元件，组态工具以机房布局图为背景，添加组态元件，绑定检测数据实现组态的监控管理页面。</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告警管理</w:t>
      </w:r>
    </w:p>
    <w:p>
      <w:pPr>
        <w:numPr>
          <w:ilvl w:val="0"/>
          <w:numId w:val="58"/>
        </w:numPr>
        <w:ind w:left="900" w:hanging="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告警呈现</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告警管理</w:t>
      </w:r>
      <w:r>
        <w:rPr>
          <w:rFonts w:hint="eastAsia" w:ascii="仿宋" w:hAnsi="仿宋" w:eastAsia="仿宋" w:cs="Arial"/>
          <w:color w:val="000000"/>
          <w:sz w:val="28"/>
          <w:szCs w:val="20"/>
        </w:rPr>
        <w:t>应提供</w:t>
      </w:r>
      <w:r>
        <w:rPr>
          <w:rFonts w:ascii="仿宋" w:hAnsi="仿宋" w:eastAsia="仿宋" w:cs="Arial"/>
          <w:color w:val="000000"/>
          <w:sz w:val="28"/>
          <w:szCs w:val="20"/>
        </w:rPr>
        <w:t>告警设备分类统计</w:t>
      </w:r>
      <w:r>
        <w:rPr>
          <w:rFonts w:hint="eastAsia" w:ascii="仿宋" w:hAnsi="仿宋" w:eastAsia="仿宋" w:cs="Arial"/>
          <w:color w:val="000000"/>
          <w:sz w:val="28"/>
          <w:szCs w:val="20"/>
        </w:rPr>
        <w:t>、告警列表、告警级别统计和告警时长统计于一体的管理功能页面。</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告警列表、告警级别统计和告警时长统计应支持下钻链接，以了解告警信息的具体状况。</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告警时长分析</w:t>
      </w:r>
      <w:r>
        <w:rPr>
          <w:rFonts w:ascii="仿宋" w:hAnsi="仿宋" w:eastAsia="仿宋" w:cs="Arial"/>
          <w:color w:val="000000"/>
          <w:sz w:val="28"/>
          <w:szCs w:val="20"/>
        </w:rPr>
        <w:t>以柱状图的形式呈现各类设备和环境</w:t>
      </w:r>
      <w:r>
        <w:rPr>
          <w:rFonts w:hint="eastAsia" w:ascii="仿宋" w:hAnsi="仿宋" w:eastAsia="仿宋" w:cs="Arial"/>
          <w:color w:val="000000"/>
          <w:sz w:val="28"/>
          <w:szCs w:val="20"/>
        </w:rPr>
        <w:t>，</w:t>
      </w:r>
      <w:r>
        <w:rPr>
          <w:rFonts w:ascii="仿宋" w:hAnsi="仿宋" w:eastAsia="仿宋" w:cs="Arial"/>
          <w:color w:val="000000"/>
          <w:sz w:val="28"/>
          <w:szCs w:val="20"/>
        </w:rPr>
        <w:t>以</w:t>
      </w:r>
      <w:r>
        <w:rPr>
          <w:rFonts w:hint="eastAsia" w:ascii="仿宋" w:hAnsi="仿宋" w:eastAsia="仿宋" w:cs="Arial"/>
          <w:color w:val="000000"/>
          <w:sz w:val="28"/>
          <w:szCs w:val="20"/>
        </w:rPr>
        <w:t>不低于四种</w:t>
      </w:r>
      <w:r>
        <w:rPr>
          <w:rFonts w:ascii="仿宋" w:hAnsi="仿宋" w:eastAsia="仿宋" w:cs="Arial"/>
          <w:color w:val="000000"/>
          <w:sz w:val="28"/>
          <w:szCs w:val="20"/>
        </w:rPr>
        <w:t>告警持续时长的统计数据</w:t>
      </w:r>
      <w:r>
        <w:rPr>
          <w:rFonts w:hint="eastAsia" w:ascii="仿宋" w:hAnsi="仿宋" w:eastAsia="仿宋" w:cs="Arial"/>
          <w:color w:val="000000"/>
          <w:sz w:val="28"/>
          <w:szCs w:val="20"/>
        </w:rPr>
        <w:t>。</w:t>
      </w:r>
      <w:r>
        <w:rPr>
          <w:rFonts w:ascii="仿宋" w:hAnsi="仿宋" w:eastAsia="仿宋" w:cs="Arial"/>
          <w:color w:val="000000"/>
          <w:sz w:val="28"/>
          <w:szCs w:val="20"/>
        </w:rPr>
        <w:t>支持从设备环境分类和告警时长两个角度，查看活动告警详情和设备监控数据的详细情况</w:t>
      </w:r>
      <w:r>
        <w:rPr>
          <w:rFonts w:hint="eastAsia" w:ascii="仿宋" w:hAnsi="仿宋" w:eastAsia="仿宋" w:cs="Arial"/>
          <w:color w:val="000000"/>
          <w:sz w:val="28"/>
          <w:szCs w:val="20"/>
        </w:rPr>
        <w:t>。</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告警列表下钻链接可进入告警设备的数据详情页面，全面了解告警设备的运行状态。</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告警管理应支持</w:t>
      </w:r>
      <w:r>
        <w:rPr>
          <w:rFonts w:ascii="仿宋" w:hAnsi="仿宋" w:eastAsia="仿宋" w:cs="Arial"/>
          <w:color w:val="000000"/>
          <w:sz w:val="28"/>
          <w:szCs w:val="20"/>
        </w:rPr>
        <w:t>四级</w:t>
      </w:r>
      <w:r>
        <w:rPr>
          <w:rFonts w:hint="eastAsia" w:ascii="仿宋" w:hAnsi="仿宋" w:eastAsia="仿宋" w:cs="Arial"/>
          <w:color w:val="000000"/>
          <w:sz w:val="28"/>
          <w:szCs w:val="20"/>
        </w:rPr>
        <w:t>告警</w:t>
      </w:r>
      <w:r>
        <w:rPr>
          <w:rFonts w:ascii="仿宋" w:hAnsi="仿宋" w:eastAsia="仿宋" w:cs="Arial"/>
          <w:color w:val="000000"/>
          <w:sz w:val="28"/>
          <w:szCs w:val="20"/>
        </w:rPr>
        <w:t xml:space="preserve">，一级告警以红色标识，二级告警以橙色标识，三级告警以黄色标识，四级告警以淡蓝色标识。 </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一级告警：可能引发全局性供电安全及引起电源系统、空调系统退出服务导致所服务的核心业务退服的动环类告警定义为一级告警</w:t>
      </w:r>
      <w:r>
        <w:rPr>
          <w:rFonts w:hint="eastAsia" w:ascii="仿宋" w:hAnsi="仿宋" w:eastAsia="仿宋" w:cs="Arial"/>
          <w:color w:val="000000"/>
          <w:sz w:val="28"/>
          <w:szCs w:val="20"/>
        </w:rPr>
        <w:t>。</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二级告警：可能对电源系统、空调系统造成整体退出服务或运行性能下降的告警定义为二级告警</w:t>
      </w:r>
      <w:r>
        <w:rPr>
          <w:rFonts w:hint="eastAsia" w:ascii="仿宋" w:hAnsi="仿宋" w:eastAsia="仿宋" w:cs="Arial"/>
          <w:color w:val="000000"/>
          <w:sz w:val="28"/>
          <w:szCs w:val="20"/>
        </w:rPr>
        <w:t>。</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三级告警：电源系统、空调系统中发生的设备部件故障但不影响设备整体运行性能的告警定义为三级告警。</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四级告警：电源系统、空调系统中设备发送的维护提示性告警信息定义为四级告警。如：空调滤网更换提示信息等。</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告警等级统计区域以饼图</w:t>
      </w:r>
      <w:bookmarkStart w:id="304" w:name="OLE_LINK15"/>
      <w:r>
        <w:rPr>
          <w:rFonts w:hint="eastAsia" w:ascii="仿宋" w:hAnsi="仿宋" w:eastAsia="仿宋" w:cs="Arial"/>
          <w:color w:val="000000"/>
          <w:sz w:val="28"/>
          <w:szCs w:val="20"/>
        </w:rPr>
        <w:t>形式</w:t>
      </w:r>
      <w:bookmarkEnd w:id="304"/>
      <w:r>
        <w:rPr>
          <w:rFonts w:hint="eastAsia" w:ascii="仿宋" w:hAnsi="仿宋" w:eastAsia="仿宋" w:cs="Arial"/>
          <w:color w:val="000000"/>
          <w:sz w:val="28"/>
          <w:szCs w:val="20"/>
        </w:rPr>
        <w:t>显示了告警等级百分比，告警包括监控中心关注的设备类型所有告警。将鼠标移动到饼图中某级别告警上会显示该级别的告警总数。点击某级别告警，即可进入该级别告警的活动告警界面。</w:t>
      </w:r>
    </w:p>
    <w:p>
      <w:pPr>
        <w:numPr>
          <w:ilvl w:val="0"/>
          <w:numId w:val="58"/>
        </w:numPr>
        <w:ind w:left="900" w:hanging="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告警处理</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告警管理</w:t>
      </w:r>
      <w:r>
        <w:rPr>
          <w:rFonts w:ascii="仿宋" w:hAnsi="仿宋" w:eastAsia="仿宋" w:cs="Arial"/>
          <w:color w:val="000000"/>
          <w:sz w:val="28"/>
          <w:szCs w:val="20"/>
        </w:rPr>
        <w:t>可根据告警级别提供不同的告警推送方式，如</w:t>
      </w:r>
      <w:r>
        <w:rPr>
          <w:rFonts w:hint="eastAsia" w:ascii="仿宋" w:hAnsi="仿宋" w:eastAsia="仿宋" w:cs="Arial"/>
          <w:color w:val="000000"/>
          <w:sz w:val="28"/>
          <w:szCs w:val="20"/>
        </w:rPr>
        <w:t>多媒体和</w:t>
      </w:r>
      <w:r>
        <w:rPr>
          <w:rFonts w:ascii="仿宋" w:hAnsi="仿宋" w:eastAsia="仿宋" w:cs="Arial"/>
          <w:color w:val="000000"/>
          <w:sz w:val="28"/>
          <w:szCs w:val="20"/>
        </w:rPr>
        <w:t>短信等告警推送方式</w:t>
      </w:r>
      <w:r>
        <w:rPr>
          <w:rFonts w:hint="eastAsia" w:ascii="仿宋" w:hAnsi="仿宋" w:eastAsia="仿宋" w:cs="Arial"/>
          <w:color w:val="000000"/>
          <w:sz w:val="28"/>
          <w:szCs w:val="20"/>
        </w:rPr>
        <w:t>。</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告警</w:t>
      </w:r>
      <w:r>
        <w:rPr>
          <w:rFonts w:hint="eastAsia" w:ascii="仿宋" w:hAnsi="仿宋" w:eastAsia="仿宋" w:cs="Arial"/>
          <w:color w:val="000000"/>
          <w:sz w:val="28"/>
          <w:szCs w:val="20"/>
        </w:rPr>
        <w:t>管理应提供</w:t>
      </w:r>
      <w:r>
        <w:rPr>
          <w:rFonts w:ascii="仿宋" w:hAnsi="仿宋" w:eastAsia="仿宋" w:cs="Arial"/>
          <w:color w:val="000000"/>
          <w:sz w:val="28"/>
          <w:szCs w:val="20"/>
        </w:rPr>
        <w:t>过滤功能</w:t>
      </w:r>
      <w:r>
        <w:rPr>
          <w:rFonts w:hint="eastAsia" w:ascii="仿宋" w:hAnsi="仿宋" w:eastAsia="仿宋" w:cs="Arial"/>
          <w:color w:val="000000"/>
          <w:sz w:val="28"/>
          <w:szCs w:val="20"/>
        </w:rPr>
        <w:t>，</w:t>
      </w:r>
      <w:r>
        <w:rPr>
          <w:rFonts w:ascii="仿宋" w:hAnsi="仿宋" w:eastAsia="仿宋" w:cs="Arial"/>
          <w:color w:val="000000"/>
          <w:sz w:val="28"/>
          <w:szCs w:val="20"/>
        </w:rPr>
        <w:t>不需要做出反应的告警进行相应的过滤，过滤条件可以由用户进行设置。</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告警</w:t>
      </w:r>
      <w:r>
        <w:rPr>
          <w:rFonts w:hint="eastAsia" w:ascii="仿宋" w:hAnsi="仿宋" w:eastAsia="仿宋" w:cs="Arial"/>
          <w:color w:val="000000"/>
          <w:sz w:val="28"/>
          <w:szCs w:val="20"/>
        </w:rPr>
        <w:t>管理应提供</w:t>
      </w:r>
      <w:r>
        <w:rPr>
          <w:rFonts w:ascii="仿宋" w:hAnsi="仿宋" w:eastAsia="仿宋" w:cs="Arial"/>
          <w:color w:val="000000"/>
          <w:sz w:val="28"/>
          <w:szCs w:val="20"/>
        </w:rPr>
        <w:t>告警屏蔽功能</w:t>
      </w:r>
      <w:r>
        <w:rPr>
          <w:rFonts w:hint="eastAsia" w:ascii="仿宋" w:hAnsi="仿宋" w:eastAsia="仿宋" w:cs="Arial"/>
          <w:color w:val="000000"/>
          <w:sz w:val="28"/>
          <w:szCs w:val="20"/>
        </w:rPr>
        <w:t>，</w:t>
      </w:r>
      <w:r>
        <w:rPr>
          <w:rFonts w:ascii="仿宋" w:hAnsi="仿宋" w:eastAsia="仿宋" w:cs="Arial"/>
          <w:color w:val="000000"/>
          <w:sz w:val="28"/>
          <w:szCs w:val="20"/>
        </w:rPr>
        <w:t>能自动屏蔽由其它告警引起的非主要告警的功能。</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告警</w:t>
      </w:r>
      <w:r>
        <w:rPr>
          <w:rFonts w:hint="eastAsia" w:ascii="仿宋" w:hAnsi="仿宋" w:eastAsia="仿宋" w:cs="Arial"/>
          <w:color w:val="000000"/>
          <w:sz w:val="28"/>
          <w:szCs w:val="20"/>
        </w:rPr>
        <w:t>管理应提供</w:t>
      </w:r>
      <w:r>
        <w:rPr>
          <w:rFonts w:ascii="仿宋" w:hAnsi="仿宋" w:eastAsia="仿宋" w:cs="Arial"/>
          <w:color w:val="000000"/>
          <w:sz w:val="28"/>
          <w:szCs w:val="20"/>
        </w:rPr>
        <w:t>告警延时设定功能</w:t>
      </w:r>
      <w:r>
        <w:rPr>
          <w:rFonts w:hint="eastAsia" w:ascii="仿宋" w:hAnsi="仿宋" w:eastAsia="仿宋" w:cs="Arial"/>
          <w:color w:val="000000"/>
          <w:sz w:val="28"/>
          <w:szCs w:val="20"/>
        </w:rPr>
        <w:t>，</w:t>
      </w:r>
      <w:r>
        <w:rPr>
          <w:rFonts w:ascii="仿宋" w:hAnsi="仿宋" w:eastAsia="仿宋" w:cs="Arial"/>
          <w:color w:val="000000"/>
          <w:sz w:val="28"/>
          <w:szCs w:val="20"/>
        </w:rPr>
        <w:t>当告警在延时的范围内消除时，将不上送告警，告警延时时间可由用户设定。</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告警</w:t>
      </w:r>
      <w:r>
        <w:rPr>
          <w:rFonts w:hint="eastAsia" w:ascii="仿宋" w:hAnsi="仿宋" w:eastAsia="仿宋" w:cs="Arial"/>
          <w:color w:val="000000"/>
          <w:sz w:val="28"/>
          <w:szCs w:val="20"/>
        </w:rPr>
        <w:t>管理应提供</w:t>
      </w:r>
      <w:r>
        <w:rPr>
          <w:rFonts w:ascii="仿宋" w:hAnsi="仿宋" w:eastAsia="仿宋" w:cs="Arial"/>
          <w:color w:val="000000"/>
          <w:sz w:val="28"/>
          <w:szCs w:val="20"/>
        </w:rPr>
        <w:t>告警确认功能</w:t>
      </w:r>
      <w:r>
        <w:rPr>
          <w:rFonts w:hint="eastAsia" w:ascii="仿宋" w:hAnsi="仿宋" w:eastAsia="仿宋" w:cs="Arial"/>
          <w:color w:val="000000"/>
          <w:sz w:val="28"/>
          <w:szCs w:val="20"/>
        </w:rPr>
        <w:t>，</w:t>
      </w:r>
      <w:r>
        <w:rPr>
          <w:rFonts w:ascii="仿宋" w:hAnsi="仿宋" w:eastAsia="仿宋" w:cs="Arial"/>
          <w:color w:val="000000"/>
          <w:sz w:val="28"/>
          <w:szCs w:val="20"/>
        </w:rPr>
        <w:t>发生告警时，</w:t>
      </w:r>
      <w:r>
        <w:rPr>
          <w:rFonts w:hint="eastAsia" w:ascii="仿宋" w:hAnsi="仿宋" w:eastAsia="仿宋" w:cs="Arial"/>
          <w:color w:val="000000"/>
          <w:sz w:val="28"/>
          <w:szCs w:val="20"/>
        </w:rPr>
        <w:t>可</w:t>
      </w:r>
      <w:r>
        <w:rPr>
          <w:rFonts w:ascii="仿宋" w:hAnsi="仿宋" w:eastAsia="仿宋" w:cs="Arial"/>
          <w:color w:val="000000"/>
          <w:sz w:val="28"/>
          <w:szCs w:val="20"/>
        </w:rPr>
        <w:t>由值班人员进行告警确认。</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告警</w:t>
      </w:r>
      <w:r>
        <w:rPr>
          <w:rFonts w:hint="eastAsia" w:ascii="仿宋" w:hAnsi="仿宋" w:eastAsia="仿宋" w:cs="Arial"/>
          <w:color w:val="000000"/>
          <w:sz w:val="28"/>
          <w:szCs w:val="20"/>
        </w:rPr>
        <w:t>管理应提供</w:t>
      </w:r>
      <w:r>
        <w:rPr>
          <w:rFonts w:ascii="仿宋" w:hAnsi="仿宋" w:eastAsia="仿宋" w:cs="Arial"/>
          <w:color w:val="000000"/>
          <w:sz w:val="28"/>
          <w:szCs w:val="20"/>
        </w:rPr>
        <w:t>告警自动清除功能</w:t>
      </w:r>
      <w:r>
        <w:rPr>
          <w:rFonts w:hint="eastAsia" w:ascii="仿宋" w:hAnsi="仿宋" w:eastAsia="仿宋" w:cs="Arial"/>
          <w:color w:val="000000"/>
          <w:sz w:val="28"/>
          <w:szCs w:val="20"/>
        </w:rPr>
        <w:t>，</w:t>
      </w:r>
      <w:r>
        <w:rPr>
          <w:rFonts w:ascii="仿宋" w:hAnsi="仿宋" w:eastAsia="仿宋" w:cs="Arial"/>
          <w:color w:val="000000"/>
          <w:sz w:val="28"/>
          <w:szCs w:val="20"/>
        </w:rPr>
        <w:t>告警发生后一段时间内又自动恢复，系统应自动清除告警窗内的显示并保存告警记录。</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应支持从告警信号跳转到3</w:t>
      </w:r>
      <w:r>
        <w:rPr>
          <w:rFonts w:ascii="仿宋" w:hAnsi="仿宋" w:eastAsia="仿宋" w:cs="Arial"/>
          <w:color w:val="000000"/>
          <w:sz w:val="28"/>
          <w:szCs w:val="20"/>
        </w:rPr>
        <w:t>D</w:t>
      </w:r>
      <w:r>
        <w:rPr>
          <w:rFonts w:hint="eastAsia" w:ascii="仿宋" w:hAnsi="仿宋" w:eastAsia="仿宋" w:cs="Arial"/>
          <w:color w:val="000000"/>
          <w:sz w:val="28"/>
          <w:szCs w:val="20"/>
        </w:rPr>
        <w:t>可视化页面，定位故障设备。</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配电管理</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配电监控以配电组态的方式展示供配电系统的</w:t>
      </w:r>
      <w:r>
        <w:rPr>
          <w:rFonts w:hint="eastAsia" w:ascii="仿宋" w:hAnsi="仿宋" w:eastAsia="仿宋" w:cs="Arial"/>
          <w:color w:val="000000"/>
          <w:sz w:val="28"/>
          <w:szCs w:val="20"/>
        </w:rPr>
        <w:t>核心设备和</w:t>
      </w:r>
      <w:r>
        <w:rPr>
          <w:rFonts w:ascii="仿宋" w:hAnsi="仿宋" w:eastAsia="仿宋" w:cs="Arial"/>
          <w:color w:val="000000"/>
          <w:sz w:val="28"/>
          <w:szCs w:val="20"/>
        </w:rPr>
        <w:t>线路状况，核心设备包括市电、变压器、油机、高低压配电柜、UPS、高压直流电源，以及末端配电</w:t>
      </w:r>
      <w:r>
        <w:rPr>
          <w:rFonts w:hint="eastAsia" w:ascii="仿宋" w:hAnsi="仿宋" w:eastAsia="仿宋" w:cs="Arial"/>
          <w:color w:val="000000"/>
          <w:sz w:val="28"/>
          <w:szCs w:val="20"/>
          <w:lang w:eastAsia="zh-CN"/>
        </w:rPr>
        <w:t>小母线和</w:t>
      </w:r>
      <w:r>
        <w:rPr>
          <w:rFonts w:hint="eastAsia" w:ascii="仿宋" w:hAnsi="仿宋" w:eastAsia="仿宋" w:cs="Arial"/>
          <w:color w:val="000000"/>
          <w:sz w:val="28"/>
          <w:szCs w:val="20"/>
          <w:lang w:val="en-US" w:eastAsia="zh-CN"/>
        </w:rPr>
        <w:t>PDU</w:t>
      </w:r>
      <w:r>
        <w:rPr>
          <w:rFonts w:hint="eastAsia" w:ascii="仿宋" w:hAnsi="仿宋" w:eastAsia="仿宋" w:cs="Arial"/>
          <w:color w:val="000000"/>
          <w:sz w:val="28"/>
          <w:szCs w:val="20"/>
        </w:rPr>
        <w:t>等</w:t>
      </w:r>
      <w:r>
        <w:rPr>
          <w:rFonts w:ascii="仿宋" w:hAnsi="仿宋" w:eastAsia="仿宋" w:cs="Arial"/>
          <w:color w:val="000000"/>
          <w:sz w:val="28"/>
          <w:szCs w:val="20"/>
        </w:rPr>
        <w:t>。</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配电组态图</w:t>
      </w:r>
      <w:r>
        <w:rPr>
          <w:rFonts w:hint="eastAsia" w:ascii="仿宋" w:hAnsi="仿宋" w:eastAsia="仿宋" w:cs="Arial"/>
          <w:color w:val="000000"/>
          <w:sz w:val="28"/>
          <w:szCs w:val="20"/>
        </w:rPr>
        <w:t>应</w:t>
      </w:r>
      <w:r>
        <w:rPr>
          <w:rFonts w:ascii="仿宋" w:hAnsi="仿宋" w:eastAsia="仿宋" w:cs="Arial"/>
          <w:color w:val="000000"/>
          <w:sz w:val="28"/>
          <w:szCs w:val="20"/>
        </w:rPr>
        <w:t>以不同的颜色、不同状态的供电元件图形直观地呈现供电系统的供配电参数、开关状态、供电回路和断电回路等信息。</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系统组态</w:t>
      </w:r>
      <w:r>
        <w:rPr>
          <w:rFonts w:hint="eastAsia" w:ascii="仿宋" w:hAnsi="仿宋" w:eastAsia="仿宋" w:cs="Arial"/>
          <w:color w:val="000000"/>
          <w:sz w:val="28"/>
          <w:szCs w:val="20"/>
        </w:rPr>
        <w:t>应支持以</w:t>
      </w:r>
      <w:r>
        <w:rPr>
          <w:rFonts w:ascii="仿宋" w:hAnsi="仿宋" w:eastAsia="仿宋" w:cs="Arial"/>
          <w:color w:val="000000"/>
          <w:sz w:val="28"/>
          <w:szCs w:val="20"/>
        </w:rPr>
        <w:t>系统、设备分级展示，提供数据下钻功能，点击系统或设备，可查看该设备的实际运行状态及实时参数。</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系统应提供在线配置工具，通过配置工具进行配电线路图的连接设计，连接关系数据应自动生成，通过连接关系应能自动分析配电线路的状况，直观呈现配电设备或器件故障的线路影响状况。</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温度云图</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系统</w:t>
      </w:r>
      <w:r>
        <w:rPr>
          <w:rFonts w:hint="eastAsia" w:ascii="仿宋" w:hAnsi="仿宋" w:eastAsia="仿宋" w:cs="Arial"/>
          <w:color w:val="000000"/>
          <w:sz w:val="28"/>
          <w:szCs w:val="20"/>
        </w:rPr>
        <w:t>应能依据</w:t>
      </w:r>
      <w:r>
        <w:rPr>
          <w:rFonts w:ascii="仿宋" w:hAnsi="仿宋" w:eastAsia="仿宋" w:cs="Arial"/>
          <w:color w:val="000000"/>
          <w:sz w:val="28"/>
          <w:szCs w:val="20"/>
        </w:rPr>
        <w:t>机柜内</w:t>
      </w:r>
      <w:r>
        <w:rPr>
          <w:rFonts w:hint="eastAsia" w:ascii="仿宋" w:hAnsi="仿宋" w:eastAsia="仿宋" w:cs="Arial"/>
          <w:color w:val="000000"/>
          <w:sz w:val="28"/>
          <w:szCs w:val="20"/>
        </w:rPr>
        <w:t>检测</w:t>
      </w:r>
      <w:r>
        <w:rPr>
          <w:rFonts w:ascii="仿宋" w:hAnsi="仿宋" w:eastAsia="仿宋" w:cs="Arial"/>
          <w:color w:val="000000"/>
          <w:sz w:val="28"/>
          <w:szCs w:val="20"/>
        </w:rPr>
        <w:t>温度</w:t>
      </w:r>
      <w:r>
        <w:rPr>
          <w:rFonts w:hint="eastAsia" w:ascii="仿宋" w:hAnsi="仿宋" w:eastAsia="仿宋" w:cs="Arial"/>
          <w:color w:val="000000"/>
          <w:sz w:val="28"/>
          <w:szCs w:val="20"/>
        </w:rPr>
        <w:t>和</w:t>
      </w:r>
      <w:r>
        <w:rPr>
          <w:rFonts w:ascii="仿宋" w:hAnsi="仿宋" w:eastAsia="仿宋" w:cs="Arial"/>
          <w:color w:val="000000"/>
          <w:sz w:val="28"/>
          <w:szCs w:val="20"/>
        </w:rPr>
        <w:t>机房环境</w:t>
      </w:r>
      <w:r>
        <w:rPr>
          <w:rFonts w:hint="eastAsia" w:ascii="仿宋" w:hAnsi="仿宋" w:eastAsia="仿宋" w:cs="Arial"/>
          <w:color w:val="000000"/>
          <w:sz w:val="28"/>
          <w:szCs w:val="20"/>
        </w:rPr>
        <w:t>检测</w:t>
      </w:r>
      <w:r>
        <w:rPr>
          <w:rFonts w:ascii="仿宋" w:hAnsi="仿宋" w:eastAsia="仿宋" w:cs="Arial"/>
          <w:color w:val="000000"/>
          <w:sz w:val="28"/>
          <w:szCs w:val="20"/>
        </w:rPr>
        <w:t>温度</w:t>
      </w:r>
      <w:r>
        <w:rPr>
          <w:rFonts w:hint="eastAsia" w:ascii="仿宋" w:hAnsi="仿宋" w:eastAsia="仿宋" w:cs="Arial"/>
          <w:color w:val="000000"/>
          <w:sz w:val="28"/>
          <w:szCs w:val="20"/>
        </w:rPr>
        <w:t>数据，</w:t>
      </w:r>
      <w:r>
        <w:rPr>
          <w:rFonts w:ascii="仿宋" w:hAnsi="仿宋" w:eastAsia="仿宋" w:cs="Arial"/>
          <w:color w:val="000000"/>
          <w:sz w:val="28"/>
          <w:szCs w:val="20"/>
        </w:rPr>
        <w:t>通过一定算法自动计算在机房每个横竖切面的</w:t>
      </w:r>
      <w:r>
        <w:rPr>
          <w:rFonts w:hint="eastAsia" w:ascii="仿宋" w:hAnsi="仿宋" w:eastAsia="仿宋" w:cs="Arial"/>
          <w:color w:val="000000"/>
          <w:sz w:val="28"/>
          <w:szCs w:val="20"/>
        </w:rPr>
        <w:t>3D</w:t>
      </w:r>
      <w:r>
        <w:rPr>
          <w:rFonts w:ascii="仿宋" w:hAnsi="仿宋" w:eastAsia="仿宋" w:cs="Arial"/>
          <w:color w:val="000000"/>
          <w:sz w:val="28"/>
          <w:szCs w:val="20"/>
        </w:rPr>
        <w:t>温场云图</w:t>
      </w:r>
      <w:r>
        <w:rPr>
          <w:rFonts w:hint="eastAsia" w:ascii="仿宋" w:hAnsi="仿宋" w:eastAsia="仿宋" w:cs="Arial"/>
          <w:color w:val="000000"/>
          <w:sz w:val="28"/>
          <w:szCs w:val="20"/>
        </w:rPr>
        <w:t>。</w:t>
      </w:r>
    </w:p>
    <w:p>
      <w:pPr>
        <w:widowControl/>
        <w:ind w:firstLine="480"/>
        <w:rPr>
          <w:rFonts w:ascii="仿宋" w:hAnsi="仿宋" w:eastAsia="仿宋" w:cs="Arial"/>
          <w:color w:val="000000"/>
          <w:sz w:val="28"/>
          <w:szCs w:val="20"/>
        </w:rPr>
      </w:pPr>
      <w:r>
        <w:rPr>
          <w:rFonts w:ascii="仿宋" w:hAnsi="仿宋" w:eastAsia="仿宋" w:cs="Arial"/>
          <w:color w:val="000000"/>
          <w:sz w:val="28"/>
          <w:szCs w:val="20"/>
        </w:rPr>
        <w:t>三维温度</w:t>
      </w:r>
      <w:r>
        <w:rPr>
          <w:rFonts w:hint="eastAsia" w:ascii="仿宋" w:hAnsi="仿宋" w:eastAsia="仿宋" w:cs="Arial"/>
          <w:color w:val="000000"/>
          <w:sz w:val="28"/>
          <w:szCs w:val="20"/>
        </w:rPr>
        <w:t>云图应支持</w:t>
      </w:r>
      <w:r>
        <w:rPr>
          <w:rFonts w:ascii="仿宋" w:hAnsi="仿宋" w:eastAsia="仿宋" w:cs="Arial"/>
          <w:color w:val="000000"/>
          <w:sz w:val="28"/>
          <w:szCs w:val="20"/>
        </w:rPr>
        <w:t>横切面、竖切面图形，可以快速方便的看到机房热点分布情况。</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系统应</w:t>
      </w:r>
      <w:r>
        <w:rPr>
          <w:rFonts w:ascii="仿宋" w:hAnsi="仿宋" w:eastAsia="仿宋" w:cs="Arial"/>
          <w:color w:val="000000"/>
          <w:sz w:val="28"/>
          <w:szCs w:val="20"/>
        </w:rPr>
        <w:t>支持查看在某切面上温度随时间的变化云图</w:t>
      </w:r>
      <w:r>
        <w:rPr>
          <w:rFonts w:hint="eastAsia" w:ascii="仿宋" w:hAnsi="仿宋" w:eastAsia="仿宋" w:cs="Arial"/>
          <w:color w:val="000000"/>
          <w:sz w:val="28"/>
          <w:szCs w:val="20"/>
        </w:rPr>
        <w:t>，以查看热点的持续变化</w:t>
      </w:r>
      <w:r>
        <w:rPr>
          <w:rFonts w:ascii="仿宋" w:hAnsi="仿宋" w:eastAsia="仿宋" w:cs="Arial"/>
          <w:color w:val="000000"/>
          <w:sz w:val="28"/>
          <w:szCs w:val="20"/>
        </w:rPr>
        <w:t>。</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容量管理</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容量管理应支持对</w:t>
      </w:r>
      <w:r>
        <w:rPr>
          <w:rFonts w:ascii="仿宋" w:hAnsi="仿宋" w:eastAsia="仿宋" w:cs="Arial"/>
          <w:color w:val="000000"/>
          <w:sz w:val="28"/>
          <w:szCs w:val="20"/>
        </w:rPr>
        <w:t>IDC</w:t>
      </w:r>
      <w:r>
        <w:rPr>
          <w:rFonts w:hint="eastAsia" w:ascii="仿宋" w:hAnsi="仿宋" w:eastAsia="仿宋" w:cs="Arial"/>
          <w:color w:val="000000"/>
          <w:sz w:val="28"/>
          <w:szCs w:val="20"/>
        </w:rPr>
        <w:t>机架资产的基础信息管理，实现机架电力、空间(U位)和冷量等纬度的容量管理。</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系统应以3D可视化方式展示机架电力、空间和冷量的状况，以及IT设施在机架中的U位位置信息。可以实现各个纬度的筛选和分析，应支持资产上下架及上下架仿真，同时输出相关业务统计分析功能</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容量管理提供在线录入、编辑功能和EXCEL导入工具，EXCEL导入工具可支持大规模基础设施信息的导入。</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能效管理</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能效管理以连接和业务关系为基础，以全景图形的方式呈现供电端到机架间的全链路能耗、电压、电流和功率的状况。</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能耗管理应支持以下功能：</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历史查询：按</w:t>
      </w:r>
      <w:r>
        <w:rPr>
          <w:rFonts w:ascii="仿宋" w:hAnsi="仿宋" w:eastAsia="仿宋" w:cs="Arial"/>
          <w:color w:val="000000"/>
          <w:sz w:val="28"/>
          <w:szCs w:val="20"/>
        </w:rPr>
        <w:t>年</w:t>
      </w:r>
      <w:r>
        <w:rPr>
          <w:rFonts w:hint="eastAsia" w:ascii="仿宋" w:hAnsi="仿宋" w:eastAsia="仿宋" w:cs="Arial"/>
          <w:color w:val="000000"/>
          <w:sz w:val="28"/>
          <w:szCs w:val="20"/>
        </w:rPr>
        <w:t>、月、天以</w:t>
      </w:r>
      <w:r>
        <w:rPr>
          <w:rFonts w:ascii="仿宋" w:hAnsi="仿宋" w:eastAsia="仿宋" w:cs="Arial"/>
          <w:color w:val="000000"/>
          <w:sz w:val="28"/>
          <w:szCs w:val="20"/>
        </w:rPr>
        <w:t>能耗全景</w:t>
      </w:r>
      <w:r>
        <w:rPr>
          <w:rFonts w:hint="eastAsia" w:ascii="仿宋" w:hAnsi="仿宋" w:eastAsia="仿宋" w:cs="Arial"/>
          <w:color w:val="000000"/>
          <w:sz w:val="28"/>
          <w:szCs w:val="20"/>
        </w:rPr>
        <w:t>的方式进行呈现。</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维度切换查询：支持电压、电流</w:t>
      </w:r>
      <w:r>
        <w:rPr>
          <w:rFonts w:ascii="仿宋" w:hAnsi="仿宋" w:eastAsia="仿宋" w:cs="Arial"/>
          <w:color w:val="000000"/>
          <w:sz w:val="28"/>
          <w:szCs w:val="20"/>
        </w:rPr>
        <w:t>、功率</w:t>
      </w:r>
      <w:r>
        <w:rPr>
          <w:rFonts w:hint="eastAsia" w:ascii="仿宋" w:hAnsi="仿宋" w:eastAsia="仿宋" w:cs="Arial"/>
          <w:color w:val="000000"/>
          <w:sz w:val="28"/>
          <w:szCs w:val="20"/>
        </w:rPr>
        <w:t>和</w:t>
      </w:r>
      <w:r>
        <w:rPr>
          <w:rFonts w:ascii="仿宋" w:hAnsi="仿宋" w:eastAsia="仿宋" w:cs="Arial"/>
          <w:color w:val="000000"/>
          <w:sz w:val="28"/>
          <w:szCs w:val="20"/>
        </w:rPr>
        <w:t>能耗四个维度切换</w:t>
      </w:r>
      <w:r>
        <w:rPr>
          <w:rFonts w:hint="eastAsia" w:ascii="仿宋" w:hAnsi="仿宋" w:eastAsia="仿宋" w:cs="Arial"/>
          <w:color w:val="000000"/>
          <w:sz w:val="28"/>
          <w:szCs w:val="20"/>
        </w:rPr>
        <w:t>，线条的粗细反映值得大小。</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数据浏览：应支持鼠标</w:t>
      </w:r>
      <w:r>
        <w:rPr>
          <w:rFonts w:ascii="仿宋" w:hAnsi="仿宋" w:eastAsia="仿宋" w:cs="Arial"/>
          <w:color w:val="000000"/>
          <w:sz w:val="28"/>
          <w:szCs w:val="20"/>
        </w:rPr>
        <w:t>悬停</w:t>
      </w:r>
      <w:r>
        <w:rPr>
          <w:rFonts w:hint="eastAsia" w:ascii="仿宋" w:hAnsi="仿宋" w:eastAsia="仿宋" w:cs="Arial"/>
          <w:color w:val="000000"/>
          <w:sz w:val="28"/>
          <w:szCs w:val="20"/>
        </w:rPr>
        <w:t>呈现当前</w:t>
      </w:r>
      <w:r>
        <w:rPr>
          <w:rFonts w:ascii="仿宋" w:hAnsi="仿宋" w:eastAsia="仿宋" w:cs="Arial"/>
          <w:color w:val="000000"/>
          <w:sz w:val="28"/>
          <w:szCs w:val="20"/>
        </w:rPr>
        <w:t>节点的</w:t>
      </w:r>
      <w:r>
        <w:rPr>
          <w:rFonts w:hint="eastAsia" w:ascii="仿宋" w:hAnsi="仿宋" w:eastAsia="仿宋" w:cs="Arial"/>
          <w:color w:val="000000"/>
          <w:sz w:val="28"/>
          <w:szCs w:val="20"/>
        </w:rPr>
        <w:t>实时数据</w:t>
      </w:r>
      <w:r>
        <w:rPr>
          <w:rFonts w:ascii="仿宋" w:hAnsi="仿宋" w:eastAsia="仿宋" w:cs="Arial"/>
          <w:color w:val="000000"/>
          <w:sz w:val="28"/>
          <w:szCs w:val="20"/>
        </w:rPr>
        <w:t>信息和</w:t>
      </w:r>
      <w:r>
        <w:rPr>
          <w:rFonts w:hint="eastAsia" w:ascii="仿宋" w:hAnsi="仿宋" w:eastAsia="仿宋" w:cs="Arial"/>
          <w:color w:val="000000"/>
          <w:sz w:val="28"/>
          <w:szCs w:val="20"/>
        </w:rPr>
        <w:t>部分</w:t>
      </w:r>
      <w:r>
        <w:rPr>
          <w:rFonts w:ascii="仿宋" w:hAnsi="仿宋" w:eastAsia="仿宋" w:cs="Arial"/>
          <w:color w:val="000000"/>
          <w:sz w:val="28"/>
          <w:szCs w:val="20"/>
        </w:rPr>
        <w:t>历史曲线</w:t>
      </w:r>
      <w:r>
        <w:rPr>
          <w:rFonts w:hint="eastAsia" w:ascii="仿宋" w:hAnsi="仿宋" w:eastAsia="仿宋" w:cs="Arial"/>
          <w:color w:val="000000"/>
          <w:sz w:val="28"/>
          <w:szCs w:val="20"/>
        </w:rPr>
        <w:t>的功能，在</w:t>
      </w:r>
      <w:r>
        <w:rPr>
          <w:rFonts w:ascii="仿宋" w:hAnsi="仿宋" w:eastAsia="仿宋" w:cs="Arial"/>
          <w:color w:val="000000"/>
          <w:sz w:val="28"/>
          <w:szCs w:val="20"/>
        </w:rPr>
        <w:t>不同的维度上</w:t>
      </w:r>
      <w:r>
        <w:rPr>
          <w:rFonts w:hint="eastAsia" w:ascii="仿宋" w:hAnsi="仿宋" w:eastAsia="仿宋" w:cs="Arial"/>
          <w:color w:val="000000"/>
          <w:sz w:val="28"/>
          <w:szCs w:val="20"/>
        </w:rPr>
        <w:t>，数据</w:t>
      </w:r>
      <w:r>
        <w:rPr>
          <w:rFonts w:ascii="仿宋" w:hAnsi="仿宋" w:eastAsia="仿宋" w:cs="Arial"/>
          <w:color w:val="000000"/>
          <w:sz w:val="28"/>
          <w:szCs w:val="20"/>
        </w:rPr>
        <w:t>预览的</w:t>
      </w:r>
      <w:r>
        <w:rPr>
          <w:rFonts w:hint="eastAsia" w:ascii="仿宋" w:hAnsi="仿宋" w:eastAsia="仿宋" w:cs="Arial"/>
          <w:color w:val="000000"/>
          <w:sz w:val="28"/>
          <w:szCs w:val="20"/>
        </w:rPr>
        <w:t>历史</w:t>
      </w:r>
      <w:r>
        <w:rPr>
          <w:rFonts w:ascii="仿宋" w:hAnsi="仿宋" w:eastAsia="仿宋" w:cs="Arial"/>
          <w:color w:val="000000"/>
          <w:sz w:val="28"/>
          <w:szCs w:val="20"/>
        </w:rPr>
        <w:t>数据也是不同的</w:t>
      </w:r>
      <w:r>
        <w:rPr>
          <w:rFonts w:hint="eastAsia" w:ascii="仿宋" w:hAnsi="仿宋" w:eastAsia="仿宋" w:cs="Arial"/>
          <w:color w:val="000000"/>
          <w:sz w:val="28"/>
          <w:szCs w:val="20"/>
        </w:rPr>
        <w:t>。数据预览</w:t>
      </w:r>
      <w:r>
        <w:rPr>
          <w:rFonts w:ascii="仿宋" w:hAnsi="仿宋" w:eastAsia="仿宋" w:cs="Arial"/>
          <w:color w:val="000000"/>
          <w:sz w:val="28"/>
          <w:szCs w:val="20"/>
        </w:rPr>
        <w:t>窗口的数据取决于当前维度的类型。</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详细数据查询：</w:t>
      </w:r>
      <w:r>
        <w:rPr>
          <w:rFonts w:ascii="仿宋" w:hAnsi="仿宋" w:eastAsia="仿宋" w:cs="Arial"/>
          <w:color w:val="000000"/>
          <w:sz w:val="28"/>
          <w:szCs w:val="20"/>
        </w:rPr>
        <w:t>双击查询节点</w:t>
      </w:r>
      <w:r>
        <w:rPr>
          <w:rFonts w:hint="eastAsia" w:ascii="仿宋" w:hAnsi="仿宋" w:eastAsia="仿宋" w:cs="Arial"/>
          <w:color w:val="000000"/>
          <w:sz w:val="28"/>
          <w:szCs w:val="20"/>
        </w:rPr>
        <w:t>可显示当前电流</w:t>
      </w:r>
      <w:r>
        <w:rPr>
          <w:rFonts w:ascii="仿宋" w:hAnsi="仿宋" w:eastAsia="仿宋" w:cs="Arial"/>
          <w:color w:val="000000"/>
          <w:sz w:val="28"/>
          <w:szCs w:val="20"/>
        </w:rPr>
        <w:t>、电压</w:t>
      </w:r>
      <w:r>
        <w:rPr>
          <w:rFonts w:hint="eastAsia" w:ascii="仿宋" w:hAnsi="仿宋" w:eastAsia="仿宋" w:cs="Arial"/>
          <w:color w:val="000000"/>
          <w:sz w:val="28"/>
          <w:szCs w:val="20"/>
        </w:rPr>
        <w:t>、</w:t>
      </w:r>
      <w:r>
        <w:rPr>
          <w:rFonts w:ascii="仿宋" w:hAnsi="仿宋" w:eastAsia="仿宋" w:cs="Arial"/>
          <w:color w:val="000000"/>
          <w:sz w:val="28"/>
          <w:szCs w:val="20"/>
        </w:rPr>
        <w:t>功率</w:t>
      </w:r>
      <w:r>
        <w:rPr>
          <w:rFonts w:hint="eastAsia" w:ascii="仿宋" w:hAnsi="仿宋" w:eastAsia="仿宋" w:cs="Arial"/>
          <w:color w:val="000000"/>
          <w:sz w:val="28"/>
          <w:szCs w:val="20"/>
        </w:rPr>
        <w:t>和</w:t>
      </w:r>
      <w:r>
        <w:rPr>
          <w:rFonts w:ascii="仿宋" w:hAnsi="仿宋" w:eastAsia="仿宋" w:cs="Arial"/>
          <w:color w:val="000000"/>
          <w:sz w:val="28"/>
          <w:szCs w:val="20"/>
        </w:rPr>
        <w:t>能耗四个维度的实时数据和历史曲线图</w:t>
      </w:r>
      <w:r>
        <w:rPr>
          <w:rFonts w:hint="eastAsia" w:ascii="仿宋" w:hAnsi="仿宋" w:eastAsia="仿宋" w:cs="Arial"/>
          <w:color w:val="000000"/>
          <w:sz w:val="28"/>
          <w:szCs w:val="20"/>
        </w:rPr>
        <w:t>，</w:t>
      </w:r>
      <w:r>
        <w:rPr>
          <w:rFonts w:ascii="仿宋" w:hAnsi="仿宋" w:eastAsia="仿宋" w:cs="Arial"/>
          <w:color w:val="000000"/>
          <w:sz w:val="28"/>
          <w:szCs w:val="20"/>
        </w:rPr>
        <w:t>并包含了当前节点的</w:t>
      </w:r>
      <w:r>
        <w:rPr>
          <w:rFonts w:hint="eastAsia" w:ascii="仿宋" w:hAnsi="仿宋" w:eastAsia="仿宋" w:cs="Arial"/>
          <w:color w:val="000000"/>
          <w:sz w:val="28"/>
          <w:szCs w:val="20"/>
        </w:rPr>
        <w:t>能耗</w:t>
      </w:r>
      <w:r>
        <w:rPr>
          <w:rFonts w:ascii="仿宋" w:hAnsi="仿宋" w:eastAsia="仿宋" w:cs="Arial"/>
          <w:color w:val="000000"/>
          <w:sz w:val="28"/>
          <w:szCs w:val="20"/>
        </w:rPr>
        <w:t>告警信息。</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周围节点显示：界面节点</w:t>
      </w:r>
      <w:r>
        <w:rPr>
          <w:rFonts w:ascii="仿宋" w:hAnsi="仿宋" w:eastAsia="仿宋" w:cs="Arial"/>
          <w:color w:val="000000"/>
          <w:sz w:val="28"/>
          <w:szCs w:val="20"/>
        </w:rPr>
        <w:t>太多</w:t>
      </w:r>
      <w:r>
        <w:rPr>
          <w:rFonts w:hint="eastAsia" w:ascii="仿宋" w:hAnsi="仿宋" w:eastAsia="仿宋" w:cs="Arial"/>
          <w:color w:val="000000"/>
          <w:sz w:val="28"/>
          <w:szCs w:val="20"/>
        </w:rPr>
        <w:t>时</w:t>
      </w:r>
      <w:r>
        <w:rPr>
          <w:rFonts w:ascii="仿宋" w:hAnsi="仿宋" w:eastAsia="仿宋" w:cs="Arial"/>
          <w:color w:val="000000"/>
          <w:sz w:val="28"/>
          <w:szCs w:val="20"/>
        </w:rPr>
        <w:t>，</w:t>
      </w:r>
      <w:r>
        <w:rPr>
          <w:rFonts w:hint="eastAsia" w:ascii="仿宋" w:hAnsi="仿宋" w:eastAsia="仿宋" w:cs="Arial"/>
          <w:color w:val="000000"/>
          <w:sz w:val="28"/>
          <w:szCs w:val="20"/>
        </w:rPr>
        <w:t>应支持</w:t>
      </w:r>
      <w:r>
        <w:rPr>
          <w:rFonts w:ascii="仿宋" w:hAnsi="仿宋" w:eastAsia="仿宋" w:cs="Arial"/>
          <w:color w:val="000000"/>
          <w:sz w:val="28"/>
          <w:szCs w:val="20"/>
        </w:rPr>
        <w:t>只显示当前节点的</w:t>
      </w:r>
      <w:r>
        <w:rPr>
          <w:rFonts w:hint="eastAsia" w:ascii="仿宋" w:hAnsi="仿宋" w:eastAsia="仿宋" w:cs="Arial"/>
          <w:color w:val="000000"/>
          <w:sz w:val="28"/>
          <w:szCs w:val="20"/>
        </w:rPr>
        <w:t>父</w:t>
      </w:r>
      <w:r>
        <w:rPr>
          <w:rFonts w:ascii="仿宋" w:hAnsi="仿宋" w:eastAsia="仿宋" w:cs="Arial"/>
          <w:color w:val="000000"/>
          <w:sz w:val="28"/>
          <w:szCs w:val="20"/>
        </w:rPr>
        <w:t>3级</w:t>
      </w:r>
      <w:r>
        <w:rPr>
          <w:rFonts w:hint="eastAsia" w:ascii="仿宋" w:hAnsi="仿宋" w:eastAsia="仿宋" w:cs="Arial"/>
          <w:color w:val="000000"/>
          <w:sz w:val="28"/>
          <w:szCs w:val="20"/>
        </w:rPr>
        <w:t>和子</w:t>
      </w:r>
      <w:r>
        <w:rPr>
          <w:rFonts w:ascii="仿宋" w:hAnsi="仿宋" w:eastAsia="仿宋" w:cs="Arial"/>
          <w:color w:val="000000"/>
          <w:sz w:val="28"/>
          <w:szCs w:val="20"/>
        </w:rPr>
        <w:t>3级</w:t>
      </w:r>
      <w:r>
        <w:rPr>
          <w:rFonts w:hint="eastAsia" w:ascii="仿宋" w:hAnsi="仿宋" w:eastAsia="仿宋" w:cs="Arial"/>
          <w:color w:val="000000"/>
          <w:sz w:val="28"/>
          <w:szCs w:val="20"/>
        </w:rPr>
        <w:t>的信息。</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节点搜索：应支持节点搜索功能，以便在大型数据中心中能快速查找</w:t>
      </w:r>
      <w:r>
        <w:rPr>
          <w:rFonts w:ascii="仿宋" w:hAnsi="仿宋" w:eastAsia="仿宋" w:cs="Arial"/>
          <w:color w:val="000000"/>
          <w:sz w:val="28"/>
          <w:szCs w:val="20"/>
        </w:rPr>
        <w:t>跳转定位到指定节点。</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视图缩放：</w:t>
      </w:r>
      <w:r>
        <w:rPr>
          <w:rFonts w:ascii="仿宋" w:hAnsi="仿宋" w:eastAsia="仿宋" w:cs="Arial"/>
          <w:color w:val="000000"/>
          <w:sz w:val="28"/>
          <w:szCs w:val="20"/>
        </w:rPr>
        <w:t>在</w:t>
      </w:r>
      <w:r>
        <w:rPr>
          <w:rFonts w:hint="eastAsia" w:ascii="仿宋" w:hAnsi="仿宋" w:eastAsia="仿宋" w:cs="Arial"/>
          <w:color w:val="000000"/>
          <w:sz w:val="28"/>
          <w:szCs w:val="20"/>
        </w:rPr>
        <w:t>能耗全景</w:t>
      </w:r>
      <w:r>
        <w:rPr>
          <w:rFonts w:ascii="仿宋" w:hAnsi="仿宋" w:eastAsia="仿宋" w:cs="Arial"/>
          <w:color w:val="000000"/>
          <w:sz w:val="28"/>
          <w:szCs w:val="20"/>
        </w:rPr>
        <w:t>界面滚动鼠标滚轮</w:t>
      </w:r>
      <w:r>
        <w:rPr>
          <w:rFonts w:hint="eastAsia" w:ascii="仿宋" w:hAnsi="仿宋" w:eastAsia="仿宋" w:cs="Arial"/>
          <w:color w:val="000000"/>
          <w:sz w:val="28"/>
          <w:szCs w:val="20"/>
        </w:rPr>
        <w:t>即可调整</w:t>
      </w:r>
      <w:r>
        <w:rPr>
          <w:rFonts w:ascii="仿宋" w:hAnsi="仿宋" w:eastAsia="仿宋" w:cs="Arial"/>
          <w:color w:val="000000"/>
          <w:sz w:val="28"/>
          <w:szCs w:val="20"/>
        </w:rPr>
        <w:t>能耗图大小</w:t>
      </w:r>
      <w:r>
        <w:rPr>
          <w:rFonts w:hint="eastAsia" w:ascii="仿宋" w:hAnsi="仿宋" w:eastAsia="仿宋" w:cs="Arial"/>
          <w:color w:val="000000"/>
          <w:sz w:val="28"/>
          <w:szCs w:val="20"/>
        </w:rPr>
        <w:t>，另外应支持</w:t>
      </w:r>
      <w:r>
        <w:rPr>
          <w:rFonts w:ascii="仿宋" w:hAnsi="仿宋" w:eastAsia="仿宋" w:cs="Arial"/>
          <w:color w:val="000000"/>
          <w:sz w:val="28"/>
          <w:szCs w:val="20"/>
        </w:rPr>
        <w:t>缩放定制比例</w:t>
      </w:r>
      <w:r>
        <w:rPr>
          <w:rFonts w:hint="eastAsia" w:ascii="仿宋" w:hAnsi="仿宋" w:eastAsia="仿宋" w:cs="Arial"/>
          <w:color w:val="000000"/>
          <w:sz w:val="28"/>
          <w:szCs w:val="20"/>
        </w:rPr>
        <w:t>，以及</w:t>
      </w:r>
      <w:r>
        <w:rPr>
          <w:rFonts w:ascii="仿宋" w:hAnsi="仿宋" w:eastAsia="仿宋" w:cs="Arial"/>
          <w:color w:val="000000"/>
          <w:sz w:val="28"/>
          <w:szCs w:val="20"/>
        </w:rPr>
        <w:t>X轴</w:t>
      </w:r>
      <w:r>
        <w:rPr>
          <w:rFonts w:hint="eastAsia" w:ascii="仿宋" w:hAnsi="仿宋" w:eastAsia="仿宋" w:cs="Arial"/>
          <w:color w:val="000000"/>
          <w:sz w:val="28"/>
          <w:szCs w:val="20"/>
        </w:rPr>
        <w:t>和</w:t>
      </w:r>
      <w:r>
        <w:rPr>
          <w:rFonts w:ascii="仿宋" w:hAnsi="仿宋" w:eastAsia="仿宋" w:cs="Arial"/>
          <w:color w:val="000000"/>
          <w:sz w:val="28"/>
          <w:szCs w:val="20"/>
        </w:rPr>
        <w:t>Y轴</w:t>
      </w:r>
      <w:r>
        <w:rPr>
          <w:rFonts w:hint="eastAsia" w:ascii="仿宋" w:hAnsi="仿宋" w:eastAsia="仿宋" w:cs="Arial"/>
          <w:color w:val="000000"/>
          <w:sz w:val="28"/>
          <w:szCs w:val="20"/>
        </w:rPr>
        <w:t>独立</w:t>
      </w:r>
      <w:r>
        <w:rPr>
          <w:rFonts w:ascii="仿宋" w:hAnsi="仿宋" w:eastAsia="仿宋" w:cs="Arial"/>
          <w:color w:val="000000"/>
          <w:sz w:val="28"/>
          <w:szCs w:val="20"/>
        </w:rPr>
        <w:t>缩放</w:t>
      </w:r>
      <w:r>
        <w:rPr>
          <w:rFonts w:hint="eastAsia" w:ascii="仿宋" w:hAnsi="仿宋" w:eastAsia="仿宋" w:cs="Arial"/>
          <w:color w:val="000000"/>
          <w:sz w:val="28"/>
          <w:szCs w:val="20"/>
        </w:rPr>
        <w:t>。</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告警查询：当</w:t>
      </w:r>
      <w:r>
        <w:rPr>
          <w:rFonts w:ascii="仿宋" w:hAnsi="仿宋" w:eastAsia="仿宋" w:cs="Arial"/>
          <w:color w:val="000000"/>
          <w:sz w:val="28"/>
          <w:szCs w:val="20"/>
        </w:rPr>
        <w:t>节点触发能耗告警时</w:t>
      </w:r>
      <w:r>
        <w:rPr>
          <w:rFonts w:hint="eastAsia" w:ascii="仿宋" w:hAnsi="仿宋" w:eastAsia="仿宋" w:cs="Arial"/>
          <w:color w:val="000000"/>
          <w:sz w:val="28"/>
          <w:szCs w:val="20"/>
        </w:rPr>
        <w:t>，能耗图上</w:t>
      </w:r>
      <w:r>
        <w:rPr>
          <w:rFonts w:ascii="仿宋" w:hAnsi="仿宋" w:eastAsia="仿宋" w:cs="Arial"/>
          <w:color w:val="000000"/>
          <w:sz w:val="28"/>
          <w:szCs w:val="20"/>
        </w:rPr>
        <w:t>节点会</w:t>
      </w:r>
      <w:r>
        <w:rPr>
          <w:rFonts w:hint="eastAsia" w:ascii="仿宋" w:hAnsi="仿宋" w:eastAsia="仿宋" w:cs="Arial"/>
          <w:color w:val="000000"/>
          <w:sz w:val="28"/>
          <w:szCs w:val="20"/>
        </w:rPr>
        <w:t>根据</w:t>
      </w:r>
      <w:r>
        <w:rPr>
          <w:rFonts w:ascii="仿宋" w:hAnsi="仿宋" w:eastAsia="仿宋" w:cs="Arial"/>
          <w:color w:val="000000"/>
          <w:sz w:val="28"/>
          <w:szCs w:val="20"/>
        </w:rPr>
        <w:t>告警级别进行闪烁变色</w:t>
      </w:r>
      <w:r>
        <w:rPr>
          <w:rFonts w:hint="eastAsia" w:ascii="仿宋" w:hAnsi="仿宋" w:eastAsia="仿宋" w:cs="Arial"/>
          <w:color w:val="000000"/>
          <w:sz w:val="28"/>
          <w:szCs w:val="20"/>
        </w:rPr>
        <w:t>，</w:t>
      </w:r>
      <w:r>
        <w:rPr>
          <w:rFonts w:ascii="仿宋" w:hAnsi="仿宋" w:eastAsia="仿宋" w:cs="Arial"/>
          <w:color w:val="000000"/>
          <w:sz w:val="28"/>
          <w:szCs w:val="20"/>
        </w:rPr>
        <w:t>双击节点查看详细报警信息</w:t>
      </w:r>
      <w:r>
        <w:rPr>
          <w:rFonts w:hint="eastAsia" w:ascii="仿宋" w:hAnsi="仿宋" w:eastAsia="仿宋" w:cs="Arial"/>
          <w:color w:val="000000"/>
          <w:sz w:val="28"/>
          <w:szCs w:val="20"/>
        </w:rPr>
        <w:t>，告警</w:t>
      </w:r>
      <w:r>
        <w:rPr>
          <w:rFonts w:ascii="仿宋" w:hAnsi="仿宋" w:eastAsia="仿宋" w:cs="Arial"/>
          <w:color w:val="000000"/>
          <w:sz w:val="28"/>
          <w:szCs w:val="20"/>
        </w:rPr>
        <w:t>分为四个等级</w:t>
      </w:r>
      <w:r>
        <w:rPr>
          <w:rFonts w:hint="eastAsia" w:ascii="仿宋" w:hAnsi="仿宋" w:eastAsia="仿宋" w:cs="Arial"/>
          <w:color w:val="000000"/>
          <w:sz w:val="28"/>
          <w:szCs w:val="20"/>
        </w:rPr>
        <w:t>：一般、</w:t>
      </w:r>
      <w:r>
        <w:rPr>
          <w:rFonts w:ascii="仿宋" w:hAnsi="仿宋" w:eastAsia="仿宋" w:cs="Arial"/>
          <w:color w:val="000000"/>
          <w:sz w:val="28"/>
          <w:szCs w:val="20"/>
        </w:rPr>
        <w:t>普通、重要</w:t>
      </w:r>
      <w:r>
        <w:rPr>
          <w:rFonts w:hint="eastAsia" w:ascii="仿宋" w:hAnsi="仿宋" w:eastAsia="仿宋" w:cs="Arial"/>
          <w:color w:val="000000"/>
          <w:sz w:val="28"/>
          <w:szCs w:val="20"/>
        </w:rPr>
        <w:t>和</w:t>
      </w:r>
      <w:r>
        <w:rPr>
          <w:rFonts w:ascii="仿宋" w:hAnsi="仿宋" w:eastAsia="仿宋" w:cs="Arial"/>
          <w:color w:val="000000"/>
          <w:sz w:val="28"/>
          <w:szCs w:val="20"/>
        </w:rPr>
        <w:t>紧急</w:t>
      </w:r>
      <w:r>
        <w:rPr>
          <w:rFonts w:hint="eastAsia" w:ascii="仿宋" w:hAnsi="仿宋" w:eastAsia="仿宋" w:cs="Arial"/>
          <w:color w:val="000000"/>
          <w:sz w:val="28"/>
          <w:szCs w:val="20"/>
        </w:rPr>
        <w:t>告警</w:t>
      </w:r>
      <w:r>
        <w:rPr>
          <w:rFonts w:ascii="仿宋" w:hAnsi="仿宋" w:eastAsia="仿宋" w:cs="Arial"/>
          <w:color w:val="000000"/>
          <w:sz w:val="28"/>
          <w:szCs w:val="20"/>
        </w:rPr>
        <w:t>。</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报表查询：应支持电流</w:t>
      </w:r>
      <w:r>
        <w:rPr>
          <w:rFonts w:ascii="仿宋" w:hAnsi="仿宋" w:eastAsia="仿宋" w:cs="Arial"/>
          <w:color w:val="000000"/>
          <w:sz w:val="28"/>
          <w:szCs w:val="20"/>
        </w:rPr>
        <w:t>、电压、功率</w:t>
      </w:r>
      <w:r>
        <w:rPr>
          <w:rFonts w:hint="eastAsia" w:ascii="仿宋" w:hAnsi="仿宋" w:eastAsia="仿宋" w:cs="Arial"/>
          <w:color w:val="000000"/>
          <w:sz w:val="28"/>
          <w:szCs w:val="20"/>
        </w:rPr>
        <w:t>和</w:t>
      </w:r>
      <w:r>
        <w:rPr>
          <w:rFonts w:ascii="仿宋" w:hAnsi="仿宋" w:eastAsia="仿宋" w:cs="Arial"/>
          <w:color w:val="000000"/>
          <w:sz w:val="28"/>
          <w:szCs w:val="20"/>
        </w:rPr>
        <w:t>能耗四个维度</w:t>
      </w:r>
      <w:r>
        <w:rPr>
          <w:rFonts w:hint="eastAsia" w:ascii="仿宋" w:hAnsi="仿宋" w:eastAsia="仿宋" w:cs="Arial"/>
          <w:color w:val="000000"/>
          <w:sz w:val="28"/>
          <w:szCs w:val="20"/>
        </w:rPr>
        <w:t>的报表查询，并支持通过</w:t>
      </w:r>
      <w:r>
        <w:rPr>
          <w:rFonts w:ascii="仿宋" w:hAnsi="仿宋" w:eastAsia="仿宋" w:cs="Arial"/>
          <w:color w:val="000000"/>
          <w:sz w:val="28"/>
          <w:szCs w:val="20"/>
        </w:rPr>
        <w:t>能耗图</w:t>
      </w:r>
      <w:r>
        <w:rPr>
          <w:rFonts w:hint="eastAsia" w:ascii="仿宋" w:hAnsi="仿宋" w:eastAsia="仿宋" w:cs="Arial"/>
          <w:color w:val="000000"/>
          <w:sz w:val="28"/>
          <w:szCs w:val="20"/>
        </w:rPr>
        <w:t>节点操作输出该节点的</w:t>
      </w:r>
      <w:r>
        <w:rPr>
          <w:rFonts w:ascii="仿宋" w:hAnsi="仿宋" w:eastAsia="仿宋" w:cs="Arial"/>
          <w:color w:val="000000"/>
          <w:sz w:val="28"/>
          <w:szCs w:val="20"/>
        </w:rPr>
        <w:t>四个维度</w:t>
      </w:r>
      <w:r>
        <w:rPr>
          <w:rFonts w:hint="eastAsia" w:ascii="仿宋" w:hAnsi="仿宋" w:eastAsia="仿宋" w:cs="Arial"/>
          <w:color w:val="000000"/>
          <w:sz w:val="28"/>
          <w:szCs w:val="20"/>
        </w:rPr>
        <w:t>的报表查询。</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运维管理</w:t>
      </w:r>
    </w:p>
    <w:p>
      <w:pPr>
        <w:numPr>
          <w:ilvl w:val="0"/>
          <w:numId w:val="59"/>
        </w:numPr>
        <w:ind w:left="900" w:hanging="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信息中心</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信息中心应提供运维工作台、待办及已办、公告、消息提醒、服务日历、资源日历和报表基本业务。</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工作台应呈现基本的待办信息、用户消息、隐患提醒、活动告警、公告信息、未关闭工单、当天巡检任务、本月维护作业、服务要求和应急演练情况，以及提供事件工单、交接班和服务需求处理入口。</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待办及已办主要为各项电子流程事务，应按照巡检任务单、服务恢复报告归档电子流、变更管理电子流、盘点任务单、维护任务单、库存管理电子流、服务需求电子流、管理改进电子流、设备变革电子流等业务进行划分展示。</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服务日历以日历的方式呈现各项待办任务和维护计划要求。</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资源日历以日历的方式呈现各项任务的人力服务资源的配置状况。</w:t>
      </w:r>
    </w:p>
    <w:p>
      <w:pPr>
        <w:widowControl/>
        <w:ind w:firstLine="480"/>
        <w:rPr>
          <w:rFonts w:hint="eastAsia" w:ascii="仿宋" w:hAnsi="仿宋" w:eastAsia="仿宋" w:cs="Arial"/>
          <w:color w:val="000000"/>
          <w:sz w:val="28"/>
          <w:szCs w:val="20"/>
        </w:rPr>
      </w:pPr>
      <w:r>
        <w:rPr>
          <w:rFonts w:hint="eastAsia" w:ascii="仿宋" w:hAnsi="仿宋" w:eastAsia="仿宋" w:cs="Arial"/>
          <w:color w:val="000000"/>
          <w:sz w:val="28"/>
          <w:szCs w:val="20"/>
        </w:rPr>
        <w:t>报表应包括人员、巡检、设备运行状态、事件工单、预防性维护、服务需求、备件耗材、K</w:t>
      </w:r>
      <w:r>
        <w:rPr>
          <w:rFonts w:ascii="仿宋" w:hAnsi="仿宋" w:eastAsia="仿宋" w:cs="Arial"/>
          <w:color w:val="000000"/>
          <w:sz w:val="28"/>
          <w:szCs w:val="20"/>
        </w:rPr>
        <w:t>PI</w:t>
      </w:r>
      <w:r>
        <w:rPr>
          <w:rFonts w:hint="eastAsia" w:ascii="仿宋" w:hAnsi="仿宋" w:eastAsia="仿宋" w:cs="Arial"/>
          <w:color w:val="000000"/>
          <w:sz w:val="28"/>
          <w:szCs w:val="20"/>
        </w:rPr>
        <w:t>指标和培训等各维度具体的运维管理报表，深化设计时明确具体的报表内容要求。</w:t>
      </w:r>
    </w:p>
    <w:p>
      <w:pPr>
        <w:numPr>
          <w:ilvl w:val="0"/>
          <w:numId w:val="59"/>
        </w:numPr>
        <w:ind w:left="900" w:hanging="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资产管理</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资产管理应包含对基础设施设备、工具、备件耗材的管理。</w:t>
      </w:r>
    </w:p>
    <w:p>
      <w:pPr>
        <w:widowControl/>
        <w:ind w:firstLine="480"/>
        <w:rPr>
          <w:rFonts w:hint="eastAsia" w:ascii="仿宋" w:hAnsi="仿宋" w:eastAsia="仿宋" w:cs="Arial"/>
          <w:color w:val="000000"/>
          <w:sz w:val="28"/>
          <w:szCs w:val="20"/>
        </w:rPr>
      </w:pPr>
      <w:r>
        <w:rPr>
          <w:rFonts w:hint="eastAsia" w:ascii="仿宋" w:hAnsi="仿宋" w:eastAsia="仿宋" w:cs="Arial"/>
          <w:color w:val="000000"/>
          <w:sz w:val="28"/>
          <w:szCs w:val="20"/>
        </w:rPr>
        <w:t>系统应支持采用导入Excel文件的方式实现批量数据中心资产信息录入、更新和</w:t>
      </w:r>
      <w:r>
        <w:rPr>
          <w:rFonts w:ascii="仿宋" w:hAnsi="仿宋" w:eastAsia="仿宋" w:cs="Arial"/>
          <w:color w:val="000000"/>
          <w:sz w:val="28"/>
          <w:szCs w:val="20"/>
        </w:rPr>
        <w:t>导出</w:t>
      </w:r>
      <w:r>
        <w:rPr>
          <w:rFonts w:hint="eastAsia" w:ascii="仿宋" w:hAnsi="仿宋" w:eastAsia="仿宋" w:cs="Arial"/>
          <w:color w:val="000000"/>
          <w:sz w:val="28"/>
          <w:szCs w:val="20"/>
        </w:rPr>
        <w:t>。同时提供易用的搜索和过滤功能，方便用户快速定位和选择资产。</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所有设备</w:t>
      </w:r>
      <w:r>
        <w:rPr>
          <w:rFonts w:ascii="仿宋" w:hAnsi="仿宋" w:eastAsia="仿宋" w:cs="Arial"/>
          <w:color w:val="000000"/>
          <w:sz w:val="28"/>
          <w:szCs w:val="20"/>
        </w:rPr>
        <w:t>资产的</w:t>
      </w:r>
      <w:r>
        <w:rPr>
          <w:rFonts w:hint="eastAsia" w:ascii="仿宋" w:hAnsi="仿宋" w:eastAsia="仿宋" w:cs="Arial"/>
          <w:color w:val="000000"/>
          <w:sz w:val="28"/>
          <w:szCs w:val="20"/>
        </w:rPr>
        <w:t>新增</w:t>
      </w:r>
      <w:r>
        <w:rPr>
          <w:rFonts w:ascii="仿宋" w:hAnsi="仿宋" w:eastAsia="仿宋" w:cs="Arial"/>
          <w:color w:val="000000"/>
          <w:sz w:val="28"/>
          <w:szCs w:val="20"/>
        </w:rPr>
        <w:t>、编辑及删除均</w:t>
      </w:r>
      <w:r>
        <w:rPr>
          <w:rFonts w:hint="eastAsia" w:ascii="仿宋" w:hAnsi="仿宋" w:eastAsia="仿宋" w:cs="Arial"/>
          <w:color w:val="000000"/>
          <w:sz w:val="28"/>
          <w:szCs w:val="20"/>
        </w:rPr>
        <w:t>应</w:t>
      </w:r>
      <w:r>
        <w:rPr>
          <w:rFonts w:ascii="仿宋" w:hAnsi="仿宋" w:eastAsia="仿宋" w:cs="Arial"/>
          <w:color w:val="000000"/>
          <w:sz w:val="28"/>
          <w:szCs w:val="20"/>
        </w:rPr>
        <w:t>经过</w:t>
      </w:r>
      <w:r>
        <w:rPr>
          <w:rFonts w:hint="eastAsia" w:ascii="仿宋" w:hAnsi="仿宋" w:eastAsia="仿宋" w:cs="Arial"/>
          <w:color w:val="000000"/>
          <w:sz w:val="28"/>
          <w:szCs w:val="20"/>
        </w:rPr>
        <w:t>电子流</w:t>
      </w:r>
      <w:r>
        <w:rPr>
          <w:rFonts w:ascii="仿宋" w:hAnsi="仿宋" w:eastAsia="仿宋" w:cs="Arial"/>
          <w:color w:val="000000"/>
          <w:sz w:val="28"/>
          <w:szCs w:val="20"/>
        </w:rPr>
        <w:t>评审后才能发布至数据库，以保证数据严谨</w:t>
      </w:r>
      <w:r>
        <w:rPr>
          <w:rFonts w:hint="eastAsia" w:ascii="仿宋" w:hAnsi="仿宋" w:eastAsia="仿宋" w:cs="Arial"/>
          <w:color w:val="000000"/>
          <w:sz w:val="28"/>
          <w:szCs w:val="20"/>
        </w:rPr>
        <w:t>和</w:t>
      </w:r>
      <w:r>
        <w:rPr>
          <w:rFonts w:ascii="仿宋" w:hAnsi="仿宋" w:eastAsia="仿宋" w:cs="Arial"/>
          <w:color w:val="000000"/>
          <w:sz w:val="28"/>
          <w:szCs w:val="20"/>
        </w:rPr>
        <w:t>真实</w:t>
      </w:r>
      <w:r>
        <w:rPr>
          <w:rFonts w:hint="eastAsia" w:ascii="仿宋" w:hAnsi="仿宋" w:eastAsia="仿宋" w:cs="Arial"/>
          <w:color w:val="000000"/>
          <w:sz w:val="28"/>
          <w:szCs w:val="20"/>
        </w:rPr>
        <w:t>，而且通过</w:t>
      </w:r>
      <w:r>
        <w:rPr>
          <w:rFonts w:ascii="仿宋" w:hAnsi="仿宋" w:eastAsia="仿宋" w:cs="Arial"/>
          <w:color w:val="000000"/>
          <w:sz w:val="28"/>
          <w:szCs w:val="20"/>
        </w:rPr>
        <w:t>流程</w:t>
      </w:r>
      <w:r>
        <w:rPr>
          <w:rFonts w:hint="eastAsia" w:ascii="仿宋" w:hAnsi="仿宋" w:eastAsia="仿宋" w:cs="Arial"/>
          <w:color w:val="000000"/>
          <w:sz w:val="28"/>
          <w:szCs w:val="20"/>
        </w:rPr>
        <w:t>历史</w:t>
      </w:r>
      <w:r>
        <w:rPr>
          <w:rFonts w:ascii="仿宋" w:hAnsi="仿宋" w:eastAsia="仿宋" w:cs="Arial"/>
          <w:color w:val="000000"/>
          <w:sz w:val="28"/>
          <w:szCs w:val="20"/>
        </w:rPr>
        <w:t>对电子流</w:t>
      </w:r>
      <w:r>
        <w:rPr>
          <w:rFonts w:hint="eastAsia" w:ascii="仿宋" w:hAnsi="仿宋" w:eastAsia="仿宋" w:cs="Arial"/>
          <w:color w:val="000000"/>
          <w:sz w:val="28"/>
          <w:szCs w:val="20"/>
        </w:rPr>
        <w:t>流程</w:t>
      </w:r>
      <w:r>
        <w:rPr>
          <w:rFonts w:ascii="仿宋" w:hAnsi="仿宋" w:eastAsia="仿宋" w:cs="Arial"/>
          <w:color w:val="000000"/>
          <w:sz w:val="28"/>
          <w:szCs w:val="20"/>
        </w:rPr>
        <w:t>进行追溯</w:t>
      </w:r>
      <w:r>
        <w:rPr>
          <w:rFonts w:hint="eastAsia" w:ascii="仿宋" w:hAnsi="仿宋" w:eastAsia="仿宋" w:cs="Arial"/>
          <w:color w:val="000000"/>
          <w:sz w:val="28"/>
          <w:szCs w:val="20"/>
        </w:rPr>
        <w:t>，设备资产变更电子流审批通过之后，应可在设备中体现相关信息。</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系统</w:t>
      </w:r>
      <w:r>
        <w:rPr>
          <w:rFonts w:ascii="仿宋" w:hAnsi="仿宋" w:eastAsia="仿宋" w:cs="Arial"/>
          <w:color w:val="000000"/>
          <w:sz w:val="28"/>
          <w:szCs w:val="20"/>
        </w:rPr>
        <w:t>对</w:t>
      </w:r>
      <w:r>
        <w:rPr>
          <w:rFonts w:hint="eastAsia" w:ascii="仿宋" w:hAnsi="仿宋" w:eastAsia="仿宋" w:cs="Arial"/>
          <w:color w:val="000000"/>
          <w:sz w:val="28"/>
          <w:szCs w:val="20"/>
        </w:rPr>
        <w:t>设备</w:t>
      </w:r>
      <w:r>
        <w:rPr>
          <w:rFonts w:ascii="仿宋" w:hAnsi="仿宋" w:eastAsia="仿宋" w:cs="Arial"/>
          <w:color w:val="000000"/>
          <w:sz w:val="28"/>
          <w:szCs w:val="20"/>
        </w:rPr>
        <w:t>进行360度</w:t>
      </w:r>
      <w:r>
        <w:rPr>
          <w:rFonts w:hint="eastAsia" w:ascii="仿宋" w:hAnsi="仿宋" w:eastAsia="仿宋" w:cs="Arial"/>
          <w:color w:val="000000"/>
          <w:sz w:val="28"/>
          <w:szCs w:val="20"/>
        </w:rPr>
        <w:t>视图</w:t>
      </w:r>
      <w:r>
        <w:rPr>
          <w:rFonts w:ascii="仿宋" w:hAnsi="仿宋" w:eastAsia="仿宋" w:cs="Arial"/>
          <w:color w:val="000000"/>
          <w:sz w:val="28"/>
          <w:szCs w:val="20"/>
        </w:rPr>
        <w:t>管理，</w:t>
      </w:r>
      <w:r>
        <w:rPr>
          <w:rFonts w:hint="eastAsia" w:ascii="仿宋" w:hAnsi="仿宋" w:eastAsia="仿宋" w:cs="Arial"/>
          <w:color w:val="000000"/>
          <w:sz w:val="28"/>
          <w:szCs w:val="20"/>
        </w:rPr>
        <w:t>设备</w:t>
      </w:r>
      <w:r>
        <w:rPr>
          <w:rFonts w:ascii="仿宋" w:hAnsi="仿宋" w:eastAsia="仿宋" w:cs="Arial"/>
          <w:color w:val="000000"/>
          <w:sz w:val="28"/>
          <w:szCs w:val="20"/>
        </w:rPr>
        <w:t>的所有信息如基本信息、</w:t>
      </w:r>
      <w:r>
        <w:rPr>
          <w:rFonts w:hint="eastAsia" w:ascii="仿宋" w:hAnsi="仿宋" w:eastAsia="仿宋" w:cs="Arial"/>
          <w:color w:val="000000"/>
          <w:sz w:val="28"/>
          <w:szCs w:val="20"/>
        </w:rPr>
        <w:t>巡检、告警</w:t>
      </w:r>
      <w:r>
        <w:rPr>
          <w:rFonts w:ascii="仿宋" w:hAnsi="仿宋" w:eastAsia="仿宋" w:cs="Arial"/>
          <w:color w:val="000000"/>
          <w:sz w:val="28"/>
          <w:szCs w:val="20"/>
        </w:rPr>
        <w:t>、</w:t>
      </w:r>
      <w:r>
        <w:rPr>
          <w:rFonts w:hint="eastAsia" w:ascii="仿宋" w:hAnsi="仿宋" w:eastAsia="仿宋" w:cs="Arial"/>
          <w:color w:val="000000"/>
          <w:sz w:val="28"/>
          <w:szCs w:val="20"/>
        </w:rPr>
        <w:t>事件</w:t>
      </w:r>
      <w:r>
        <w:rPr>
          <w:rFonts w:ascii="仿宋" w:hAnsi="仿宋" w:eastAsia="仿宋" w:cs="Arial"/>
          <w:color w:val="000000"/>
          <w:sz w:val="28"/>
          <w:szCs w:val="20"/>
        </w:rPr>
        <w:t>工单、文档</w:t>
      </w:r>
      <w:r>
        <w:rPr>
          <w:rFonts w:hint="eastAsia" w:ascii="仿宋" w:hAnsi="仿宋" w:eastAsia="仿宋" w:cs="Arial"/>
          <w:color w:val="000000"/>
          <w:sz w:val="28"/>
          <w:szCs w:val="20"/>
        </w:rPr>
        <w:t>、预防性维护、生命周期</w:t>
      </w:r>
      <w:r>
        <w:rPr>
          <w:rFonts w:ascii="仿宋" w:hAnsi="仿宋" w:eastAsia="仿宋" w:cs="Arial"/>
          <w:color w:val="000000"/>
          <w:sz w:val="28"/>
          <w:szCs w:val="20"/>
        </w:rPr>
        <w:t>等信息</w:t>
      </w:r>
      <w:r>
        <w:rPr>
          <w:rFonts w:hint="eastAsia" w:ascii="仿宋" w:hAnsi="仿宋" w:eastAsia="仿宋" w:cs="Arial"/>
          <w:color w:val="000000"/>
          <w:sz w:val="28"/>
          <w:szCs w:val="20"/>
        </w:rPr>
        <w:t>将</w:t>
      </w:r>
      <w:r>
        <w:rPr>
          <w:rFonts w:ascii="仿宋" w:hAnsi="仿宋" w:eastAsia="仿宋" w:cs="Arial"/>
          <w:color w:val="000000"/>
          <w:sz w:val="28"/>
          <w:szCs w:val="20"/>
        </w:rPr>
        <w:t>自动更新</w:t>
      </w:r>
      <w:r>
        <w:rPr>
          <w:rFonts w:hint="eastAsia" w:ascii="仿宋" w:hAnsi="仿宋" w:eastAsia="仿宋" w:cs="Arial"/>
          <w:color w:val="000000"/>
          <w:sz w:val="28"/>
          <w:szCs w:val="20"/>
        </w:rPr>
        <w:t>，</w:t>
      </w:r>
      <w:r>
        <w:rPr>
          <w:rFonts w:ascii="仿宋" w:hAnsi="仿宋" w:eastAsia="仿宋" w:cs="Arial"/>
          <w:color w:val="000000"/>
          <w:sz w:val="28"/>
          <w:szCs w:val="20"/>
        </w:rPr>
        <w:t>以方便</w:t>
      </w:r>
      <w:r>
        <w:rPr>
          <w:rFonts w:hint="eastAsia" w:ascii="仿宋" w:hAnsi="仿宋" w:eastAsia="仿宋" w:cs="Arial"/>
          <w:color w:val="000000"/>
          <w:sz w:val="28"/>
          <w:szCs w:val="20"/>
        </w:rPr>
        <w:t>设备</w:t>
      </w:r>
      <w:r>
        <w:rPr>
          <w:rFonts w:ascii="仿宋" w:hAnsi="仿宋" w:eastAsia="仿宋" w:cs="Arial"/>
          <w:color w:val="000000"/>
          <w:sz w:val="28"/>
          <w:szCs w:val="20"/>
        </w:rPr>
        <w:t>日常</w:t>
      </w:r>
      <w:r>
        <w:rPr>
          <w:rFonts w:hint="eastAsia" w:ascii="仿宋" w:hAnsi="仿宋" w:eastAsia="仿宋" w:cs="Arial"/>
          <w:color w:val="000000"/>
          <w:sz w:val="28"/>
          <w:szCs w:val="20"/>
        </w:rPr>
        <w:t>维护</w:t>
      </w:r>
      <w:r>
        <w:rPr>
          <w:rFonts w:ascii="仿宋" w:hAnsi="仿宋" w:eastAsia="仿宋" w:cs="Arial"/>
          <w:color w:val="000000"/>
          <w:sz w:val="28"/>
          <w:szCs w:val="20"/>
        </w:rPr>
        <w:t>。</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工具</w:t>
      </w:r>
      <w:r>
        <w:rPr>
          <w:rFonts w:ascii="仿宋" w:hAnsi="仿宋" w:eastAsia="仿宋" w:cs="Arial"/>
          <w:color w:val="000000"/>
          <w:sz w:val="28"/>
          <w:szCs w:val="20"/>
        </w:rPr>
        <w:t>仪表</w:t>
      </w:r>
      <w:r>
        <w:rPr>
          <w:rFonts w:hint="eastAsia" w:ascii="仿宋" w:hAnsi="仿宋" w:eastAsia="仿宋" w:cs="Arial"/>
          <w:color w:val="000000"/>
          <w:sz w:val="28"/>
          <w:szCs w:val="20"/>
        </w:rPr>
        <w:t>指</w:t>
      </w:r>
      <w:r>
        <w:rPr>
          <w:rFonts w:ascii="仿宋" w:hAnsi="仿宋" w:eastAsia="仿宋" w:cs="Arial"/>
          <w:color w:val="000000"/>
          <w:sz w:val="28"/>
          <w:szCs w:val="20"/>
        </w:rPr>
        <w:t>运维团队在日常</w:t>
      </w:r>
      <w:r>
        <w:rPr>
          <w:rFonts w:hint="eastAsia" w:ascii="仿宋" w:hAnsi="仿宋" w:eastAsia="仿宋" w:cs="Arial"/>
          <w:color w:val="000000"/>
          <w:sz w:val="28"/>
          <w:szCs w:val="20"/>
        </w:rPr>
        <w:t>工作</w:t>
      </w:r>
      <w:r>
        <w:rPr>
          <w:rFonts w:ascii="仿宋" w:hAnsi="仿宋" w:eastAsia="仿宋" w:cs="Arial"/>
          <w:color w:val="000000"/>
          <w:sz w:val="28"/>
          <w:szCs w:val="20"/>
        </w:rPr>
        <w:t>中需要用到的工具或仪表，如万用表、红外测温仪等</w:t>
      </w:r>
      <w:r>
        <w:rPr>
          <w:rFonts w:hint="eastAsia" w:ascii="仿宋" w:hAnsi="仿宋" w:eastAsia="仿宋" w:cs="Arial"/>
          <w:color w:val="000000"/>
          <w:sz w:val="28"/>
          <w:szCs w:val="20"/>
        </w:rPr>
        <w:t>，应支持</w:t>
      </w:r>
      <w:r>
        <w:rPr>
          <w:rFonts w:ascii="仿宋" w:hAnsi="仿宋" w:eastAsia="仿宋" w:cs="Arial"/>
          <w:color w:val="000000"/>
          <w:sz w:val="28"/>
          <w:szCs w:val="20"/>
        </w:rPr>
        <w:t>对项目</w:t>
      </w:r>
      <w:r>
        <w:rPr>
          <w:rFonts w:hint="eastAsia" w:ascii="仿宋" w:hAnsi="仿宋" w:eastAsia="仿宋" w:cs="Arial"/>
          <w:color w:val="000000"/>
          <w:sz w:val="28"/>
          <w:szCs w:val="20"/>
        </w:rPr>
        <w:t>工具仪表进行新增、发布、修订、失效管理</w:t>
      </w:r>
      <w:r>
        <w:rPr>
          <w:rFonts w:ascii="仿宋" w:hAnsi="仿宋" w:eastAsia="仿宋" w:cs="Arial"/>
          <w:color w:val="000000"/>
          <w:sz w:val="28"/>
          <w:szCs w:val="20"/>
        </w:rPr>
        <w:t>。</w:t>
      </w:r>
    </w:p>
    <w:p>
      <w:pPr>
        <w:widowControl/>
        <w:ind w:firstLine="480"/>
        <w:rPr>
          <w:rFonts w:hint="eastAsia" w:ascii="仿宋" w:hAnsi="仿宋" w:eastAsia="仿宋" w:cs="Arial"/>
          <w:color w:val="000000"/>
          <w:sz w:val="28"/>
          <w:szCs w:val="20"/>
        </w:rPr>
      </w:pPr>
      <w:r>
        <w:rPr>
          <w:rFonts w:hint="eastAsia" w:ascii="仿宋" w:hAnsi="仿宋" w:eastAsia="仿宋" w:cs="Arial"/>
          <w:color w:val="000000"/>
          <w:sz w:val="28"/>
          <w:szCs w:val="20"/>
        </w:rPr>
        <w:t>系统后台自动查验工具仪表的校验日期，并及时进行自动提醒。</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备件耗材管理包含对数据中心维护维修、维护工作用到的备件、耗材及应急物资的库存、入库、出库、报废及盘点业务进行数字化管理。</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系统后台应能自动查验备件耗材库存量是否低于安全库存，并及时进行自动提醒。</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系统</w:t>
      </w:r>
      <w:r>
        <w:rPr>
          <w:rFonts w:ascii="仿宋" w:hAnsi="仿宋" w:eastAsia="仿宋" w:cs="Arial"/>
          <w:color w:val="000000"/>
          <w:sz w:val="28"/>
          <w:szCs w:val="20"/>
        </w:rPr>
        <w:t>对</w:t>
      </w:r>
      <w:r>
        <w:rPr>
          <w:rFonts w:hint="eastAsia" w:ascii="仿宋" w:hAnsi="仿宋" w:eastAsia="仿宋" w:cs="Arial"/>
          <w:color w:val="000000"/>
          <w:sz w:val="28"/>
          <w:szCs w:val="20"/>
        </w:rPr>
        <w:t>备件耗材</w:t>
      </w:r>
      <w:r>
        <w:rPr>
          <w:rFonts w:ascii="仿宋" w:hAnsi="仿宋" w:eastAsia="仿宋" w:cs="Arial"/>
          <w:color w:val="000000"/>
          <w:sz w:val="28"/>
          <w:szCs w:val="20"/>
        </w:rPr>
        <w:t>进行360度</w:t>
      </w:r>
      <w:r>
        <w:rPr>
          <w:rFonts w:hint="eastAsia" w:ascii="仿宋" w:hAnsi="仿宋" w:eastAsia="仿宋" w:cs="Arial"/>
          <w:color w:val="000000"/>
          <w:sz w:val="28"/>
          <w:szCs w:val="20"/>
        </w:rPr>
        <w:t>视图</w:t>
      </w:r>
      <w:r>
        <w:rPr>
          <w:rFonts w:ascii="仿宋" w:hAnsi="仿宋" w:eastAsia="仿宋" w:cs="Arial"/>
          <w:color w:val="000000"/>
          <w:sz w:val="28"/>
          <w:szCs w:val="20"/>
        </w:rPr>
        <w:t>管理，</w:t>
      </w:r>
      <w:r>
        <w:rPr>
          <w:rFonts w:hint="eastAsia" w:ascii="仿宋" w:hAnsi="仿宋" w:eastAsia="仿宋" w:cs="Arial"/>
          <w:color w:val="000000"/>
          <w:sz w:val="28"/>
          <w:szCs w:val="20"/>
        </w:rPr>
        <w:t>备件耗材</w:t>
      </w:r>
      <w:r>
        <w:rPr>
          <w:rFonts w:ascii="仿宋" w:hAnsi="仿宋" w:eastAsia="仿宋" w:cs="Arial"/>
          <w:color w:val="000000"/>
          <w:sz w:val="28"/>
          <w:szCs w:val="20"/>
        </w:rPr>
        <w:t>的所有信息如基本信息、</w:t>
      </w:r>
      <w:r>
        <w:rPr>
          <w:rFonts w:hint="eastAsia" w:ascii="仿宋" w:hAnsi="仿宋" w:eastAsia="仿宋" w:cs="Arial"/>
          <w:color w:val="000000"/>
          <w:sz w:val="28"/>
          <w:szCs w:val="20"/>
        </w:rPr>
        <w:t>库存信息、出入库报废流水</w:t>
      </w:r>
      <w:r>
        <w:rPr>
          <w:rFonts w:ascii="仿宋" w:hAnsi="仿宋" w:eastAsia="仿宋" w:cs="Arial"/>
          <w:color w:val="000000"/>
          <w:sz w:val="28"/>
          <w:szCs w:val="20"/>
        </w:rPr>
        <w:t>、</w:t>
      </w:r>
      <w:r>
        <w:rPr>
          <w:rFonts w:hint="eastAsia" w:ascii="仿宋" w:hAnsi="仿宋" w:eastAsia="仿宋" w:cs="Arial"/>
          <w:color w:val="000000"/>
          <w:sz w:val="28"/>
          <w:szCs w:val="20"/>
        </w:rPr>
        <w:t>使用明细</w:t>
      </w:r>
      <w:r>
        <w:rPr>
          <w:rFonts w:ascii="仿宋" w:hAnsi="仿宋" w:eastAsia="仿宋" w:cs="Arial"/>
          <w:color w:val="000000"/>
          <w:sz w:val="28"/>
          <w:szCs w:val="20"/>
        </w:rPr>
        <w:t>等信息</w:t>
      </w:r>
      <w:r>
        <w:rPr>
          <w:rFonts w:hint="eastAsia" w:ascii="仿宋" w:hAnsi="仿宋" w:eastAsia="仿宋" w:cs="Arial"/>
          <w:color w:val="000000"/>
          <w:sz w:val="28"/>
          <w:szCs w:val="20"/>
        </w:rPr>
        <w:t>将</w:t>
      </w:r>
      <w:r>
        <w:rPr>
          <w:rFonts w:ascii="仿宋" w:hAnsi="仿宋" w:eastAsia="仿宋" w:cs="Arial"/>
          <w:color w:val="000000"/>
          <w:sz w:val="28"/>
          <w:szCs w:val="20"/>
        </w:rPr>
        <w:t>自动更新</w:t>
      </w:r>
      <w:r>
        <w:rPr>
          <w:rFonts w:hint="eastAsia" w:ascii="仿宋" w:hAnsi="仿宋" w:eastAsia="仿宋" w:cs="Arial"/>
          <w:color w:val="000000"/>
          <w:sz w:val="28"/>
          <w:szCs w:val="20"/>
        </w:rPr>
        <w:t>，</w:t>
      </w:r>
      <w:r>
        <w:rPr>
          <w:rFonts w:ascii="仿宋" w:hAnsi="仿宋" w:eastAsia="仿宋" w:cs="Arial"/>
          <w:color w:val="000000"/>
          <w:sz w:val="28"/>
          <w:szCs w:val="20"/>
        </w:rPr>
        <w:t>以方便日常</w:t>
      </w:r>
      <w:r>
        <w:rPr>
          <w:rFonts w:hint="eastAsia" w:ascii="仿宋" w:hAnsi="仿宋" w:eastAsia="仿宋" w:cs="Arial"/>
          <w:color w:val="000000"/>
          <w:sz w:val="28"/>
          <w:szCs w:val="20"/>
        </w:rPr>
        <w:t>备件管理</w:t>
      </w:r>
      <w:r>
        <w:rPr>
          <w:rFonts w:ascii="仿宋" w:hAnsi="仿宋" w:eastAsia="仿宋" w:cs="Arial"/>
          <w:color w:val="000000"/>
          <w:sz w:val="28"/>
          <w:szCs w:val="20"/>
        </w:rPr>
        <w:t>。</w:t>
      </w:r>
    </w:p>
    <w:p>
      <w:pPr>
        <w:numPr>
          <w:ilvl w:val="0"/>
          <w:numId w:val="59"/>
        </w:numPr>
        <w:ind w:left="900" w:hanging="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人员及组织</w:t>
      </w:r>
    </w:p>
    <w:p>
      <w:pPr>
        <w:widowControl/>
        <w:spacing w:line="360" w:lineRule="auto"/>
        <w:ind w:firstLine="560" w:firstLineChars="200"/>
        <w:rPr>
          <w:rFonts w:ascii="仿宋" w:hAnsi="仿宋" w:eastAsia="仿宋" w:cs="Times New Roman"/>
          <w:sz w:val="28"/>
          <w:szCs w:val="20"/>
        </w:rPr>
      </w:pPr>
      <w:r>
        <w:rPr>
          <w:rFonts w:hint="eastAsia" w:ascii="仿宋" w:hAnsi="仿宋" w:eastAsia="仿宋" w:cs="Times New Roman"/>
          <w:sz w:val="28"/>
          <w:szCs w:val="20"/>
        </w:rPr>
        <w:t>人员及组织管理包含团队管理、排班管理和出入管理。</w:t>
      </w:r>
    </w:p>
    <w:p>
      <w:pPr>
        <w:widowControl/>
        <w:spacing w:line="360" w:lineRule="auto"/>
        <w:ind w:firstLine="560" w:firstLineChars="200"/>
        <w:rPr>
          <w:rFonts w:ascii="仿宋" w:hAnsi="仿宋" w:eastAsia="仿宋" w:cs="Times New Roman"/>
          <w:sz w:val="28"/>
          <w:szCs w:val="20"/>
        </w:rPr>
      </w:pPr>
      <w:r>
        <w:rPr>
          <w:rFonts w:hint="eastAsia" w:ascii="仿宋" w:hAnsi="仿宋" w:eastAsia="仿宋" w:cs="Times New Roman"/>
          <w:sz w:val="28"/>
          <w:szCs w:val="20"/>
        </w:rPr>
        <w:t>团队管理应对组织成员进行全方面的管理，除团队类型、岗位、上下级关系、工作时间、班次和联系方式等基本信息外，还应包括成员资格证书、个人绩效、培训记录、维护作业处理、服务需求电子流处理、管理改进建议、变更管理电子流、巡检任务单和文档处理等内容进行关联记录。</w:t>
      </w:r>
    </w:p>
    <w:p>
      <w:pPr>
        <w:widowControl/>
        <w:spacing w:line="360" w:lineRule="auto"/>
        <w:ind w:firstLine="560" w:firstLineChars="200"/>
        <w:rPr>
          <w:rFonts w:ascii="仿宋" w:hAnsi="仿宋" w:eastAsia="仿宋" w:cs="Times New Roman"/>
          <w:sz w:val="28"/>
          <w:szCs w:val="20"/>
        </w:rPr>
      </w:pPr>
      <w:r>
        <w:rPr>
          <w:rFonts w:hint="eastAsia" w:ascii="仿宋" w:hAnsi="仿宋" w:eastAsia="仿宋" w:cs="Times New Roman"/>
          <w:sz w:val="28"/>
          <w:szCs w:val="20"/>
        </w:rPr>
        <w:t>排班管理应对运维人员的人员</w:t>
      </w:r>
      <w:r>
        <w:rPr>
          <w:rFonts w:ascii="仿宋" w:hAnsi="仿宋" w:eastAsia="仿宋" w:cs="Times New Roman"/>
          <w:sz w:val="28"/>
          <w:szCs w:val="20"/>
        </w:rPr>
        <w:t>信息、</w:t>
      </w:r>
      <w:r>
        <w:rPr>
          <w:rFonts w:hint="eastAsia" w:ascii="仿宋" w:hAnsi="仿宋" w:eastAsia="仿宋" w:cs="Times New Roman"/>
          <w:sz w:val="28"/>
          <w:szCs w:val="20"/>
        </w:rPr>
        <w:t>值班安排、交接班、</w:t>
      </w:r>
      <w:r>
        <w:rPr>
          <w:rFonts w:ascii="仿宋" w:hAnsi="仿宋" w:eastAsia="仿宋" w:cs="Times New Roman"/>
          <w:sz w:val="28"/>
          <w:szCs w:val="20"/>
        </w:rPr>
        <w:t>工时等</w:t>
      </w:r>
      <w:r>
        <w:rPr>
          <w:rFonts w:hint="eastAsia" w:ascii="仿宋" w:hAnsi="仿宋" w:eastAsia="仿宋" w:cs="Times New Roman"/>
          <w:sz w:val="28"/>
          <w:szCs w:val="20"/>
        </w:rPr>
        <w:t>进行管理，并与其他流程相配合，实现有关管理活动与值班人员的动态关联。所有请假、调班、加班</w:t>
      </w:r>
      <w:r>
        <w:rPr>
          <w:rFonts w:ascii="仿宋" w:hAnsi="仿宋" w:eastAsia="仿宋" w:cs="Times New Roman"/>
          <w:sz w:val="28"/>
          <w:szCs w:val="20"/>
        </w:rPr>
        <w:t>须经过</w:t>
      </w:r>
      <w:r>
        <w:rPr>
          <w:rFonts w:hint="eastAsia" w:ascii="仿宋" w:hAnsi="仿宋" w:eastAsia="仿宋" w:cs="Times New Roman"/>
          <w:sz w:val="28"/>
          <w:szCs w:val="20"/>
        </w:rPr>
        <w:t>电子流审批，用户</w:t>
      </w:r>
      <w:r>
        <w:rPr>
          <w:rFonts w:ascii="仿宋" w:hAnsi="仿宋" w:eastAsia="仿宋" w:cs="Times New Roman"/>
          <w:sz w:val="28"/>
          <w:szCs w:val="20"/>
        </w:rPr>
        <w:t>可</w:t>
      </w:r>
      <w:r>
        <w:rPr>
          <w:rFonts w:hint="eastAsia" w:ascii="仿宋" w:hAnsi="仿宋" w:eastAsia="仿宋" w:cs="Times New Roman"/>
          <w:sz w:val="28"/>
          <w:szCs w:val="20"/>
        </w:rPr>
        <w:t>通过</w:t>
      </w:r>
      <w:r>
        <w:rPr>
          <w:rFonts w:ascii="仿宋" w:hAnsi="仿宋" w:eastAsia="仿宋" w:cs="Times New Roman"/>
          <w:sz w:val="28"/>
          <w:szCs w:val="20"/>
        </w:rPr>
        <w:t>流程</w:t>
      </w:r>
      <w:r>
        <w:rPr>
          <w:rFonts w:hint="eastAsia" w:ascii="仿宋" w:hAnsi="仿宋" w:eastAsia="仿宋" w:cs="Times New Roman"/>
          <w:sz w:val="28"/>
          <w:szCs w:val="20"/>
        </w:rPr>
        <w:t>历史</w:t>
      </w:r>
      <w:r>
        <w:rPr>
          <w:rFonts w:ascii="仿宋" w:hAnsi="仿宋" w:eastAsia="仿宋" w:cs="Times New Roman"/>
          <w:sz w:val="28"/>
          <w:szCs w:val="20"/>
        </w:rPr>
        <w:t>对电子流</w:t>
      </w:r>
      <w:r>
        <w:rPr>
          <w:rFonts w:hint="eastAsia" w:ascii="仿宋" w:hAnsi="仿宋" w:eastAsia="仿宋" w:cs="Times New Roman"/>
          <w:sz w:val="28"/>
          <w:szCs w:val="20"/>
        </w:rPr>
        <w:t>流程</w:t>
      </w:r>
      <w:r>
        <w:rPr>
          <w:rFonts w:ascii="仿宋" w:hAnsi="仿宋" w:eastAsia="仿宋" w:cs="Times New Roman"/>
          <w:sz w:val="28"/>
          <w:szCs w:val="20"/>
        </w:rPr>
        <w:t>进行追溯。</w:t>
      </w:r>
    </w:p>
    <w:p>
      <w:pPr>
        <w:widowControl/>
        <w:spacing w:line="360" w:lineRule="auto"/>
        <w:ind w:firstLine="560" w:firstLineChars="200"/>
        <w:rPr>
          <w:rFonts w:hint="eastAsia" w:ascii="仿宋" w:hAnsi="仿宋" w:eastAsia="仿宋" w:cs="Times New Roman"/>
          <w:sz w:val="28"/>
          <w:szCs w:val="20"/>
        </w:rPr>
      </w:pPr>
      <w:r>
        <w:rPr>
          <w:rFonts w:hint="eastAsia" w:ascii="仿宋" w:hAnsi="仿宋" w:eastAsia="仿宋" w:cs="Times New Roman"/>
          <w:sz w:val="28"/>
          <w:szCs w:val="20"/>
        </w:rPr>
        <w:t>来访申请管理，当</w:t>
      </w:r>
      <w:r>
        <w:rPr>
          <w:rFonts w:ascii="仿宋" w:hAnsi="仿宋" w:eastAsia="仿宋" w:cs="Times New Roman"/>
          <w:sz w:val="28"/>
          <w:szCs w:val="20"/>
        </w:rPr>
        <w:t>有外部人员需要到数据中心参观，维护</w:t>
      </w:r>
      <w:r>
        <w:rPr>
          <w:rFonts w:hint="eastAsia" w:ascii="仿宋" w:hAnsi="仿宋" w:eastAsia="仿宋" w:cs="Times New Roman"/>
          <w:sz w:val="28"/>
          <w:szCs w:val="20"/>
        </w:rPr>
        <w:t>，</w:t>
      </w:r>
      <w:r>
        <w:rPr>
          <w:rFonts w:ascii="仿宋" w:hAnsi="仿宋" w:eastAsia="仿宋" w:cs="Times New Roman"/>
          <w:sz w:val="28"/>
          <w:szCs w:val="20"/>
        </w:rPr>
        <w:t>维修</w:t>
      </w:r>
      <w:r>
        <w:rPr>
          <w:rFonts w:hint="eastAsia" w:ascii="仿宋" w:hAnsi="仿宋" w:eastAsia="仿宋" w:cs="Times New Roman"/>
          <w:sz w:val="28"/>
          <w:szCs w:val="20"/>
        </w:rPr>
        <w:t>作业或</w:t>
      </w:r>
      <w:r>
        <w:rPr>
          <w:rFonts w:ascii="仿宋" w:hAnsi="仿宋" w:eastAsia="仿宋" w:cs="Times New Roman"/>
          <w:sz w:val="28"/>
          <w:szCs w:val="20"/>
        </w:rPr>
        <w:t>其他事务时，</w:t>
      </w:r>
      <w:r>
        <w:rPr>
          <w:rFonts w:hint="eastAsia" w:ascii="仿宋" w:hAnsi="仿宋" w:eastAsia="仿宋" w:cs="Times New Roman"/>
          <w:sz w:val="28"/>
          <w:szCs w:val="20"/>
        </w:rPr>
        <w:t>可</w:t>
      </w:r>
      <w:r>
        <w:rPr>
          <w:rFonts w:ascii="仿宋" w:hAnsi="仿宋" w:eastAsia="仿宋" w:cs="Times New Roman"/>
          <w:sz w:val="28"/>
          <w:szCs w:val="20"/>
        </w:rPr>
        <w:t>在系统</w:t>
      </w:r>
      <w:r>
        <w:rPr>
          <w:rFonts w:hint="eastAsia" w:ascii="仿宋" w:hAnsi="仿宋" w:eastAsia="仿宋" w:cs="Times New Roman"/>
          <w:sz w:val="28"/>
          <w:szCs w:val="20"/>
        </w:rPr>
        <w:t>提前</w:t>
      </w:r>
      <w:r>
        <w:rPr>
          <w:rFonts w:ascii="仿宋" w:hAnsi="仿宋" w:eastAsia="仿宋" w:cs="Times New Roman"/>
          <w:sz w:val="28"/>
          <w:szCs w:val="20"/>
        </w:rPr>
        <w:t>一天提来访申请，需</w:t>
      </w:r>
      <w:r>
        <w:rPr>
          <w:rFonts w:hint="eastAsia" w:ascii="仿宋" w:hAnsi="仿宋" w:eastAsia="仿宋" w:cs="Times New Roman"/>
          <w:sz w:val="28"/>
          <w:szCs w:val="20"/>
        </w:rPr>
        <w:t>业主</w:t>
      </w:r>
      <w:r>
        <w:rPr>
          <w:rFonts w:ascii="仿宋" w:hAnsi="仿宋" w:eastAsia="仿宋" w:cs="Times New Roman"/>
          <w:sz w:val="28"/>
          <w:szCs w:val="20"/>
        </w:rPr>
        <w:t>审批</w:t>
      </w:r>
      <w:r>
        <w:rPr>
          <w:rFonts w:hint="eastAsia" w:ascii="仿宋" w:hAnsi="仿宋" w:eastAsia="仿宋" w:cs="Times New Roman"/>
          <w:sz w:val="28"/>
          <w:szCs w:val="20"/>
        </w:rPr>
        <w:t>通过</w:t>
      </w:r>
      <w:r>
        <w:rPr>
          <w:rFonts w:ascii="仿宋" w:hAnsi="仿宋" w:eastAsia="仿宋" w:cs="Times New Roman"/>
          <w:sz w:val="28"/>
          <w:szCs w:val="20"/>
        </w:rPr>
        <w:t>后，可操作人员</w:t>
      </w:r>
      <w:r>
        <w:rPr>
          <w:rFonts w:hint="eastAsia" w:ascii="仿宋" w:hAnsi="仿宋" w:eastAsia="仿宋" w:cs="Times New Roman"/>
          <w:sz w:val="28"/>
          <w:szCs w:val="20"/>
        </w:rPr>
        <w:t>到访</w:t>
      </w:r>
      <w:r>
        <w:rPr>
          <w:rFonts w:ascii="仿宋" w:hAnsi="仿宋" w:eastAsia="仿宋" w:cs="Times New Roman"/>
          <w:sz w:val="28"/>
          <w:szCs w:val="20"/>
        </w:rPr>
        <w:t>或离开记录信息</w:t>
      </w:r>
      <w:r>
        <w:rPr>
          <w:rFonts w:hint="eastAsia" w:ascii="仿宋" w:hAnsi="仿宋" w:eastAsia="仿宋" w:cs="Times New Roman"/>
          <w:sz w:val="28"/>
          <w:szCs w:val="20"/>
        </w:rPr>
        <w:t>。</w:t>
      </w:r>
    </w:p>
    <w:p>
      <w:pPr>
        <w:numPr>
          <w:ilvl w:val="0"/>
          <w:numId w:val="59"/>
        </w:numPr>
        <w:ind w:left="900" w:hanging="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运行管理</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运行管理应包括巡检执行、应急演练和监控信息查询等业务。</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巡检执行业务应支持对巡检任务单进行配置，以及临时巡检项设置和分派，并对巡检任务单进行管理。</w:t>
      </w:r>
    </w:p>
    <w:p>
      <w:pPr>
        <w:widowControl/>
        <w:spacing w:line="360" w:lineRule="auto"/>
        <w:ind w:firstLine="560" w:firstLineChars="200"/>
        <w:rPr>
          <w:rFonts w:hint="eastAsia" w:ascii="宋体" w:hAnsi="宋体" w:eastAsia="仿宋" w:cs="Times New Roman"/>
          <w:sz w:val="28"/>
          <w:szCs w:val="21"/>
        </w:rPr>
      </w:pPr>
      <w:r>
        <w:rPr>
          <w:rFonts w:hint="eastAsia" w:ascii="Calibri" w:hAnsi="Calibri" w:eastAsia="仿宋" w:cs="Times New Roman"/>
          <w:sz w:val="28"/>
          <w:szCs w:val="20"/>
        </w:rPr>
        <w:t>日常巡检作为动环监控的重要补充，通过线下巡检来弥补监控线上巡检的盲区或不足，及时发现运维隐患。系统应可以根据项目情况灵活进行巡检配置，如巡检内容模板、巡检项目、正常值标准、人员配置，巡检计划，</w:t>
      </w:r>
      <w:r>
        <w:rPr>
          <w:rFonts w:ascii="Calibri" w:hAnsi="Calibri" w:eastAsia="仿宋" w:cs="Times New Roman"/>
          <w:sz w:val="28"/>
          <w:szCs w:val="20"/>
        </w:rPr>
        <w:t xml:space="preserve"> RFID</w:t>
      </w:r>
      <w:r>
        <w:rPr>
          <w:rFonts w:hint="eastAsia" w:ascii="Calibri" w:hAnsi="Calibri" w:eastAsia="仿宋" w:cs="Times New Roman"/>
          <w:sz w:val="28"/>
          <w:szCs w:val="20"/>
        </w:rPr>
        <w:t>或</w:t>
      </w:r>
      <w:r>
        <w:rPr>
          <w:rFonts w:ascii="Calibri" w:hAnsi="Calibri" w:eastAsia="仿宋" w:cs="Times New Roman"/>
          <w:sz w:val="28"/>
          <w:szCs w:val="20"/>
        </w:rPr>
        <w:t>二维码标签</w:t>
      </w:r>
      <w:r>
        <w:rPr>
          <w:rFonts w:hint="eastAsia" w:ascii="Calibri" w:hAnsi="Calibri" w:eastAsia="仿宋" w:cs="Times New Roman"/>
          <w:sz w:val="28"/>
          <w:szCs w:val="20"/>
        </w:rPr>
        <w:t>等。</w:t>
      </w:r>
    </w:p>
    <w:p>
      <w:pPr>
        <w:widowControl/>
        <w:spacing w:line="360" w:lineRule="auto"/>
        <w:ind w:firstLine="560" w:firstLineChars="200"/>
        <w:rPr>
          <w:rFonts w:ascii="Calibri" w:hAnsi="Calibri" w:eastAsia="仿宋" w:cs="Times New Roman"/>
          <w:sz w:val="28"/>
          <w:szCs w:val="20"/>
        </w:rPr>
      </w:pPr>
      <w:r>
        <w:rPr>
          <w:rFonts w:hint="eastAsia" w:ascii="Calibri" w:hAnsi="Calibri" w:eastAsia="仿宋" w:cs="Times New Roman"/>
          <w:sz w:val="28"/>
          <w:szCs w:val="20"/>
        </w:rPr>
        <w:t>移动巡检应支持在网及离网巡检两种模式。巡检人员现场通过PAD进行巡检数据的录入及提交，后台应自动判定并标识巡检项异常，在联网条件下现场可对巡检数据进行历史曲线查询，后台可对巡检历史数据进行大数据分析，及时发现问题隐患。系统应支持巡检异常设备直接进行故障转单，实现从巡检异常到事件工单闭环全流程管理。移动巡检应支持在移动端通过相片或文字对巡检任务进行补充说明。</w:t>
      </w:r>
    </w:p>
    <w:p>
      <w:pPr>
        <w:widowControl/>
        <w:spacing w:line="360" w:lineRule="auto"/>
        <w:ind w:firstLine="560" w:firstLineChars="200"/>
        <w:rPr>
          <w:rFonts w:hint="eastAsia" w:ascii="仿宋" w:hAnsi="仿宋" w:eastAsia="仿宋" w:cs="Times New Roman"/>
          <w:color w:val="000000"/>
          <w:sz w:val="28"/>
          <w:szCs w:val="24"/>
        </w:rPr>
      </w:pPr>
      <w:r>
        <w:rPr>
          <w:rFonts w:hint="eastAsia" w:ascii="Calibri" w:hAnsi="Calibri" w:eastAsia="仿宋" w:cs="Times New Roman"/>
          <w:sz w:val="28"/>
          <w:szCs w:val="20"/>
        </w:rPr>
        <w:t>系统应支持通过报表对团队或个人的巡检工作质量进行量化评价，如巡检及时完成率、巡检发现事件的级别/数量，现场质量抽查情况等。</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应急演练管理应支持应急演练任务的设置，并支持演练模板的建立，演练模板应包括模板编号、名称、位置、演练类型、耗时和专业基本信息外，还应包括安全要求、风险提示、所需备件耗材、参演人员及关联设备信息、详细步骤等内容。</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应急演练管理应支持在演练</w:t>
      </w:r>
      <w:r>
        <w:rPr>
          <w:rFonts w:ascii="仿宋" w:hAnsi="仿宋" w:eastAsia="仿宋" w:cs="Times New Roman"/>
          <w:color w:val="000000"/>
          <w:kern w:val="2"/>
          <w:sz w:val="28"/>
          <w:szCs w:val="24"/>
          <w:lang w:val="en-US" w:eastAsia="zh-CN" w:bidi="ar-SA"/>
        </w:rPr>
        <w:t>活动开始前通过邮件、消息推送</w:t>
      </w:r>
      <w:r>
        <w:rPr>
          <w:rFonts w:hint="eastAsia" w:ascii="仿宋" w:hAnsi="仿宋" w:eastAsia="仿宋" w:cs="Times New Roman"/>
          <w:color w:val="000000"/>
          <w:kern w:val="2"/>
          <w:sz w:val="28"/>
          <w:szCs w:val="24"/>
          <w:lang w:val="en-US" w:eastAsia="zh-CN" w:bidi="ar-SA"/>
        </w:rPr>
        <w:t>等</w:t>
      </w:r>
      <w:r>
        <w:rPr>
          <w:rFonts w:ascii="仿宋" w:hAnsi="仿宋" w:eastAsia="仿宋" w:cs="Times New Roman"/>
          <w:color w:val="000000"/>
          <w:kern w:val="2"/>
          <w:sz w:val="28"/>
          <w:szCs w:val="24"/>
          <w:lang w:val="en-US" w:eastAsia="zh-CN" w:bidi="ar-SA"/>
        </w:rPr>
        <w:t>形式将</w:t>
      </w:r>
      <w:r>
        <w:rPr>
          <w:rFonts w:hint="eastAsia" w:ascii="仿宋" w:hAnsi="仿宋" w:eastAsia="仿宋" w:cs="Times New Roman"/>
          <w:color w:val="000000"/>
          <w:kern w:val="2"/>
          <w:sz w:val="28"/>
          <w:szCs w:val="24"/>
          <w:lang w:val="en-US" w:eastAsia="zh-CN" w:bidi="ar-SA"/>
        </w:rPr>
        <w:t>演练</w:t>
      </w:r>
      <w:r>
        <w:rPr>
          <w:rFonts w:ascii="仿宋" w:hAnsi="仿宋" w:eastAsia="仿宋" w:cs="Times New Roman"/>
          <w:color w:val="000000"/>
          <w:kern w:val="2"/>
          <w:sz w:val="28"/>
          <w:szCs w:val="24"/>
          <w:lang w:val="en-US" w:eastAsia="zh-CN" w:bidi="ar-SA"/>
        </w:rPr>
        <w:t>信息发送到相关负责人</w:t>
      </w:r>
      <w:r>
        <w:rPr>
          <w:rFonts w:hint="eastAsia" w:ascii="仿宋" w:hAnsi="仿宋" w:eastAsia="仿宋" w:cs="Times New Roman"/>
          <w:color w:val="000000"/>
          <w:kern w:val="2"/>
          <w:sz w:val="28"/>
          <w:szCs w:val="24"/>
          <w:lang w:val="en-US" w:eastAsia="zh-CN" w:bidi="ar-SA"/>
        </w:rPr>
        <w:t>或</w:t>
      </w:r>
      <w:r>
        <w:rPr>
          <w:rFonts w:ascii="仿宋" w:hAnsi="仿宋" w:eastAsia="仿宋" w:cs="Times New Roman"/>
          <w:color w:val="000000"/>
          <w:kern w:val="2"/>
          <w:sz w:val="28"/>
          <w:szCs w:val="24"/>
          <w:lang w:val="en-US" w:eastAsia="zh-CN" w:bidi="ar-SA"/>
        </w:rPr>
        <w:t>团队</w:t>
      </w:r>
      <w:r>
        <w:rPr>
          <w:rFonts w:hint="eastAsia" w:ascii="仿宋" w:hAnsi="仿宋" w:eastAsia="仿宋" w:cs="Times New Roman"/>
          <w:color w:val="000000"/>
          <w:kern w:val="2"/>
          <w:sz w:val="28"/>
          <w:szCs w:val="24"/>
          <w:lang w:val="en-US" w:eastAsia="zh-CN" w:bidi="ar-SA"/>
        </w:rPr>
        <w:t>。系统对演练任务单进行流程化管理，演练当中发现的问题，可通过自动触发管理改进电子流来进行闭环。</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监控信息查询提供基本的基础设施运行数据和告警信息查询功能。应支持根据</w:t>
      </w:r>
      <w:r>
        <w:rPr>
          <w:rFonts w:ascii="仿宋" w:hAnsi="仿宋" w:eastAsia="仿宋" w:cs="Times New Roman"/>
          <w:color w:val="000000"/>
          <w:kern w:val="2"/>
          <w:sz w:val="28"/>
          <w:szCs w:val="24"/>
          <w:lang w:val="en-US" w:eastAsia="zh-CN" w:bidi="ar-SA"/>
        </w:rPr>
        <w:t>上传的告警信息进行相应解析，</w:t>
      </w:r>
      <w:r>
        <w:rPr>
          <w:rFonts w:hint="eastAsia" w:ascii="仿宋" w:hAnsi="仿宋" w:eastAsia="仿宋" w:cs="Times New Roman"/>
          <w:color w:val="000000"/>
          <w:kern w:val="2"/>
          <w:sz w:val="28"/>
          <w:szCs w:val="24"/>
          <w:lang w:val="en-US" w:eastAsia="zh-CN" w:bidi="ar-SA"/>
        </w:rPr>
        <w:t>自动解析</w:t>
      </w:r>
      <w:r>
        <w:rPr>
          <w:rFonts w:ascii="仿宋" w:hAnsi="仿宋" w:eastAsia="仿宋" w:cs="Times New Roman"/>
          <w:color w:val="000000"/>
          <w:kern w:val="2"/>
          <w:sz w:val="28"/>
          <w:szCs w:val="24"/>
          <w:lang w:val="en-US" w:eastAsia="zh-CN" w:bidi="ar-SA"/>
        </w:rPr>
        <w:t>出</w:t>
      </w:r>
      <w:r>
        <w:rPr>
          <w:rFonts w:hint="eastAsia" w:ascii="仿宋" w:hAnsi="仿宋" w:eastAsia="仿宋" w:cs="Times New Roman"/>
          <w:color w:val="000000"/>
          <w:kern w:val="2"/>
          <w:sz w:val="28"/>
          <w:szCs w:val="24"/>
          <w:lang w:val="en-US" w:eastAsia="zh-CN" w:bidi="ar-SA"/>
        </w:rPr>
        <w:t>设备</w:t>
      </w:r>
      <w:r>
        <w:rPr>
          <w:rFonts w:ascii="仿宋" w:hAnsi="仿宋" w:eastAsia="仿宋" w:cs="Times New Roman"/>
          <w:color w:val="000000"/>
          <w:kern w:val="2"/>
          <w:sz w:val="28"/>
          <w:szCs w:val="24"/>
          <w:lang w:val="en-US" w:eastAsia="zh-CN" w:bidi="ar-SA"/>
        </w:rPr>
        <w:t>编号、</w:t>
      </w:r>
      <w:r>
        <w:rPr>
          <w:rFonts w:hint="eastAsia" w:ascii="仿宋" w:hAnsi="仿宋" w:eastAsia="仿宋" w:cs="Times New Roman"/>
          <w:color w:val="000000"/>
          <w:kern w:val="2"/>
          <w:sz w:val="28"/>
          <w:szCs w:val="24"/>
          <w:lang w:val="en-US" w:eastAsia="zh-CN" w:bidi="ar-SA"/>
        </w:rPr>
        <w:t>发生</w:t>
      </w:r>
      <w:r>
        <w:rPr>
          <w:rFonts w:ascii="仿宋" w:hAnsi="仿宋" w:eastAsia="仿宋" w:cs="Times New Roman"/>
          <w:color w:val="000000"/>
          <w:kern w:val="2"/>
          <w:sz w:val="28"/>
          <w:szCs w:val="24"/>
          <w:lang w:val="en-US" w:eastAsia="zh-CN" w:bidi="ar-SA"/>
        </w:rPr>
        <w:t>时间、</w:t>
      </w:r>
      <w:r>
        <w:rPr>
          <w:rFonts w:hint="eastAsia" w:ascii="仿宋" w:hAnsi="仿宋" w:eastAsia="仿宋" w:cs="Times New Roman"/>
          <w:color w:val="000000"/>
          <w:kern w:val="2"/>
          <w:sz w:val="28"/>
          <w:szCs w:val="24"/>
          <w:lang w:val="en-US" w:eastAsia="zh-CN" w:bidi="ar-SA"/>
        </w:rPr>
        <w:t>级别</w:t>
      </w:r>
      <w:r>
        <w:rPr>
          <w:rFonts w:ascii="仿宋" w:hAnsi="仿宋" w:eastAsia="仿宋" w:cs="Times New Roman"/>
          <w:color w:val="000000"/>
          <w:kern w:val="2"/>
          <w:sz w:val="28"/>
          <w:szCs w:val="24"/>
          <w:lang w:val="en-US" w:eastAsia="zh-CN" w:bidi="ar-SA"/>
        </w:rPr>
        <w:t>、内容等信息，并对告警</w:t>
      </w:r>
      <w:r>
        <w:rPr>
          <w:rFonts w:hint="eastAsia" w:ascii="仿宋" w:hAnsi="仿宋" w:eastAsia="仿宋" w:cs="Times New Roman"/>
          <w:color w:val="000000"/>
          <w:kern w:val="2"/>
          <w:sz w:val="28"/>
          <w:szCs w:val="24"/>
          <w:lang w:val="en-US" w:eastAsia="zh-CN" w:bidi="ar-SA"/>
        </w:rPr>
        <w:t>记录</w:t>
      </w:r>
      <w:r>
        <w:rPr>
          <w:rFonts w:ascii="仿宋" w:hAnsi="仿宋" w:eastAsia="仿宋" w:cs="Times New Roman"/>
          <w:color w:val="000000"/>
          <w:kern w:val="2"/>
          <w:sz w:val="28"/>
          <w:szCs w:val="24"/>
          <w:lang w:val="en-US" w:eastAsia="zh-CN" w:bidi="ar-SA"/>
        </w:rPr>
        <w:t>进行编号</w:t>
      </w:r>
      <w:r>
        <w:rPr>
          <w:rFonts w:hint="eastAsia" w:ascii="仿宋" w:hAnsi="仿宋" w:eastAsia="仿宋" w:cs="Times New Roman"/>
          <w:color w:val="000000"/>
          <w:kern w:val="2"/>
          <w:sz w:val="28"/>
          <w:szCs w:val="24"/>
          <w:lang w:val="en-US" w:eastAsia="zh-CN" w:bidi="ar-SA"/>
        </w:rPr>
        <w:t>，支持用户</w:t>
      </w:r>
      <w:r>
        <w:rPr>
          <w:rFonts w:ascii="仿宋" w:hAnsi="仿宋" w:eastAsia="仿宋" w:cs="Times New Roman"/>
          <w:color w:val="000000"/>
          <w:kern w:val="2"/>
          <w:sz w:val="28"/>
          <w:szCs w:val="24"/>
          <w:lang w:val="en-US" w:eastAsia="zh-CN" w:bidi="ar-SA"/>
        </w:rPr>
        <w:t>根据具体情况</w:t>
      </w:r>
      <w:r>
        <w:rPr>
          <w:rFonts w:hint="eastAsia" w:ascii="仿宋" w:hAnsi="仿宋" w:eastAsia="仿宋" w:cs="Times New Roman"/>
          <w:color w:val="000000"/>
          <w:kern w:val="2"/>
          <w:sz w:val="28"/>
          <w:szCs w:val="24"/>
          <w:lang w:val="en-US" w:eastAsia="zh-CN" w:bidi="ar-SA"/>
        </w:rPr>
        <w:t>进行告警</w:t>
      </w:r>
      <w:r>
        <w:rPr>
          <w:rFonts w:ascii="仿宋" w:hAnsi="仿宋" w:eastAsia="仿宋" w:cs="Times New Roman"/>
          <w:color w:val="000000"/>
          <w:kern w:val="2"/>
          <w:sz w:val="28"/>
          <w:szCs w:val="24"/>
          <w:lang w:val="en-US" w:eastAsia="zh-CN" w:bidi="ar-SA"/>
        </w:rPr>
        <w:t>转单</w:t>
      </w:r>
      <w:r>
        <w:rPr>
          <w:rFonts w:hint="eastAsia" w:ascii="仿宋" w:hAnsi="仿宋" w:eastAsia="仿宋" w:cs="Times New Roman"/>
          <w:color w:val="000000"/>
          <w:kern w:val="2"/>
          <w:sz w:val="28"/>
          <w:szCs w:val="24"/>
          <w:lang w:val="en-US" w:eastAsia="zh-CN" w:bidi="ar-SA"/>
        </w:rPr>
        <w:t>，</w:t>
      </w:r>
      <w:r>
        <w:rPr>
          <w:rFonts w:ascii="仿宋" w:hAnsi="仿宋" w:eastAsia="仿宋" w:cs="Times New Roman"/>
          <w:color w:val="000000"/>
          <w:kern w:val="2"/>
          <w:sz w:val="28"/>
          <w:szCs w:val="24"/>
          <w:lang w:val="en-US" w:eastAsia="zh-CN" w:bidi="ar-SA"/>
        </w:rPr>
        <w:t>直接</w:t>
      </w:r>
      <w:r>
        <w:rPr>
          <w:rFonts w:hint="eastAsia" w:ascii="仿宋" w:hAnsi="仿宋" w:eastAsia="仿宋" w:cs="Times New Roman"/>
          <w:color w:val="000000"/>
          <w:kern w:val="2"/>
          <w:sz w:val="28"/>
          <w:szCs w:val="24"/>
          <w:lang w:val="en-US" w:eastAsia="zh-CN" w:bidi="ar-SA"/>
        </w:rPr>
        <w:t>触发</w:t>
      </w:r>
      <w:r>
        <w:rPr>
          <w:rFonts w:ascii="仿宋" w:hAnsi="仿宋" w:eastAsia="仿宋" w:cs="Times New Roman"/>
          <w:color w:val="000000"/>
          <w:kern w:val="2"/>
          <w:sz w:val="28"/>
          <w:szCs w:val="24"/>
          <w:lang w:val="en-US" w:eastAsia="zh-CN" w:bidi="ar-SA"/>
        </w:rPr>
        <w:t>事件工单</w:t>
      </w:r>
      <w:r>
        <w:rPr>
          <w:rFonts w:hint="eastAsia" w:ascii="仿宋" w:hAnsi="仿宋" w:eastAsia="仿宋" w:cs="Times New Roman"/>
          <w:color w:val="000000"/>
          <w:kern w:val="2"/>
          <w:sz w:val="28"/>
          <w:szCs w:val="24"/>
          <w:lang w:val="en-US" w:eastAsia="zh-CN" w:bidi="ar-SA"/>
        </w:rPr>
        <w:t>建单</w:t>
      </w:r>
      <w:r>
        <w:rPr>
          <w:rFonts w:ascii="仿宋" w:hAnsi="仿宋" w:eastAsia="仿宋" w:cs="Times New Roman"/>
          <w:color w:val="000000"/>
          <w:kern w:val="2"/>
          <w:sz w:val="28"/>
          <w:szCs w:val="24"/>
          <w:lang w:val="en-US" w:eastAsia="zh-CN" w:bidi="ar-SA"/>
        </w:rPr>
        <w:t>流程</w:t>
      </w:r>
    </w:p>
    <w:p>
      <w:pPr>
        <w:numPr>
          <w:ilvl w:val="0"/>
          <w:numId w:val="59"/>
        </w:numPr>
        <w:ind w:left="900" w:hanging="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设备维护</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设备维护管理应包括服务商管理、事件管理、预防性维护、元器件生命周期管理。</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服务商管理内容应包括服务商名称、类型、上下级服务商、服务商S</w:t>
      </w:r>
      <w:r>
        <w:rPr>
          <w:rFonts w:ascii="仿宋" w:hAnsi="仿宋" w:eastAsia="仿宋" w:cs="Times New Roman"/>
          <w:color w:val="000000"/>
          <w:kern w:val="2"/>
          <w:sz w:val="28"/>
          <w:szCs w:val="24"/>
          <w:lang w:val="en-US" w:eastAsia="zh-CN" w:bidi="ar-SA"/>
        </w:rPr>
        <w:t>LA</w:t>
      </w:r>
      <w:r>
        <w:rPr>
          <w:rFonts w:hint="eastAsia" w:ascii="仿宋" w:hAnsi="仿宋" w:eastAsia="仿宋" w:cs="Times New Roman"/>
          <w:color w:val="000000"/>
          <w:kern w:val="2"/>
          <w:sz w:val="28"/>
          <w:szCs w:val="24"/>
          <w:lang w:val="en-US" w:eastAsia="zh-CN" w:bidi="ar-SA"/>
        </w:rPr>
        <w:t>目录和联系信息等，应提供服务商的建立和编辑功能，并与其它流程如事件工单等相配合，实现有关管理活动与服务商的动态关联。</w:t>
      </w:r>
    </w:p>
    <w:p>
      <w:pPr>
        <w:ind w:firstLine="420" w:firstLineChars="0"/>
        <w:jc w:val="both"/>
        <w:rPr>
          <w:rFonts w:ascii="仿宋" w:hAnsi="仿宋" w:eastAsia="仿宋" w:cs="Times New Roman"/>
          <w:color w:val="000000"/>
          <w:kern w:val="2"/>
          <w:sz w:val="28"/>
          <w:szCs w:val="24"/>
          <w:lang w:val="en-US" w:eastAsia="zh-CN" w:bidi="ar-SA"/>
        </w:rPr>
      </w:pPr>
      <w:r>
        <w:rPr>
          <w:rFonts w:ascii="仿宋" w:hAnsi="仿宋" w:eastAsia="仿宋" w:cs="Times New Roman"/>
          <w:color w:val="000000"/>
          <w:kern w:val="2"/>
          <w:sz w:val="28"/>
          <w:szCs w:val="24"/>
          <w:lang w:val="en-US" w:eastAsia="zh-CN" w:bidi="ar-SA"/>
        </w:rPr>
        <w:t>在设备属性</w:t>
      </w:r>
      <w:r>
        <w:rPr>
          <w:rFonts w:hint="eastAsia" w:ascii="仿宋" w:hAnsi="仿宋" w:eastAsia="仿宋" w:cs="Times New Roman"/>
          <w:color w:val="000000"/>
          <w:kern w:val="2"/>
          <w:sz w:val="28"/>
          <w:szCs w:val="24"/>
          <w:lang w:val="en-US" w:eastAsia="zh-CN" w:bidi="ar-SA"/>
        </w:rPr>
        <w:t>字段</w:t>
      </w:r>
      <w:r>
        <w:rPr>
          <w:rFonts w:ascii="仿宋" w:hAnsi="仿宋" w:eastAsia="仿宋" w:cs="Times New Roman"/>
          <w:color w:val="000000"/>
          <w:kern w:val="2"/>
          <w:sz w:val="28"/>
          <w:szCs w:val="24"/>
          <w:lang w:val="en-US" w:eastAsia="zh-CN" w:bidi="ar-SA"/>
        </w:rPr>
        <w:t>中</w:t>
      </w:r>
      <w:r>
        <w:rPr>
          <w:rFonts w:hint="eastAsia" w:ascii="仿宋" w:hAnsi="仿宋" w:eastAsia="仿宋" w:cs="Times New Roman"/>
          <w:color w:val="000000"/>
          <w:kern w:val="2"/>
          <w:sz w:val="28"/>
          <w:szCs w:val="24"/>
          <w:lang w:val="en-US" w:eastAsia="zh-CN" w:bidi="ar-SA"/>
        </w:rPr>
        <w:t>维护服务商</w:t>
      </w:r>
      <w:r>
        <w:rPr>
          <w:rFonts w:ascii="仿宋" w:hAnsi="仿宋" w:eastAsia="仿宋" w:cs="Times New Roman"/>
          <w:color w:val="000000"/>
          <w:kern w:val="2"/>
          <w:sz w:val="28"/>
          <w:szCs w:val="24"/>
          <w:lang w:val="en-US" w:eastAsia="zh-CN" w:bidi="ar-SA"/>
        </w:rPr>
        <w:t>信息</w:t>
      </w:r>
      <w:r>
        <w:rPr>
          <w:rFonts w:hint="eastAsia" w:ascii="仿宋" w:hAnsi="仿宋" w:eastAsia="仿宋" w:cs="Times New Roman"/>
          <w:color w:val="000000"/>
          <w:kern w:val="2"/>
          <w:sz w:val="28"/>
          <w:szCs w:val="24"/>
          <w:lang w:val="en-US" w:eastAsia="zh-CN" w:bidi="ar-SA"/>
        </w:rPr>
        <w:t>（</w:t>
      </w:r>
      <w:r>
        <w:rPr>
          <w:rFonts w:ascii="仿宋" w:hAnsi="仿宋" w:eastAsia="仿宋" w:cs="Times New Roman"/>
          <w:color w:val="000000"/>
          <w:kern w:val="2"/>
          <w:sz w:val="28"/>
          <w:szCs w:val="24"/>
          <w:lang w:val="en-US" w:eastAsia="zh-CN" w:bidi="ar-SA"/>
        </w:rPr>
        <w:t>维修或</w:t>
      </w:r>
      <w:r>
        <w:rPr>
          <w:rFonts w:hint="eastAsia" w:ascii="仿宋" w:hAnsi="仿宋" w:eastAsia="仿宋" w:cs="Times New Roman"/>
          <w:color w:val="000000"/>
          <w:kern w:val="2"/>
          <w:sz w:val="28"/>
          <w:szCs w:val="24"/>
          <w:lang w:val="en-US" w:eastAsia="zh-CN" w:bidi="ar-SA"/>
        </w:rPr>
        <w:t>维保</w:t>
      </w:r>
      <w:r>
        <w:rPr>
          <w:rFonts w:ascii="仿宋" w:hAnsi="仿宋" w:eastAsia="仿宋" w:cs="Times New Roman"/>
          <w:color w:val="000000"/>
          <w:kern w:val="2"/>
          <w:sz w:val="28"/>
          <w:szCs w:val="24"/>
          <w:lang w:val="en-US" w:eastAsia="zh-CN" w:bidi="ar-SA"/>
        </w:rPr>
        <w:t>），</w:t>
      </w:r>
      <w:r>
        <w:rPr>
          <w:rFonts w:hint="eastAsia" w:ascii="仿宋" w:hAnsi="仿宋" w:eastAsia="仿宋" w:cs="Times New Roman"/>
          <w:color w:val="000000"/>
          <w:kern w:val="2"/>
          <w:sz w:val="28"/>
          <w:szCs w:val="24"/>
          <w:lang w:val="en-US" w:eastAsia="zh-CN" w:bidi="ar-SA"/>
        </w:rPr>
        <w:t>在设备发生故障时，应支持事件</w:t>
      </w:r>
      <w:r>
        <w:rPr>
          <w:rFonts w:ascii="仿宋" w:hAnsi="仿宋" w:eastAsia="仿宋" w:cs="Times New Roman"/>
          <w:color w:val="000000"/>
          <w:kern w:val="2"/>
          <w:sz w:val="28"/>
          <w:szCs w:val="24"/>
          <w:lang w:val="en-US" w:eastAsia="zh-CN" w:bidi="ar-SA"/>
        </w:rPr>
        <w:t>工单可</w:t>
      </w:r>
      <w:r>
        <w:rPr>
          <w:rFonts w:hint="eastAsia" w:ascii="仿宋" w:hAnsi="仿宋" w:eastAsia="仿宋" w:cs="Times New Roman"/>
          <w:color w:val="000000"/>
          <w:kern w:val="2"/>
          <w:sz w:val="28"/>
          <w:szCs w:val="24"/>
          <w:lang w:val="en-US" w:eastAsia="zh-CN" w:bidi="ar-SA"/>
        </w:rPr>
        <w:t>自动</w:t>
      </w:r>
      <w:r>
        <w:rPr>
          <w:rFonts w:ascii="仿宋" w:hAnsi="仿宋" w:eastAsia="仿宋" w:cs="Times New Roman"/>
          <w:color w:val="000000"/>
          <w:kern w:val="2"/>
          <w:sz w:val="28"/>
          <w:szCs w:val="24"/>
          <w:lang w:val="en-US" w:eastAsia="zh-CN" w:bidi="ar-SA"/>
        </w:rPr>
        <w:t>定位该设备的</w:t>
      </w:r>
      <w:r>
        <w:rPr>
          <w:rFonts w:hint="eastAsia" w:ascii="仿宋" w:hAnsi="仿宋" w:eastAsia="仿宋" w:cs="Times New Roman"/>
          <w:color w:val="000000"/>
          <w:kern w:val="2"/>
          <w:sz w:val="28"/>
          <w:szCs w:val="24"/>
          <w:lang w:val="en-US" w:eastAsia="zh-CN" w:bidi="ar-SA"/>
        </w:rPr>
        <w:t>服务商及服务商联系人，设备</w:t>
      </w:r>
      <w:r>
        <w:rPr>
          <w:rFonts w:ascii="仿宋" w:hAnsi="仿宋" w:eastAsia="仿宋" w:cs="Times New Roman"/>
          <w:color w:val="000000"/>
          <w:kern w:val="2"/>
          <w:sz w:val="28"/>
          <w:szCs w:val="24"/>
          <w:lang w:val="en-US" w:eastAsia="zh-CN" w:bidi="ar-SA"/>
        </w:rPr>
        <w:t>故障需要</w:t>
      </w:r>
      <w:r>
        <w:rPr>
          <w:rFonts w:hint="eastAsia" w:ascii="仿宋" w:hAnsi="仿宋" w:eastAsia="仿宋" w:cs="Times New Roman"/>
          <w:color w:val="000000"/>
          <w:kern w:val="2"/>
          <w:sz w:val="28"/>
          <w:szCs w:val="24"/>
          <w:lang w:val="en-US" w:eastAsia="zh-CN" w:bidi="ar-SA"/>
        </w:rPr>
        <w:t>服务</w:t>
      </w:r>
      <w:r>
        <w:rPr>
          <w:rFonts w:ascii="仿宋" w:hAnsi="仿宋" w:eastAsia="仿宋" w:cs="Times New Roman"/>
          <w:color w:val="000000"/>
          <w:kern w:val="2"/>
          <w:sz w:val="28"/>
          <w:szCs w:val="24"/>
          <w:lang w:val="en-US" w:eastAsia="zh-CN" w:bidi="ar-SA"/>
        </w:rPr>
        <w:t>商人员现场维修时，</w:t>
      </w:r>
      <w:r>
        <w:rPr>
          <w:rFonts w:hint="eastAsia" w:ascii="仿宋" w:hAnsi="仿宋" w:eastAsia="仿宋" w:cs="Times New Roman"/>
          <w:color w:val="000000"/>
          <w:kern w:val="2"/>
          <w:sz w:val="28"/>
          <w:szCs w:val="24"/>
          <w:lang w:val="en-US" w:eastAsia="zh-CN" w:bidi="ar-SA"/>
        </w:rPr>
        <w:t>应支持</w:t>
      </w:r>
      <w:r>
        <w:rPr>
          <w:rFonts w:ascii="仿宋" w:hAnsi="仿宋" w:eastAsia="仿宋" w:cs="Times New Roman"/>
          <w:color w:val="000000"/>
          <w:kern w:val="2"/>
          <w:sz w:val="28"/>
          <w:szCs w:val="24"/>
          <w:lang w:val="en-US" w:eastAsia="zh-CN" w:bidi="ar-SA"/>
        </w:rPr>
        <w:t>根据后续的处理自动统计响应时间</w:t>
      </w:r>
      <w:r>
        <w:rPr>
          <w:rFonts w:hint="eastAsia" w:ascii="仿宋" w:hAnsi="仿宋" w:eastAsia="仿宋" w:cs="Times New Roman"/>
          <w:color w:val="000000"/>
          <w:kern w:val="2"/>
          <w:sz w:val="28"/>
          <w:szCs w:val="24"/>
          <w:lang w:val="en-US" w:eastAsia="zh-CN" w:bidi="ar-SA"/>
        </w:rPr>
        <w:t>，</w:t>
      </w:r>
      <w:r>
        <w:rPr>
          <w:rFonts w:ascii="仿宋" w:hAnsi="仿宋" w:eastAsia="仿宋" w:cs="Times New Roman"/>
          <w:color w:val="000000"/>
          <w:kern w:val="2"/>
          <w:sz w:val="28"/>
          <w:szCs w:val="24"/>
          <w:lang w:val="en-US" w:eastAsia="zh-CN" w:bidi="ar-SA"/>
        </w:rPr>
        <w:t>对每一次服务进行</w:t>
      </w:r>
      <w:r>
        <w:rPr>
          <w:rFonts w:hint="eastAsia" w:ascii="仿宋" w:hAnsi="仿宋" w:eastAsia="仿宋" w:cs="Times New Roman"/>
          <w:color w:val="000000"/>
          <w:kern w:val="2"/>
          <w:sz w:val="28"/>
          <w:szCs w:val="24"/>
          <w:lang w:val="en-US" w:eastAsia="zh-CN" w:bidi="ar-SA"/>
        </w:rPr>
        <w:t>SLA</w:t>
      </w:r>
      <w:r>
        <w:rPr>
          <w:rFonts w:ascii="仿宋" w:hAnsi="仿宋" w:eastAsia="仿宋" w:cs="Times New Roman"/>
          <w:color w:val="000000"/>
          <w:kern w:val="2"/>
          <w:sz w:val="28"/>
          <w:szCs w:val="24"/>
          <w:lang w:val="en-US" w:eastAsia="zh-CN" w:bidi="ar-SA"/>
        </w:rPr>
        <w:t>评估。</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事件管理应包括事件工单和服务恢复报告归档电子流两部分，事件工单实现工单的建立、记录和查询功能，工单内容应包括建单详情、事件影响现场确认及处理、相关O</w:t>
      </w:r>
      <w:r>
        <w:rPr>
          <w:rFonts w:ascii="仿宋" w:hAnsi="仿宋" w:eastAsia="仿宋" w:cs="Times New Roman"/>
          <w:color w:val="000000"/>
          <w:kern w:val="2"/>
          <w:sz w:val="28"/>
          <w:szCs w:val="24"/>
          <w:lang w:val="en-US" w:eastAsia="zh-CN" w:bidi="ar-SA"/>
        </w:rPr>
        <w:t>LA</w:t>
      </w:r>
      <w:r>
        <w:rPr>
          <w:rFonts w:hint="eastAsia" w:ascii="仿宋" w:hAnsi="仿宋" w:eastAsia="仿宋" w:cs="Times New Roman"/>
          <w:color w:val="000000"/>
          <w:kern w:val="2"/>
          <w:sz w:val="28"/>
          <w:szCs w:val="24"/>
          <w:lang w:val="en-US" w:eastAsia="zh-CN" w:bidi="ar-SA"/>
        </w:rPr>
        <w:t>考核记录、相关管理改进工单。</w:t>
      </w:r>
    </w:p>
    <w:p>
      <w:pPr>
        <w:ind w:firstLine="420" w:firstLineChars="0"/>
        <w:jc w:val="both"/>
        <w:rPr>
          <w:rFonts w:hint="eastAsia"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事件管理应支持依据</w:t>
      </w:r>
      <w:r>
        <w:rPr>
          <w:rFonts w:ascii="仿宋" w:hAnsi="仿宋" w:eastAsia="仿宋" w:cs="Times New Roman"/>
          <w:color w:val="000000"/>
          <w:kern w:val="2"/>
          <w:sz w:val="28"/>
          <w:szCs w:val="24"/>
          <w:lang w:val="en-US" w:eastAsia="zh-CN" w:bidi="ar-SA"/>
        </w:rPr>
        <w:t>服务目录设置要求，自动对</w:t>
      </w:r>
      <w:r>
        <w:rPr>
          <w:rFonts w:hint="eastAsia" w:ascii="仿宋" w:hAnsi="仿宋" w:eastAsia="仿宋" w:cs="Times New Roman"/>
          <w:color w:val="000000"/>
          <w:kern w:val="2"/>
          <w:sz w:val="28"/>
          <w:szCs w:val="24"/>
          <w:lang w:val="en-US" w:eastAsia="zh-CN" w:bidi="ar-SA"/>
        </w:rPr>
        <w:t>事件响应</w:t>
      </w:r>
      <w:r>
        <w:rPr>
          <w:rFonts w:ascii="仿宋" w:hAnsi="仿宋" w:eastAsia="仿宋" w:cs="Times New Roman"/>
          <w:color w:val="000000"/>
          <w:kern w:val="2"/>
          <w:sz w:val="28"/>
          <w:szCs w:val="24"/>
          <w:lang w:val="en-US" w:eastAsia="zh-CN" w:bidi="ar-SA"/>
        </w:rPr>
        <w:t>SLA、服务恢复SLA、维修响应SLA进行</w:t>
      </w:r>
      <w:r>
        <w:rPr>
          <w:rFonts w:hint="eastAsia" w:ascii="仿宋" w:hAnsi="仿宋" w:eastAsia="仿宋" w:cs="Times New Roman"/>
          <w:color w:val="000000"/>
          <w:kern w:val="2"/>
          <w:sz w:val="28"/>
          <w:szCs w:val="24"/>
          <w:lang w:val="en-US" w:eastAsia="zh-CN" w:bidi="ar-SA"/>
        </w:rPr>
        <w:t>自动核算</w:t>
      </w:r>
      <w:r>
        <w:rPr>
          <w:rFonts w:ascii="仿宋" w:hAnsi="仿宋" w:eastAsia="仿宋" w:cs="Times New Roman"/>
          <w:color w:val="000000"/>
          <w:kern w:val="2"/>
          <w:sz w:val="28"/>
          <w:szCs w:val="24"/>
          <w:lang w:val="en-US" w:eastAsia="zh-CN" w:bidi="ar-SA"/>
        </w:rPr>
        <w:t>。</w:t>
      </w:r>
      <w:r>
        <w:rPr>
          <w:rFonts w:hint="eastAsia" w:ascii="仿宋" w:hAnsi="仿宋" w:eastAsia="仿宋" w:cs="Times New Roman"/>
          <w:color w:val="000000"/>
          <w:kern w:val="2"/>
          <w:sz w:val="28"/>
          <w:szCs w:val="24"/>
          <w:lang w:val="en-US" w:eastAsia="zh-CN" w:bidi="ar-SA"/>
        </w:rPr>
        <w:t>如</w:t>
      </w:r>
      <w:r>
        <w:rPr>
          <w:rFonts w:ascii="仿宋" w:hAnsi="仿宋" w:eastAsia="仿宋" w:cs="Times New Roman"/>
          <w:color w:val="000000"/>
          <w:kern w:val="2"/>
          <w:sz w:val="28"/>
          <w:szCs w:val="24"/>
          <w:lang w:val="en-US" w:eastAsia="zh-CN" w:bidi="ar-SA"/>
        </w:rPr>
        <w:t>对事件工单关键节点设置OLA考核指标，</w:t>
      </w:r>
      <w:r>
        <w:rPr>
          <w:rFonts w:hint="eastAsia" w:ascii="仿宋" w:hAnsi="仿宋" w:eastAsia="仿宋" w:cs="Times New Roman"/>
          <w:color w:val="000000"/>
          <w:kern w:val="2"/>
          <w:sz w:val="28"/>
          <w:szCs w:val="24"/>
          <w:lang w:val="en-US" w:eastAsia="zh-CN" w:bidi="ar-SA"/>
        </w:rPr>
        <w:t>系统也将</w:t>
      </w:r>
      <w:r>
        <w:rPr>
          <w:rFonts w:ascii="仿宋" w:hAnsi="仿宋" w:eastAsia="仿宋" w:cs="Times New Roman"/>
          <w:color w:val="000000"/>
          <w:kern w:val="2"/>
          <w:sz w:val="28"/>
          <w:szCs w:val="24"/>
          <w:lang w:val="en-US" w:eastAsia="zh-CN" w:bidi="ar-SA"/>
        </w:rPr>
        <w:t>对OLA进行自动核算</w:t>
      </w:r>
      <w:r>
        <w:rPr>
          <w:rFonts w:hint="eastAsia" w:ascii="仿宋" w:hAnsi="仿宋" w:eastAsia="仿宋" w:cs="Times New Roman"/>
          <w:color w:val="000000"/>
          <w:kern w:val="2"/>
          <w:sz w:val="28"/>
          <w:szCs w:val="24"/>
          <w:lang w:val="en-US" w:eastAsia="zh-CN" w:bidi="ar-SA"/>
        </w:rPr>
        <w:t>，同时，OLA超标时系统会自动进行管理升级，在事件工单处理过程中对干系人进行抄送，及时进行知会。</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预防性维护应包括维护任务单和维护作业单两个部分，维护任务单提供任务单的建立、记录和呈现功能，任务单应包含维护常规基本信息、维护任务明细、运维审核和关联事件工单等内容。维护作业单应呈现维护任务的具体内容，应包括维护作业常规基本信息、维护结果、维护所需工具和支持文档内容。</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预防性维护应支持根据项目情况灵活进行维护配置，如维护内容模板、维护项目、维护标准、拍照要求、正常值标准等。用户可</w:t>
      </w:r>
      <w:r>
        <w:rPr>
          <w:rFonts w:ascii="仿宋" w:hAnsi="仿宋" w:eastAsia="仿宋" w:cs="Times New Roman"/>
          <w:color w:val="000000"/>
          <w:kern w:val="2"/>
          <w:sz w:val="28"/>
          <w:szCs w:val="24"/>
          <w:lang w:val="en-US" w:eastAsia="zh-CN" w:bidi="ar-SA"/>
        </w:rPr>
        <w:t>通过Excel或其它文本文件批量导</w:t>
      </w:r>
      <w:r>
        <w:rPr>
          <w:rFonts w:hint="eastAsia" w:ascii="仿宋" w:hAnsi="仿宋" w:eastAsia="仿宋" w:cs="Times New Roman"/>
          <w:color w:val="000000"/>
          <w:kern w:val="2"/>
          <w:sz w:val="28"/>
          <w:szCs w:val="24"/>
          <w:lang w:val="en-US" w:eastAsia="zh-CN" w:bidi="ar-SA"/>
        </w:rPr>
        <w:t>入设备</w:t>
      </w:r>
      <w:r>
        <w:rPr>
          <w:rFonts w:ascii="仿宋" w:hAnsi="仿宋" w:eastAsia="仿宋" w:cs="Times New Roman"/>
          <w:color w:val="000000"/>
          <w:kern w:val="2"/>
          <w:sz w:val="28"/>
          <w:szCs w:val="24"/>
          <w:lang w:val="en-US" w:eastAsia="zh-CN" w:bidi="ar-SA"/>
        </w:rPr>
        <w:t>的维保计划，</w:t>
      </w:r>
      <w:r>
        <w:rPr>
          <w:rFonts w:hint="eastAsia" w:ascii="仿宋" w:hAnsi="仿宋" w:eastAsia="仿宋" w:cs="Times New Roman"/>
          <w:color w:val="000000"/>
          <w:kern w:val="2"/>
          <w:sz w:val="28"/>
          <w:szCs w:val="24"/>
          <w:lang w:val="en-US" w:eastAsia="zh-CN" w:bidi="ar-SA"/>
        </w:rPr>
        <w:t>维保详细</w:t>
      </w:r>
      <w:r>
        <w:rPr>
          <w:rFonts w:ascii="仿宋" w:hAnsi="仿宋" w:eastAsia="仿宋" w:cs="Times New Roman"/>
          <w:color w:val="000000"/>
          <w:kern w:val="2"/>
          <w:sz w:val="28"/>
          <w:szCs w:val="24"/>
          <w:lang w:val="en-US" w:eastAsia="zh-CN" w:bidi="ar-SA"/>
        </w:rPr>
        <w:t>内容等。</w:t>
      </w:r>
      <w:r>
        <w:rPr>
          <w:rFonts w:hint="eastAsia" w:ascii="仿宋" w:hAnsi="仿宋" w:eastAsia="仿宋" w:cs="Times New Roman"/>
          <w:color w:val="000000"/>
          <w:kern w:val="2"/>
          <w:sz w:val="28"/>
          <w:szCs w:val="24"/>
          <w:lang w:val="en-US" w:eastAsia="zh-CN" w:bidi="ar-SA"/>
        </w:rPr>
        <w:t>对于部分重要设备维护可能需要提前进行变更，如AHU的季度维护，系统应支持对此类维护任务单提前推送消息给负责人提醒其须提前完成变更流程。</w:t>
      </w:r>
    </w:p>
    <w:p>
      <w:pPr>
        <w:widowControl/>
        <w:autoSpaceDE w:val="0"/>
        <w:autoSpaceDN w:val="0"/>
        <w:spacing w:line="360" w:lineRule="auto"/>
        <w:ind w:firstLine="560" w:firstLineChars="200"/>
        <w:jc w:val="left"/>
        <w:rPr>
          <w:rFonts w:ascii="仿宋" w:hAnsi="仿宋" w:eastAsia="仿宋" w:cs="Times New Roman"/>
          <w:sz w:val="28"/>
          <w:szCs w:val="20"/>
        </w:rPr>
      </w:pPr>
      <w:r>
        <w:rPr>
          <w:rFonts w:hint="eastAsia" w:ascii="仿宋" w:hAnsi="仿宋" w:eastAsia="仿宋" w:cs="Times New Roman"/>
          <w:sz w:val="28"/>
          <w:szCs w:val="20"/>
        </w:rPr>
        <w:t>元器件生命周期管理的对象是数据中心基础设施的关键元器件，如风冷精密空调的风机和压缩机，关注的指标为元器件的建议更换日期、生命周期截止日期。生命周期管理应包含元器件基础数据、设备元器件生命周期两大功能，提前识别设备关键元器件的生命周期截止日期，进而及时进行更换，从而维持设备的正常运行状态，保障设备的可用性。</w:t>
      </w:r>
    </w:p>
    <w:p>
      <w:pPr>
        <w:numPr>
          <w:ilvl w:val="0"/>
          <w:numId w:val="59"/>
        </w:numPr>
        <w:ind w:left="900" w:hanging="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规划协调管理</w:t>
      </w:r>
    </w:p>
    <w:p>
      <w:pPr>
        <w:widowControl/>
        <w:ind w:firstLine="480"/>
        <w:rPr>
          <w:rFonts w:ascii="仿宋" w:hAnsi="仿宋" w:eastAsia="仿宋" w:cs="Arial"/>
          <w:color w:val="000000"/>
          <w:sz w:val="28"/>
          <w:szCs w:val="20"/>
        </w:rPr>
      </w:pPr>
      <w:r>
        <w:rPr>
          <w:rFonts w:hint="eastAsia" w:ascii="仿宋" w:hAnsi="仿宋" w:eastAsia="仿宋" w:cs="Arial"/>
          <w:color w:val="000000"/>
          <w:sz w:val="28"/>
          <w:szCs w:val="20"/>
        </w:rPr>
        <w:t>规划协调管理包括文档管理、知识管理、风险管理和服务需求管理。</w:t>
      </w:r>
    </w:p>
    <w:p>
      <w:pPr>
        <w:widowControl/>
        <w:autoSpaceDE w:val="0"/>
        <w:autoSpaceDN w:val="0"/>
        <w:spacing w:line="360" w:lineRule="auto"/>
        <w:ind w:firstLine="560" w:firstLineChars="200"/>
        <w:jc w:val="left"/>
        <w:rPr>
          <w:rFonts w:ascii="Calibri" w:hAnsi="Calibri" w:eastAsia="仿宋" w:cs="Times New Roman"/>
          <w:sz w:val="28"/>
          <w:szCs w:val="20"/>
        </w:rPr>
      </w:pPr>
      <w:r>
        <w:rPr>
          <w:rFonts w:hint="eastAsia" w:ascii="仿宋" w:hAnsi="仿宋" w:eastAsia="仿宋" w:cs="Arial"/>
          <w:color w:val="000000"/>
          <w:sz w:val="28"/>
          <w:szCs w:val="20"/>
        </w:rPr>
        <w:t>文档和知识管理对基础设施维护文档和维护经验进行详细的分类条目化管理，维护资料的归档需要经过归档电子流的审批控制。</w:t>
      </w:r>
      <w:r>
        <w:rPr>
          <w:rFonts w:hint="eastAsia" w:ascii="Calibri" w:hAnsi="Calibri" w:eastAsia="仿宋" w:cs="Times New Roman"/>
          <w:sz w:val="28"/>
          <w:szCs w:val="20"/>
        </w:rPr>
        <w:t>为便于运维团队的知识积累和传递，提升运维团队的业务水平，系统应提供知识的录入、审批、分类、查询和维护、</w:t>
      </w:r>
      <w:r>
        <w:rPr>
          <w:rFonts w:ascii="Calibri" w:hAnsi="Calibri" w:eastAsia="仿宋" w:cs="Times New Roman"/>
          <w:sz w:val="28"/>
          <w:szCs w:val="20"/>
        </w:rPr>
        <w:t>评价</w:t>
      </w:r>
      <w:r>
        <w:rPr>
          <w:rFonts w:hint="eastAsia" w:ascii="Calibri" w:hAnsi="Calibri" w:eastAsia="仿宋" w:cs="Times New Roman"/>
          <w:sz w:val="28"/>
          <w:szCs w:val="20"/>
        </w:rPr>
        <w:t>等功能，系统应支持从事件工单处理等环节的处理经验直接入库。系统应支持对在库信息的查询、修订、废弃、</w:t>
      </w:r>
      <w:r>
        <w:rPr>
          <w:rFonts w:ascii="Calibri" w:hAnsi="Calibri" w:eastAsia="仿宋" w:cs="Times New Roman"/>
          <w:sz w:val="28"/>
          <w:szCs w:val="20"/>
        </w:rPr>
        <w:t>评价</w:t>
      </w:r>
      <w:r>
        <w:rPr>
          <w:rFonts w:hint="eastAsia" w:ascii="Calibri" w:hAnsi="Calibri" w:eastAsia="仿宋" w:cs="Times New Roman"/>
          <w:sz w:val="28"/>
          <w:szCs w:val="20"/>
        </w:rPr>
        <w:t>等功能，确保有关信息得到有效的利用和管理，及时淘汰各类过时的或不合格的经验信息。</w:t>
      </w:r>
    </w:p>
    <w:p>
      <w:pPr>
        <w:widowControl/>
        <w:ind w:firstLine="480"/>
        <w:rPr>
          <w:rFonts w:ascii="Calibri" w:hAnsi="Calibri" w:eastAsia="仿宋" w:cs="Times New Roman"/>
          <w:sz w:val="28"/>
          <w:szCs w:val="20"/>
        </w:rPr>
      </w:pPr>
      <w:r>
        <w:rPr>
          <w:rFonts w:hint="eastAsia" w:ascii="仿宋" w:hAnsi="仿宋" w:eastAsia="仿宋" w:cs="Arial"/>
          <w:color w:val="000000"/>
          <w:sz w:val="28"/>
          <w:szCs w:val="20"/>
        </w:rPr>
        <w:t>风险管理应包括变更管理电子流、问题管理电子流、隐患管理电子流和管理改进电子流四个流程，对运行维护过程中的变更、问题、隐患和改进四个方面建立流程化的过程管理和记录。变更管理</w:t>
      </w:r>
      <w:r>
        <w:rPr>
          <w:rFonts w:ascii="Calibri" w:hAnsi="Calibri" w:eastAsia="仿宋" w:cs="Times New Roman"/>
          <w:sz w:val="28"/>
          <w:szCs w:val="20"/>
        </w:rPr>
        <w:t>要求</w:t>
      </w:r>
      <w:r>
        <w:rPr>
          <w:rFonts w:hint="eastAsia" w:ascii="Calibri" w:hAnsi="Calibri" w:eastAsia="仿宋" w:cs="Times New Roman"/>
          <w:sz w:val="28"/>
          <w:szCs w:val="20"/>
        </w:rPr>
        <w:t>确保以受控的方式去评估、批准、实施所有变更，严格控制变更风险，</w:t>
      </w:r>
      <w:r>
        <w:rPr>
          <w:rFonts w:ascii="Calibri" w:hAnsi="Calibri" w:eastAsia="仿宋" w:cs="Times New Roman"/>
          <w:sz w:val="28"/>
          <w:szCs w:val="20"/>
        </w:rPr>
        <w:t>变更的所有过程都</w:t>
      </w:r>
      <w:r>
        <w:rPr>
          <w:rFonts w:hint="eastAsia" w:ascii="Calibri" w:hAnsi="Calibri" w:eastAsia="仿宋" w:cs="Times New Roman"/>
          <w:sz w:val="28"/>
          <w:szCs w:val="20"/>
        </w:rPr>
        <w:t>应对该</w:t>
      </w:r>
      <w:r>
        <w:rPr>
          <w:rFonts w:ascii="Calibri" w:hAnsi="Calibri" w:eastAsia="仿宋" w:cs="Times New Roman"/>
          <w:sz w:val="28"/>
          <w:szCs w:val="20"/>
        </w:rPr>
        <w:t>过程的动作内容、动作人、动作时间等记录留存</w:t>
      </w:r>
      <w:r>
        <w:rPr>
          <w:rFonts w:hint="eastAsia" w:ascii="Calibri" w:hAnsi="Calibri" w:eastAsia="仿宋" w:cs="Times New Roman"/>
          <w:sz w:val="28"/>
          <w:szCs w:val="20"/>
        </w:rPr>
        <w:t>，</w:t>
      </w:r>
      <w:r>
        <w:rPr>
          <w:rFonts w:ascii="Calibri" w:hAnsi="Calibri" w:eastAsia="仿宋" w:cs="Times New Roman"/>
          <w:sz w:val="28"/>
          <w:szCs w:val="20"/>
        </w:rPr>
        <w:t>便于追踪查询</w:t>
      </w:r>
      <w:r>
        <w:rPr>
          <w:rFonts w:hint="eastAsia" w:ascii="Calibri" w:hAnsi="Calibri" w:eastAsia="仿宋" w:cs="Times New Roman"/>
          <w:sz w:val="28"/>
          <w:szCs w:val="20"/>
        </w:rPr>
        <w:t>。变更完成后有评审确认，确保变更任务顺利结束。</w:t>
      </w:r>
    </w:p>
    <w:p>
      <w:pPr>
        <w:widowControl/>
        <w:ind w:firstLine="480"/>
        <w:rPr>
          <w:rFonts w:hint="eastAsia" w:ascii="仿宋" w:hAnsi="仿宋" w:eastAsia="仿宋" w:cs="Arial"/>
          <w:color w:val="000000"/>
          <w:sz w:val="28"/>
          <w:szCs w:val="20"/>
        </w:rPr>
      </w:pPr>
      <w:r>
        <w:rPr>
          <w:rFonts w:hint="eastAsia" w:ascii="仿宋" w:hAnsi="仿宋" w:eastAsia="仿宋" w:cs="Arial"/>
          <w:color w:val="000000"/>
          <w:sz w:val="28"/>
          <w:szCs w:val="20"/>
        </w:rPr>
        <w:t>服务需求管理应提供服务需求电子流的发起、分派、执行记录、运维验收和业主验收信息的记录和跟踪。</w:t>
      </w:r>
    </w:p>
    <w:p>
      <w:pPr>
        <w:numPr>
          <w:ilvl w:val="0"/>
          <w:numId w:val="59"/>
        </w:numPr>
        <w:ind w:left="900" w:hanging="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培训</w:t>
      </w:r>
    </w:p>
    <w:p>
      <w:pPr>
        <w:ind w:firstLine="420" w:firstLineChars="0"/>
        <w:jc w:val="both"/>
        <w:rPr>
          <w:rFonts w:hint="eastAsia"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培训管理包括课程管理、员工培训管理和服务商培训管理，对培训课程、岗位课程要求、培训模板进行设置，建立员工和服务商培训记录明细。</w:t>
      </w:r>
    </w:p>
    <w:p>
      <w:pPr>
        <w:numPr>
          <w:ilvl w:val="0"/>
          <w:numId w:val="59"/>
        </w:numPr>
        <w:ind w:left="900" w:hanging="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配置</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配置管理功能应提供运维管理过程中的基础信息配置，应包括服务目录、设备基础数据、备件基础数据、巡检配置、预防性维护配置等内容。</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服务目录应包括考核指标配置、事件S</w:t>
      </w:r>
      <w:r>
        <w:rPr>
          <w:rFonts w:ascii="仿宋" w:hAnsi="仿宋" w:eastAsia="仿宋" w:cs="Times New Roman"/>
          <w:color w:val="000000"/>
          <w:kern w:val="2"/>
          <w:sz w:val="28"/>
          <w:szCs w:val="24"/>
          <w:lang w:val="en-US" w:eastAsia="zh-CN" w:bidi="ar-SA"/>
        </w:rPr>
        <w:t>LA</w:t>
      </w:r>
      <w:r>
        <w:rPr>
          <w:rFonts w:hint="eastAsia" w:ascii="仿宋" w:hAnsi="仿宋" w:eastAsia="仿宋" w:cs="Times New Roman"/>
          <w:color w:val="000000"/>
          <w:kern w:val="2"/>
          <w:sz w:val="28"/>
          <w:szCs w:val="24"/>
          <w:lang w:val="en-US" w:eastAsia="zh-CN" w:bidi="ar-SA"/>
        </w:rPr>
        <w:t>配置和事件</w:t>
      </w:r>
      <w:r>
        <w:rPr>
          <w:rFonts w:ascii="仿宋" w:hAnsi="仿宋" w:eastAsia="仿宋" w:cs="Times New Roman"/>
          <w:color w:val="000000"/>
          <w:kern w:val="2"/>
          <w:sz w:val="28"/>
          <w:szCs w:val="24"/>
          <w:lang w:val="en-US" w:eastAsia="zh-CN" w:bidi="ar-SA"/>
        </w:rPr>
        <w:t>OLA</w:t>
      </w:r>
      <w:r>
        <w:rPr>
          <w:rFonts w:hint="eastAsia" w:ascii="仿宋" w:hAnsi="仿宋" w:eastAsia="仿宋" w:cs="Times New Roman"/>
          <w:color w:val="000000"/>
          <w:kern w:val="2"/>
          <w:sz w:val="28"/>
          <w:szCs w:val="24"/>
          <w:lang w:val="en-US" w:eastAsia="zh-CN" w:bidi="ar-SA"/>
        </w:rPr>
        <w:t>配置。</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设备基础数据配置对数据中心设施的基础信息进行层级分类设置，主要包括基础设施的系统、子系统、设备类型、设备品牌、机楼和位置等内容。</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备件基础数据包括备件库房、备件房间、备件货架、备件货位、备件品牌、备件规格和备件单位基础信息进行配置。</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巡检配置对巡检项、巡检项基准、巡检任务单模板和巡检计划进行配置。</w:t>
      </w:r>
    </w:p>
    <w:p>
      <w:pPr>
        <w:ind w:firstLine="420" w:firstLineChars="0"/>
        <w:jc w:val="both"/>
        <w:rPr>
          <w:rFonts w:hint="eastAsia"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预防性维护配置对维护项、维护项基准、维护任务单模板和维护作业单模板进行配置。</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人员及权限管理</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人员及权限管理应</w:t>
      </w:r>
      <w:r>
        <w:rPr>
          <w:rFonts w:ascii="仿宋" w:hAnsi="仿宋" w:eastAsia="仿宋" w:cs="Times New Roman"/>
          <w:color w:val="000000"/>
          <w:kern w:val="2"/>
          <w:sz w:val="28"/>
          <w:szCs w:val="24"/>
          <w:lang w:val="en-US" w:eastAsia="zh-CN" w:bidi="ar-SA"/>
        </w:rPr>
        <w:t>提供用户及其权限配置管理功能，对用户基本信息</w:t>
      </w:r>
      <w:r>
        <w:rPr>
          <w:rFonts w:hint="eastAsia" w:ascii="仿宋" w:hAnsi="仿宋" w:eastAsia="仿宋" w:cs="Times New Roman"/>
          <w:color w:val="000000"/>
          <w:kern w:val="2"/>
          <w:sz w:val="28"/>
          <w:szCs w:val="24"/>
          <w:lang w:val="en-US" w:eastAsia="zh-CN" w:bidi="ar-SA"/>
        </w:rPr>
        <w:t>和角色进行配置</w:t>
      </w:r>
      <w:r>
        <w:rPr>
          <w:rFonts w:ascii="仿宋" w:hAnsi="仿宋" w:eastAsia="仿宋" w:cs="Times New Roman"/>
          <w:color w:val="000000"/>
          <w:kern w:val="2"/>
          <w:sz w:val="28"/>
          <w:szCs w:val="24"/>
          <w:lang w:val="en-US" w:eastAsia="zh-CN" w:bidi="ar-SA"/>
        </w:rPr>
        <w:t>，管理员可进行增、删、改、查操作</w:t>
      </w:r>
      <w:r>
        <w:rPr>
          <w:rFonts w:hint="eastAsia" w:ascii="仿宋" w:hAnsi="仿宋" w:eastAsia="仿宋" w:cs="Times New Roman"/>
          <w:color w:val="000000"/>
          <w:kern w:val="2"/>
          <w:sz w:val="28"/>
          <w:szCs w:val="24"/>
          <w:lang w:val="en-US" w:eastAsia="zh-CN" w:bidi="ar-SA"/>
        </w:rPr>
        <w:t>，</w:t>
      </w:r>
      <w:r>
        <w:rPr>
          <w:rFonts w:ascii="仿宋" w:hAnsi="仿宋" w:eastAsia="仿宋" w:cs="Times New Roman"/>
          <w:color w:val="000000"/>
          <w:kern w:val="2"/>
          <w:sz w:val="28"/>
          <w:szCs w:val="24"/>
          <w:lang w:val="en-US" w:eastAsia="zh-CN" w:bidi="ar-SA"/>
        </w:rPr>
        <w:t>用户可对自己的个人信息进行维护。</w:t>
      </w:r>
    </w:p>
    <w:p>
      <w:pPr>
        <w:ind w:firstLine="420" w:firstLineChars="0"/>
        <w:jc w:val="both"/>
        <w:rPr>
          <w:rFonts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权限管理应对帐号进行</w:t>
      </w:r>
      <w:r>
        <w:rPr>
          <w:rFonts w:ascii="仿宋" w:hAnsi="仿宋" w:eastAsia="仿宋" w:cs="Times New Roman"/>
          <w:color w:val="000000"/>
          <w:kern w:val="2"/>
          <w:sz w:val="28"/>
          <w:szCs w:val="24"/>
          <w:lang w:val="en-US" w:eastAsia="zh-CN" w:bidi="ar-SA"/>
        </w:rPr>
        <w:t>严格管理</w:t>
      </w:r>
      <w:r>
        <w:rPr>
          <w:rFonts w:hint="eastAsia" w:ascii="仿宋" w:hAnsi="仿宋" w:eastAsia="仿宋" w:cs="Times New Roman"/>
          <w:color w:val="000000"/>
          <w:kern w:val="2"/>
          <w:sz w:val="28"/>
          <w:szCs w:val="24"/>
          <w:lang w:val="en-US" w:eastAsia="zh-CN" w:bidi="ar-SA"/>
        </w:rPr>
        <w:t>，</w:t>
      </w:r>
      <w:r>
        <w:rPr>
          <w:rFonts w:ascii="仿宋" w:hAnsi="仿宋" w:eastAsia="仿宋" w:cs="Times New Roman"/>
          <w:color w:val="000000"/>
          <w:kern w:val="2"/>
          <w:sz w:val="28"/>
          <w:szCs w:val="24"/>
          <w:lang w:val="en-US" w:eastAsia="zh-CN" w:bidi="ar-SA"/>
        </w:rPr>
        <w:t>帐号口令必须3个月定期进行修改；如果帐号即将过期，通知用户修改口令；在用户登录时，必须先修改口令才能继续维护操作</w:t>
      </w:r>
      <w:r>
        <w:rPr>
          <w:rFonts w:hint="eastAsia" w:ascii="仿宋" w:hAnsi="仿宋" w:eastAsia="仿宋" w:cs="Times New Roman"/>
          <w:color w:val="000000"/>
          <w:kern w:val="2"/>
          <w:sz w:val="28"/>
          <w:szCs w:val="24"/>
          <w:lang w:val="en-US" w:eastAsia="zh-CN" w:bidi="ar-SA"/>
        </w:rPr>
        <w:t>。帐号</w:t>
      </w:r>
      <w:r>
        <w:rPr>
          <w:rFonts w:ascii="仿宋" w:hAnsi="仿宋" w:eastAsia="仿宋" w:cs="Times New Roman"/>
          <w:color w:val="000000"/>
          <w:kern w:val="2"/>
          <w:sz w:val="28"/>
          <w:szCs w:val="24"/>
          <w:lang w:val="en-US" w:eastAsia="zh-CN" w:bidi="ar-SA"/>
        </w:rPr>
        <w:t>口令必须进行加密存储，不允许帐号口令存在弱口令现象。</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报表管理功能要求（包括但不限</w:t>
      </w:r>
      <w:bookmarkEnd w:id="302"/>
      <w:r>
        <w:rPr>
          <w:rFonts w:hint="eastAsia" w:ascii="仿宋" w:hAnsi="仿宋" w:eastAsia="仿宋" w:cs="仿宋"/>
          <w:b w:val="0"/>
          <w:bCs/>
          <w:kern w:val="2"/>
          <w:sz w:val="28"/>
          <w:szCs w:val="28"/>
          <w:lang w:val="en-US" w:eastAsia="zh-CN" w:bidi="ar-SA"/>
        </w:rPr>
        <w:t>于）</w:t>
      </w:r>
    </w:p>
    <w:p>
      <w:pPr>
        <w:ind w:firstLine="420" w:firstLineChars="0"/>
        <w:jc w:val="both"/>
        <w:rPr>
          <w:rFonts w:ascii="仿宋" w:hAnsi="仿宋" w:eastAsia="仿宋" w:cs="Times New Roman"/>
          <w:color w:val="000000"/>
          <w:kern w:val="2"/>
          <w:sz w:val="28"/>
          <w:szCs w:val="24"/>
          <w:lang w:val="en-US" w:eastAsia="zh-CN" w:bidi="ar-SA"/>
        </w:rPr>
      </w:pPr>
      <w:bookmarkStart w:id="305" w:name="_Toc307781505"/>
      <w:r>
        <w:rPr>
          <w:rFonts w:hint="eastAsia" w:ascii="仿宋" w:hAnsi="仿宋" w:eastAsia="仿宋" w:cs="Times New Roman"/>
          <w:color w:val="000000"/>
          <w:kern w:val="2"/>
          <w:sz w:val="28"/>
          <w:szCs w:val="24"/>
          <w:lang w:val="en-US" w:eastAsia="zh-CN" w:bidi="ar-SA"/>
        </w:rPr>
        <w:t>系统应提供</w:t>
      </w:r>
      <w:r>
        <w:rPr>
          <w:rFonts w:ascii="仿宋" w:hAnsi="仿宋" w:eastAsia="仿宋" w:cs="Times New Roman"/>
          <w:color w:val="000000"/>
          <w:kern w:val="2"/>
          <w:sz w:val="28"/>
          <w:szCs w:val="24"/>
          <w:lang w:val="en-US" w:eastAsia="zh-CN" w:bidi="ar-SA"/>
        </w:rPr>
        <w:t>基础报表功能</w:t>
      </w:r>
      <w:r>
        <w:rPr>
          <w:rFonts w:hint="eastAsia" w:ascii="仿宋" w:hAnsi="仿宋" w:eastAsia="仿宋" w:cs="Times New Roman"/>
          <w:color w:val="000000"/>
          <w:kern w:val="2"/>
          <w:sz w:val="28"/>
          <w:szCs w:val="24"/>
          <w:lang w:val="en-US" w:eastAsia="zh-CN" w:bidi="ar-SA"/>
        </w:rPr>
        <w:t>，</w:t>
      </w:r>
      <w:r>
        <w:rPr>
          <w:rFonts w:ascii="仿宋" w:hAnsi="仿宋" w:eastAsia="仿宋" w:cs="Times New Roman"/>
          <w:color w:val="000000"/>
          <w:kern w:val="2"/>
          <w:sz w:val="28"/>
          <w:szCs w:val="24"/>
          <w:lang w:val="en-US" w:eastAsia="zh-CN" w:bidi="ar-SA"/>
        </w:rPr>
        <w:t>具有记录、统计</w:t>
      </w:r>
      <w:r>
        <w:rPr>
          <w:rFonts w:hint="eastAsia" w:ascii="仿宋" w:hAnsi="仿宋" w:eastAsia="仿宋" w:cs="Times New Roman"/>
          <w:color w:val="000000"/>
          <w:kern w:val="2"/>
          <w:sz w:val="28"/>
          <w:szCs w:val="24"/>
          <w:lang w:val="en-US" w:eastAsia="zh-CN" w:bidi="ar-SA"/>
        </w:rPr>
        <w:t>和</w:t>
      </w:r>
      <w:r>
        <w:rPr>
          <w:rFonts w:ascii="仿宋" w:hAnsi="仿宋" w:eastAsia="仿宋" w:cs="Times New Roman"/>
          <w:color w:val="000000"/>
          <w:kern w:val="2"/>
          <w:sz w:val="28"/>
          <w:szCs w:val="24"/>
          <w:lang w:val="en-US" w:eastAsia="zh-CN" w:bidi="ar-SA"/>
        </w:rPr>
        <w:t>生成以下各种报表及曲线图：</w:t>
      </w:r>
    </w:p>
    <w:p>
      <w:pPr>
        <w:numPr>
          <w:ilvl w:val="0"/>
          <w:numId w:val="60"/>
        </w:numPr>
        <w:ind w:left="0" w:firstLine="420" w:firstLineChars="0"/>
        <w:jc w:val="both"/>
        <w:rPr>
          <w:rFonts w:ascii="仿宋" w:hAnsi="仿宋" w:eastAsia="仿宋" w:cs="Times New Roman"/>
          <w:color w:val="000000"/>
          <w:kern w:val="2"/>
          <w:sz w:val="28"/>
          <w:szCs w:val="24"/>
          <w:lang w:val="en-US" w:eastAsia="zh-CN" w:bidi="ar-SA"/>
        </w:rPr>
      </w:pPr>
      <w:r>
        <w:rPr>
          <w:rFonts w:ascii="仿宋" w:hAnsi="仿宋" w:eastAsia="仿宋" w:cs="Times New Roman"/>
          <w:color w:val="000000"/>
          <w:kern w:val="2"/>
          <w:sz w:val="28"/>
          <w:szCs w:val="24"/>
          <w:lang w:val="en-US" w:eastAsia="zh-CN" w:bidi="ar-SA"/>
        </w:rPr>
        <w:t>时间段历史数据记录报表、历史数据曲线图</w:t>
      </w:r>
    </w:p>
    <w:p>
      <w:pPr>
        <w:numPr>
          <w:ilvl w:val="0"/>
          <w:numId w:val="60"/>
        </w:numPr>
        <w:ind w:left="0" w:firstLine="420" w:firstLineChars="0"/>
        <w:jc w:val="both"/>
        <w:rPr>
          <w:rFonts w:ascii="仿宋" w:hAnsi="仿宋" w:eastAsia="仿宋" w:cs="Times New Roman"/>
          <w:color w:val="000000"/>
          <w:kern w:val="2"/>
          <w:sz w:val="28"/>
          <w:szCs w:val="24"/>
          <w:lang w:val="en-US" w:eastAsia="zh-CN" w:bidi="ar-SA"/>
        </w:rPr>
      </w:pPr>
      <w:r>
        <w:rPr>
          <w:rFonts w:ascii="仿宋" w:hAnsi="仿宋" w:eastAsia="仿宋" w:cs="Times New Roman"/>
          <w:color w:val="000000"/>
          <w:kern w:val="2"/>
          <w:sz w:val="28"/>
          <w:szCs w:val="24"/>
          <w:lang w:val="en-US" w:eastAsia="zh-CN" w:bidi="ar-SA"/>
        </w:rPr>
        <w:t>时间段刷卡统计报表、刷卡记录报表</w:t>
      </w:r>
    </w:p>
    <w:p>
      <w:pPr>
        <w:numPr>
          <w:ilvl w:val="0"/>
          <w:numId w:val="60"/>
        </w:numPr>
        <w:ind w:left="0" w:firstLine="420" w:firstLineChars="0"/>
        <w:jc w:val="both"/>
        <w:rPr>
          <w:rFonts w:ascii="仿宋" w:hAnsi="仿宋" w:eastAsia="仿宋" w:cs="Times New Roman"/>
          <w:color w:val="000000"/>
          <w:kern w:val="2"/>
          <w:sz w:val="28"/>
          <w:szCs w:val="24"/>
          <w:lang w:val="en-US" w:eastAsia="zh-CN" w:bidi="ar-SA"/>
        </w:rPr>
      </w:pPr>
      <w:r>
        <w:rPr>
          <w:rFonts w:ascii="仿宋" w:hAnsi="仿宋" w:eastAsia="仿宋" w:cs="Times New Roman"/>
          <w:color w:val="000000"/>
          <w:kern w:val="2"/>
          <w:sz w:val="28"/>
          <w:szCs w:val="24"/>
          <w:lang w:val="en-US" w:eastAsia="zh-CN" w:bidi="ar-SA"/>
        </w:rPr>
        <w:t>时间段控制命令历史记录报表</w:t>
      </w:r>
    </w:p>
    <w:p>
      <w:pPr>
        <w:numPr>
          <w:ilvl w:val="0"/>
          <w:numId w:val="60"/>
        </w:numPr>
        <w:ind w:left="0" w:firstLine="420" w:firstLineChars="0"/>
        <w:jc w:val="both"/>
        <w:rPr>
          <w:rFonts w:ascii="仿宋" w:hAnsi="仿宋" w:eastAsia="仿宋" w:cs="Times New Roman"/>
          <w:color w:val="000000"/>
          <w:kern w:val="2"/>
          <w:sz w:val="28"/>
          <w:szCs w:val="24"/>
          <w:lang w:val="en-US" w:eastAsia="zh-CN" w:bidi="ar-SA"/>
        </w:rPr>
      </w:pPr>
      <w:r>
        <w:rPr>
          <w:rFonts w:ascii="仿宋" w:hAnsi="仿宋" w:eastAsia="仿宋" w:cs="Times New Roman"/>
          <w:color w:val="000000"/>
          <w:kern w:val="2"/>
          <w:sz w:val="28"/>
          <w:szCs w:val="24"/>
          <w:lang w:val="en-US" w:eastAsia="zh-CN" w:bidi="ar-SA"/>
        </w:rPr>
        <w:t>时间段操作日志历史记录报表、操作日志统计报表</w:t>
      </w:r>
    </w:p>
    <w:p>
      <w:pPr>
        <w:numPr>
          <w:ilvl w:val="0"/>
          <w:numId w:val="60"/>
        </w:numPr>
        <w:ind w:left="0" w:firstLine="420" w:firstLineChars="0"/>
        <w:jc w:val="both"/>
        <w:rPr>
          <w:rFonts w:ascii="仿宋" w:hAnsi="仿宋" w:eastAsia="仿宋" w:cs="Times New Roman"/>
          <w:color w:val="000000"/>
          <w:kern w:val="2"/>
          <w:sz w:val="28"/>
          <w:szCs w:val="24"/>
          <w:lang w:val="en-US" w:eastAsia="zh-CN" w:bidi="ar-SA"/>
        </w:rPr>
      </w:pPr>
      <w:r>
        <w:rPr>
          <w:rFonts w:ascii="仿宋" w:hAnsi="仿宋" w:eastAsia="仿宋" w:cs="Times New Roman"/>
          <w:color w:val="000000"/>
          <w:kern w:val="2"/>
          <w:sz w:val="28"/>
          <w:szCs w:val="24"/>
          <w:lang w:val="en-US" w:eastAsia="zh-CN" w:bidi="ar-SA"/>
        </w:rPr>
        <w:t>登录人员信息表、人员登录记录表</w:t>
      </w:r>
    </w:p>
    <w:p>
      <w:pPr>
        <w:numPr>
          <w:ilvl w:val="0"/>
          <w:numId w:val="60"/>
        </w:numPr>
        <w:ind w:left="0" w:firstLine="420" w:firstLineChars="0"/>
        <w:jc w:val="both"/>
        <w:rPr>
          <w:rFonts w:ascii="仿宋" w:hAnsi="仿宋" w:eastAsia="仿宋" w:cs="Times New Roman"/>
          <w:color w:val="000000"/>
          <w:kern w:val="2"/>
          <w:sz w:val="28"/>
          <w:szCs w:val="24"/>
          <w:lang w:val="en-US" w:eastAsia="zh-CN" w:bidi="ar-SA"/>
        </w:rPr>
      </w:pPr>
      <w:r>
        <w:rPr>
          <w:rFonts w:ascii="仿宋" w:hAnsi="仿宋" w:eastAsia="仿宋" w:cs="Times New Roman"/>
          <w:color w:val="000000"/>
          <w:kern w:val="2"/>
          <w:sz w:val="28"/>
          <w:szCs w:val="24"/>
          <w:lang w:val="en-US" w:eastAsia="zh-CN" w:bidi="ar-SA"/>
        </w:rPr>
        <w:t>信号配置一览表、控制配置一览表、配置告警统计表、事件屏蔽配置总览报表</w:t>
      </w:r>
    </w:p>
    <w:p>
      <w:pPr>
        <w:numPr>
          <w:ilvl w:val="0"/>
          <w:numId w:val="60"/>
        </w:numPr>
        <w:ind w:left="0" w:firstLine="420" w:firstLineChars="0"/>
        <w:jc w:val="both"/>
        <w:rPr>
          <w:rFonts w:ascii="仿宋" w:hAnsi="仿宋" w:eastAsia="仿宋" w:cs="Times New Roman"/>
          <w:color w:val="000000"/>
          <w:kern w:val="2"/>
          <w:sz w:val="28"/>
          <w:szCs w:val="24"/>
          <w:lang w:val="en-US" w:eastAsia="zh-CN" w:bidi="ar-SA"/>
        </w:rPr>
      </w:pPr>
      <w:r>
        <w:rPr>
          <w:rFonts w:ascii="仿宋" w:hAnsi="仿宋" w:eastAsia="仿宋" w:cs="Times New Roman"/>
          <w:color w:val="000000"/>
          <w:kern w:val="2"/>
          <w:sz w:val="28"/>
          <w:szCs w:val="24"/>
          <w:lang w:val="en-US" w:eastAsia="zh-CN" w:bidi="ar-SA"/>
        </w:rPr>
        <w:t>报表输出</w:t>
      </w:r>
      <w:r>
        <w:rPr>
          <w:rFonts w:hint="eastAsia" w:ascii="仿宋" w:hAnsi="仿宋" w:eastAsia="仿宋" w:cs="Times New Roman"/>
          <w:color w:val="000000"/>
          <w:kern w:val="2"/>
          <w:sz w:val="28"/>
          <w:szCs w:val="24"/>
          <w:lang w:val="en-US" w:eastAsia="zh-CN" w:bidi="ar-SA"/>
        </w:rPr>
        <w:t>应</w:t>
      </w:r>
      <w:r>
        <w:rPr>
          <w:rFonts w:ascii="仿宋" w:hAnsi="仿宋" w:eastAsia="仿宋" w:cs="Times New Roman"/>
          <w:color w:val="000000"/>
          <w:kern w:val="2"/>
          <w:sz w:val="28"/>
          <w:szCs w:val="24"/>
          <w:lang w:val="en-US" w:eastAsia="zh-CN" w:bidi="ar-SA"/>
        </w:rPr>
        <w:t>支持数据报表的在线打印和Excel格式输出。</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数据管理要求（包括但不限</w:t>
      </w:r>
      <w:bookmarkEnd w:id="305"/>
      <w:r>
        <w:rPr>
          <w:rFonts w:hint="eastAsia" w:ascii="仿宋" w:hAnsi="仿宋" w:eastAsia="仿宋" w:cs="仿宋"/>
          <w:b w:val="0"/>
          <w:bCs/>
          <w:kern w:val="2"/>
          <w:sz w:val="28"/>
          <w:szCs w:val="28"/>
          <w:lang w:val="en-US" w:eastAsia="zh-CN" w:bidi="ar-SA"/>
        </w:rPr>
        <w:t>于）</w:t>
      </w:r>
    </w:p>
    <w:p>
      <w:pPr>
        <w:numPr>
          <w:ilvl w:val="0"/>
          <w:numId w:val="61"/>
        </w:numPr>
        <w:ind w:left="0" w:firstLine="420" w:firstLineChars="0"/>
        <w:jc w:val="both"/>
        <w:rPr>
          <w:rFonts w:hint="eastAsia"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要求为保证数据的可靠性、安全性，任何历史数据不允许任何人进行修改。</w:t>
      </w:r>
    </w:p>
    <w:p>
      <w:pPr>
        <w:numPr>
          <w:ilvl w:val="0"/>
          <w:numId w:val="61"/>
        </w:numPr>
        <w:ind w:left="0" w:firstLine="420" w:firstLineChars="0"/>
        <w:jc w:val="both"/>
        <w:rPr>
          <w:rFonts w:hint="eastAsia"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要求集成管理系统应具备本地数据备份和恢复功能，并具有数据库优化存储策略</w:t>
      </w:r>
      <w:bookmarkStart w:id="306" w:name="_Toc307781506"/>
      <w:r>
        <w:rPr>
          <w:rFonts w:hint="eastAsia" w:ascii="仿宋" w:hAnsi="仿宋" w:eastAsia="仿宋" w:cs="Times New Roman"/>
          <w:color w:val="000000"/>
          <w:kern w:val="2"/>
          <w:sz w:val="28"/>
          <w:szCs w:val="24"/>
          <w:lang w:val="en-US" w:eastAsia="zh-CN" w:bidi="ar-SA"/>
        </w:rPr>
        <w:t>。</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日志管理要求（包括但不限</w:t>
      </w:r>
      <w:bookmarkEnd w:id="306"/>
      <w:r>
        <w:rPr>
          <w:rFonts w:hint="eastAsia" w:ascii="仿宋" w:hAnsi="仿宋" w:eastAsia="仿宋" w:cs="仿宋"/>
          <w:b w:val="0"/>
          <w:bCs/>
          <w:kern w:val="2"/>
          <w:sz w:val="28"/>
          <w:szCs w:val="28"/>
          <w:lang w:val="en-US" w:eastAsia="zh-CN" w:bidi="ar-SA"/>
        </w:rPr>
        <w:t>于）</w:t>
      </w:r>
    </w:p>
    <w:p>
      <w:pPr>
        <w:numPr>
          <w:ilvl w:val="0"/>
          <w:numId w:val="62"/>
        </w:numPr>
        <w:ind w:left="0" w:firstLine="420" w:firstLineChars="0"/>
        <w:jc w:val="both"/>
        <w:rPr>
          <w:rFonts w:hint="eastAsia"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要求系统须提供基于数据库的日志功能，至少包括用户操作日志、系统运行状态日志、告警日志等，以实现对机房人员操作、系统运行、事件告警的跟踪管理。</w:t>
      </w:r>
    </w:p>
    <w:p>
      <w:pPr>
        <w:numPr>
          <w:ilvl w:val="0"/>
          <w:numId w:val="62"/>
        </w:numPr>
        <w:ind w:left="0" w:firstLine="420" w:firstLineChars="0"/>
        <w:jc w:val="both"/>
        <w:rPr>
          <w:rFonts w:hint="eastAsia" w:ascii="仿宋" w:hAnsi="仿宋" w:eastAsia="仿宋" w:cs="Times New Roman"/>
          <w:color w:val="000000"/>
          <w:kern w:val="2"/>
          <w:sz w:val="28"/>
          <w:szCs w:val="24"/>
          <w:lang w:val="en-US" w:eastAsia="zh-CN" w:bidi="ar-SA"/>
        </w:rPr>
      </w:pPr>
      <w:r>
        <w:rPr>
          <w:rFonts w:hint="eastAsia" w:ascii="仿宋" w:hAnsi="仿宋" w:eastAsia="仿宋" w:cs="Times New Roman"/>
          <w:color w:val="000000"/>
          <w:kern w:val="2"/>
          <w:sz w:val="28"/>
          <w:szCs w:val="24"/>
          <w:lang w:val="en-US" w:eastAsia="zh-CN" w:bidi="ar-SA"/>
        </w:rPr>
        <w:t>要求系统日志原则上不可被任何人修改，所有日志可以根据查询条件统计查询，并可即时生成报表、导出打印</w:t>
      </w:r>
      <w:bookmarkStart w:id="307" w:name="_Toc307781507"/>
      <w:r>
        <w:rPr>
          <w:rFonts w:hint="eastAsia" w:ascii="仿宋" w:hAnsi="仿宋" w:eastAsia="仿宋" w:cs="Times New Roman"/>
          <w:color w:val="000000"/>
          <w:kern w:val="2"/>
          <w:sz w:val="28"/>
          <w:szCs w:val="24"/>
          <w:lang w:val="en-US" w:eastAsia="zh-CN" w:bidi="ar-SA"/>
        </w:rPr>
        <w:t>。</w:t>
      </w:r>
    </w:p>
    <w:bookmarkEnd w:id="307"/>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4"/>
          <w:lang w:val="en-US" w:eastAsia="zh-CN" w:bidi="ar-SA"/>
        </w:rPr>
      </w:pPr>
      <w:r>
        <w:rPr>
          <w:rFonts w:hint="eastAsia" w:ascii="仿宋" w:hAnsi="仿宋" w:eastAsia="仿宋" w:cs="仿宋"/>
          <w:b/>
          <w:kern w:val="2"/>
          <w:sz w:val="28"/>
          <w:szCs w:val="28"/>
          <w:lang w:val="en-US" w:eastAsia="zh-CN" w:bidi="ar-SA"/>
        </w:rPr>
        <w:t>子系统接入</w:t>
      </w:r>
    </w:p>
    <w:p>
      <w:pPr>
        <w:widowControl/>
        <w:spacing w:line="560" w:lineRule="exact"/>
        <w:ind w:firstLine="560" w:firstLineChars="200"/>
        <w:rPr>
          <w:rFonts w:hint="eastAsia" w:ascii="仿宋" w:hAnsi="仿宋" w:eastAsia="仿宋" w:cs="Times New Roman"/>
          <w:sz w:val="28"/>
          <w:szCs w:val="20"/>
        </w:rPr>
      </w:pPr>
      <w:r>
        <w:rPr>
          <w:rFonts w:hint="eastAsia" w:ascii="仿宋" w:hAnsi="仿宋" w:eastAsia="仿宋" w:cs="Times New Roman"/>
          <w:sz w:val="28"/>
          <w:szCs w:val="20"/>
        </w:rPr>
        <w:t>D</w:t>
      </w:r>
      <w:r>
        <w:rPr>
          <w:rFonts w:ascii="仿宋" w:hAnsi="仿宋" w:eastAsia="仿宋" w:cs="Times New Roman"/>
          <w:sz w:val="28"/>
          <w:szCs w:val="20"/>
        </w:rPr>
        <w:t>CIM</w:t>
      </w:r>
      <w:r>
        <w:rPr>
          <w:rFonts w:hint="eastAsia" w:ascii="仿宋" w:hAnsi="仿宋" w:eastAsia="仿宋" w:cs="Times New Roman"/>
          <w:sz w:val="28"/>
          <w:szCs w:val="20"/>
        </w:rPr>
        <w:t>基础设施管理系统应支持南向接口，实现视频系统、门禁系统、防盗报警系统和消防系统的接入，并预留巡更系统接口。</w:t>
      </w:r>
    </w:p>
    <w:p>
      <w:pPr>
        <w:widowControl/>
        <w:spacing w:line="560" w:lineRule="exact"/>
        <w:ind w:firstLine="560" w:firstLineChars="200"/>
        <w:rPr>
          <w:rFonts w:hint="eastAsia" w:ascii="仿宋" w:hAnsi="仿宋" w:eastAsia="仿宋" w:cs="Times New Roman"/>
          <w:sz w:val="28"/>
          <w:szCs w:val="20"/>
        </w:rPr>
      </w:pPr>
      <w:bookmarkStart w:id="308" w:name="_Toc269228985"/>
      <w:bookmarkStart w:id="309" w:name="_Toc429478659"/>
      <w:bookmarkStart w:id="310" w:name="_Toc190023449"/>
      <w:bookmarkStart w:id="311" w:name="_Toc190022775"/>
      <w:bookmarkStart w:id="312" w:name="_Toc244286437"/>
      <w:bookmarkStart w:id="313" w:name="_Toc189975705"/>
      <w:bookmarkStart w:id="314" w:name="_Toc190023115"/>
      <w:bookmarkStart w:id="315" w:name="_Toc241924327"/>
      <w:r>
        <w:rPr>
          <w:rFonts w:hint="eastAsia" w:ascii="仿宋" w:hAnsi="仿宋" w:eastAsia="仿宋" w:cs="Times New Roman"/>
          <w:sz w:val="28"/>
          <w:szCs w:val="20"/>
        </w:rPr>
        <w:t>集成视频子系统，可查看摄像头视频实时监控画面、历史监控画面，支持查看多个摄像头视频监控画面，以及可同时查看多个摄像头的历史监控画面。</w:t>
      </w:r>
    </w:p>
    <w:p>
      <w:pPr>
        <w:widowControl/>
        <w:spacing w:line="560" w:lineRule="exact"/>
        <w:ind w:firstLine="560" w:firstLineChars="200"/>
        <w:rPr>
          <w:rFonts w:ascii="仿宋" w:hAnsi="仿宋" w:eastAsia="仿宋" w:cs="Times New Roman"/>
          <w:sz w:val="28"/>
          <w:szCs w:val="20"/>
        </w:rPr>
      </w:pPr>
      <w:r>
        <w:rPr>
          <w:rFonts w:hint="eastAsia" w:ascii="仿宋" w:hAnsi="仿宋" w:eastAsia="仿宋" w:cs="Times New Roman"/>
          <w:sz w:val="28"/>
          <w:szCs w:val="20"/>
        </w:rPr>
        <w:t>集成门禁子系统，实时查看人员进出情况、门区状态，以及在紧急状态下打开所有的门区。</w:t>
      </w:r>
    </w:p>
    <w:bookmarkEnd w:id="308"/>
    <w:bookmarkEnd w:id="309"/>
    <w:bookmarkEnd w:id="310"/>
    <w:bookmarkEnd w:id="311"/>
    <w:bookmarkEnd w:id="312"/>
    <w:bookmarkEnd w:id="313"/>
    <w:bookmarkEnd w:id="314"/>
    <w:bookmarkEnd w:id="315"/>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316" w:name="_Toc419811586"/>
      <w:bookmarkStart w:id="317" w:name="_Toc29217"/>
      <w:bookmarkStart w:id="318" w:name="_Toc25651245"/>
      <w:bookmarkStart w:id="319" w:name="_Toc25397"/>
      <w:r>
        <w:rPr>
          <w:rFonts w:hint="eastAsia" w:ascii="楷体" w:hAnsi="楷体" w:eastAsia="仿宋" w:cs="Times New Roman"/>
          <w:b/>
          <w:kern w:val="2"/>
          <w:sz w:val="28"/>
          <w:lang w:val="en-US" w:eastAsia="zh-CN" w:bidi="ar-SA"/>
        </w:rPr>
        <w:t>ECC</w:t>
      </w:r>
      <w:bookmarkEnd w:id="316"/>
      <w:bookmarkEnd w:id="317"/>
      <w:r>
        <w:rPr>
          <w:rFonts w:hint="eastAsia" w:ascii="楷体" w:hAnsi="楷体" w:eastAsia="仿宋" w:cs="Times New Roman"/>
          <w:b/>
          <w:kern w:val="2"/>
          <w:sz w:val="28"/>
          <w:lang w:val="en-US" w:eastAsia="zh-CN" w:bidi="ar-SA"/>
        </w:rPr>
        <w:t>监控中心</w:t>
      </w:r>
      <w:bookmarkEnd w:id="318"/>
      <w:bookmarkEnd w:id="319"/>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4"/>
          <w:lang w:val="en-US" w:eastAsia="zh-CN" w:bidi="ar-SA"/>
        </w:rPr>
      </w:pPr>
      <w:bookmarkStart w:id="320" w:name="_Toc364422739"/>
      <w:bookmarkStart w:id="321" w:name="_Toc19520"/>
      <w:bookmarkStart w:id="322" w:name="_Toc419811587"/>
      <w:bookmarkStart w:id="323" w:name="_Toc25651246"/>
      <w:r>
        <w:rPr>
          <w:rFonts w:hint="eastAsia" w:ascii="仿宋" w:hAnsi="仿宋" w:eastAsia="仿宋" w:cs="仿宋"/>
          <w:b/>
          <w:kern w:val="2"/>
          <w:sz w:val="28"/>
          <w:szCs w:val="28"/>
          <w:lang w:val="en-US" w:eastAsia="zh-CN" w:bidi="ar-SA"/>
        </w:rPr>
        <w:t>系统概述</w:t>
      </w:r>
      <w:bookmarkEnd w:id="320"/>
      <w:bookmarkEnd w:id="321"/>
      <w:bookmarkEnd w:id="322"/>
      <w:bookmarkEnd w:id="323"/>
    </w:p>
    <w:p>
      <w:pPr>
        <w:widowControl/>
        <w:numPr>
          <w:ilvl w:val="0"/>
          <w:numId w:val="6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数据中心的ECC监控中心设在三层，承担着运行维护和应急指挥的功能。基于ECC的功能，为ECC配套设计一套运维支持系统，包含大屏幕显示控制系统、中控系统等。</w:t>
      </w:r>
    </w:p>
    <w:p>
      <w:pPr>
        <w:widowControl/>
        <w:numPr>
          <w:ilvl w:val="0"/>
          <w:numId w:val="63"/>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在本机房中，ECC监控中心是其重要的建设内容之一。ECC操控中心主要是对数据中心集成设施管理内的主要设备（主机、服务器、网络设备、存储设备等）运行情况的监视与控制、动力与环境设备、综合安防（门禁、视频、入侵）、消防系统、建筑设备监控系统）等的集中控制、系统分析等统一管理。</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4"/>
          <w:lang w:val="en-US" w:eastAsia="zh-CN" w:bidi="ar-SA"/>
        </w:rPr>
      </w:pPr>
      <w:bookmarkStart w:id="324" w:name="_Toc25651247"/>
      <w:bookmarkStart w:id="325" w:name="_Toc31090"/>
      <w:r>
        <w:rPr>
          <w:rFonts w:hint="eastAsia" w:ascii="仿宋" w:hAnsi="仿宋" w:eastAsia="仿宋" w:cs="仿宋"/>
          <w:b/>
          <w:kern w:val="2"/>
          <w:sz w:val="28"/>
          <w:szCs w:val="28"/>
          <w:lang w:val="en-US" w:eastAsia="zh-CN" w:bidi="ar-SA"/>
        </w:rPr>
        <w:t>功能需求</w:t>
      </w:r>
      <w:bookmarkEnd w:id="324"/>
      <w:bookmarkEnd w:id="325"/>
    </w:p>
    <w:p>
      <w:pPr>
        <w:widowControl/>
        <w:numPr>
          <w:ilvl w:val="0"/>
          <w:numId w:val="6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ECC监控中心设置音视频系统，对音视频信息运行进行集中管理和监控。</w:t>
      </w:r>
    </w:p>
    <w:p>
      <w:pPr>
        <w:widowControl/>
        <w:numPr>
          <w:ilvl w:val="0"/>
          <w:numId w:val="6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ECC监控中心的监控操作区正面设置大屏幕拼接显示墙，满足ECC监控中心生产运行系统的监控显示。</w:t>
      </w:r>
    </w:p>
    <w:p>
      <w:pPr>
        <w:widowControl/>
        <w:numPr>
          <w:ilvl w:val="0"/>
          <w:numId w:val="6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ECC监控中心设置中控系统，统一控制视频、音频、灯光等设备设施。</w:t>
      </w:r>
    </w:p>
    <w:p>
      <w:pPr>
        <w:widowControl/>
        <w:numPr>
          <w:ilvl w:val="0"/>
          <w:numId w:val="64"/>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ECC监控中心大屏采用前维护方式。</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kern w:val="2"/>
          <w:sz w:val="28"/>
          <w:szCs w:val="24"/>
          <w:lang w:val="en-US" w:eastAsia="zh-CN" w:bidi="ar-SA"/>
        </w:rPr>
      </w:pPr>
      <w:bookmarkStart w:id="326" w:name="_Toc11789"/>
      <w:bookmarkStart w:id="327" w:name="_Toc25651248"/>
      <w:r>
        <w:rPr>
          <w:rFonts w:hint="eastAsia" w:ascii="仿宋" w:hAnsi="仿宋" w:eastAsia="仿宋" w:cs="仿宋"/>
          <w:b/>
          <w:kern w:val="2"/>
          <w:sz w:val="28"/>
          <w:szCs w:val="24"/>
          <w:lang w:val="en-US" w:eastAsia="zh-CN" w:bidi="ar-SA"/>
        </w:rPr>
        <w:t>ECC</w:t>
      </w:r>
      <w:r>
        <w:rPr>
          <w:rFonts w:hint="eastAsia" w:ascii="仿宋" w:hAnsi="仿宋" w:eastAsia="仿宋" w:cs="仿宋"/>
          <w:b/>
          <w:kern w:val="2"/>
          <w:sz w:val="28"/>
          <w:szCs w:val="28"/>
          <w:lang w:val="en-US" w:eastAsia="zh-CN" w:bidi="ar-SA"/>
        </w:rPr>
        <w:t>大屏幕显示</w:t>
      </w:r>
      <w:r>
        <w:rPr>
          <w:rFonts w:hint="eastAsia" w:ascii="仿宋" w:hAnsi="仿宋" w:eastAsia="仿宋" w:cs="仿宋"/>
          <w:b/>
          <w:kern w:val="2"/>
          <w:sz w:val="28"/>
          <w:szCs w:val="24"/>
          <w:lang w:val="en-US" w:eastAsia="zh-CN" w:bidi="ar-SA"/>
        </w:rPr>
        <w:t>控制系统</w:t>
      </w:r>
      <w:bookmarkEnd w:id="326"/>
      <w:bookmarkEnd w:id="327"/>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bookmarkStart w:id="328" w:name="_Toc11799"/>
      <w:bookmarkStart w:id="329" w:name="_Toc459393866"/>
      <w:r>
        <w:rPr>
          <w:rFonts w:hint="eastAsia" w:ascii="仿宋" w:hAnsi="仿宋" w:eastAsia="仿宋" w:cs="仿宋"/>
          <w:b w:val="0"/>
          <w:bCs w:val="0"/>
          <w:kern w:val="2"/>
          <w:sz w:val="28"/>
          <w:szCs w:val="24"/>
          <w:lang w:val="en-US" w:eastAsia="zh-CN" w:bidi="ar-SA"/>
        </w:rPr>
        <w:t>系统概述</w:t>
      </w:r>
    </w:p>
    <w:p>
      <w:pPr>
        <w:widowControl/>
        <w:numPr>
          <w:ilvl w:val="0"/>
          <w:numId w:val="6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大屏幕数字显示技术、显示单元无缝拼接技术、多屏图像处理技术、信号切换技术、网络技术等科技手段的应用综合为一体，形成一个拥有高亮度、高清晰度、技术先进、功能强大的大屏幕投影显示系统，从提供一个网络集中监控平台、信息资源共享平台、分析决策平台和指挥调度平台。</w:t>
      </w:r>
    </w:p>
    <w:p>
      <w:pPr>
        <w:widowControl/>
        <w:numPr>
          <w:ilvl w:val="0"/>
          <w:numId w:val="6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rPr>
        <w:t>通过大屏幕显示系统，可以轻松实现直观、实时、全方位地集中显示各个系统的信息，各系统信息在大屏幕上可根据需要以任意大小、任意位置和任意组合进行显示，并且对显示信息进行智能化管理，以便于指挥中枢准确、实时全面的观看和掌握各方面信息并做出正确的决策，提高指挥调度决策（尤其在紧急情况处置时）的效率，增强了各信息显示的直观性和可操作性。</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r>
        <w:rPr>
          <w:rFonts w:hint="eastAsia" w:ascii="仿宋" w:hAnsi="仿宋" w:eastAsia="仿宋" w:cs="仿宋"/>
          <w:b w:val="0"/>
          <w:bCs w:val="0"/>
          <w:kern w:val="2"/>
          <w:sz w:val="28"/>
          <w:szCs w:val="24"/>
          <w:lang w:val="en-US" w:eastAsia="zh-CN" w:bidi="ar-SA"/>
        </w:rPr>
        <w:t>设备配置</w:t>
      </w:r>
      <w:bookmarkEnd w:id="328"/>
      <w:bookmarkEnd w:id="329"/>
      <w:r>
        <w:rPr>
          <w:rFonts w:hint="eastAsia" w:ascii="仿宋" w:hAnsi="仿宋" w:eastAsia="仿宋" w:cs="仿宋"/>
          <w:b w:val="0"/>
          <w:bCs w:val="0"/>
          <w:kern w:val="2"/>
          <w:sz w:val="28"/>
          <w:szCs w:val="24"/>
          <w:lang w:val="en-US" w:eastAsia="zh-CN" w:bidi="ar-SA"/>
        </w:rPr>
        <w:t>要求</w:t>
      </w:r>
    </w:p>
    <w:p>
      <w:pPr>
        <w:widowControl/>
        <w:spacing w:line="560" w:lineRule="exact"/>
        <w:textAlignment w:val="center"/>
        <w:rPr>
          <w:rFonts w:hint="eastAsia" w:ascii="仿宋" w:hAnsi="仿宋" w:eastAsia="仿宋" w:cs="仿宋"/>
          <w:bCs/>
          <w:sz w:val="28"/>
          <w:szCs w:val="28"/>
        </w:rPr>
      </w:pPr>
      <w:r>
        <w:rPr>
          <w:rFonts w:hint="eastAsia" w:ascii="仿宋" w:hAnsi="仿宋" w:eastAsia="仿宋" w:cs="仿宋"/>
          <w:sz w:val="28"/>
          <w:szCs w:val="28"/>
        </w:rPr>
        <w:t xml:space="preserve">    </w:t>
      </w:r>
      <w:r>
        <w:rPr>
          <w:rFonts w:hint="eastAsia" w:ascii="仿宋" w:hAnsi="仿宋" w:eastAsia="仿宋" w:cs="仿宋"/>
          <w:bCs/>
          <w:sz w:val="28"/>
          <w:szCs w:val="28"/>
        </w:rPr>
        <w:t>大屏幕显示系统主要由以下几部分组成：</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显示系统：显示单元拼接墙体，为各种信号源和各专业应用系统提供显示载体。</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多屏处理器系统：多屏处理器系统，提供高分辨率显示平台，并提供各种高清视频信号，计算机信号，网络信号、4K应用等处理和显示。</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控制管理软件：应用管理软件显示墙应用管理系统，实现对大屏幕的整体控制和管理，同时提供多用户分区的控制和管理，以及多用户权限的设置。</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辅助系统：含大屏幕系统安装调试所需的辅助配件，包括底座、交换机、线缆等。</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bookmarkStart w:id="330" w:name="_Toc7451"/>
      <w:r>
        <w:rPr>
          <w:rFonts w:hint="eastAsia" w:ascii="仿宋" w:hAnsi="仿宋" w:eastAsia="仿宋" w:cs="仿宋"/>
          <w:b w:val="0"/>
          <w:bCs w:val="0"/>
          <w:kern w:val="2"/>
          <w:sz w:val="28"/>
          <w:szCs w:val="24"/>
          <w:lang w:val="en-US" w:eastAsia="zh-CN" w:bidi="ar-SA"/>
        </w:rPr>
        <w:t>系统功能要求</w:t>
      </w:r>
      <w:bookmarkEnd w:id="330"/>
    </w:p>
    <w:p>
      <w:pPr>
        <w:keepNext/>
        <w:keepLines/>
        <w:numPr>
          <w:ilvl w:val="5"/>
          <w:numId w:val="2"/>
        </w:numPr>
        <w:spacing w:before="0" w:beforeLines="0" w:beforeAutospacing="0" w:after="0" w:afterLines="0" w:afterAutospacing="0" w:line="560" w:lineRule="exact"/>
        <w:ind w:left="0" w:firstLine="0"/>
        <w:jc w:val="both"/>
        <w:outlineLvl w:val="5"/>
        <w:rPr>
          <w:rFonts w:hint="eastAsia" w:ascii="仿宋" w:hAnsi="仿宋" w:eastAsia="仿宋" w:cs="仿宋"/>
          <w:b/>
          <w:bCs/>
          <w:kern w:val="2"/>
          <w:sz w:val="28"/>
          <w:szCs w:val="28"/>
          <w:lang w:val="en-US" w:eastAsia="zh-CN" w:bidi="ar-SA"/>
        </w:rPr>
      </w:pPr>
      <w:bookmarkStart w:id="331" w:name="_Toc209345156"/>
      <w:r>
        <w:rPr>
          <w:rFonts w:hint="eastAsia" w:ascii="仿宋" w:hAnsi="仿宋" w:eastAsia="仿宋" w:cs="仿宋"/>
          <w:b/>
          <w:bCs/>
          <w:kern w:val="2"/>
          <w:sz w:val="28"/>
          <w:szCs w:val="28"/>
          <w:lang w:val="en-US" w:eastAsia="zh-CN" w:bidi="ar-SA"/>
        </w:rPr>
        <w:t>大屏幕系统功能</w:t>
      </w:r>
      <w:bookmarkEnd w:id="331"/>
    </w:p>
    <w:p>
      <w:pPr>
        <w:widowControl/>
        <w:numPr>
          <w:ilvl w:val="0"/>
          <w:numId w:val="66"/>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lang w:val="zh-CN"/>
        </w:rPr>
        <w:t>应根据现</w:t>
      </w:r>
      <w:r>
        <w:rPr>
          <w:rFonts w:hint="eastAsia" w:ascii="仿宋" w:hAnsi="仿宋" w:eastAsia="仿宋" w:cs="Times New Roman"/>
          <w:sz w:val="28"/>
          <w:szCs w:val="28"/>
        </w:rPr>
        <w:t>场使用环境、显示信号特点和数量，以及对显示管理功能要求等，提供整套安全可靠的大屏幕显示系统。</w:t>
      </w:r>
    </w:p>
    <w:p>
      <w:pPr>
        <w:widowControl/>
        <w:numPr>
          <w:ilvl w:val="0"/>
          <w:numId w:val="6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rPr>
        <w:t>显示单元组成的显示墙体和工业控制结构的处理器均需通过权威部门的安全认证，不会对环境和其他设备造成任何的安全影响。内置信号处理器和外</w:t>
      </w:r>
      <w:r>
        <w:rPr>
          <w:rFonts w:hint="eastAsia" w:ascii="仿宋" w:hAnsi="仿宋" w:eastAsia="仿宋" w:cs="Times New Roman"/>
          <w:sz w:val="28"/>
          <w:szCs w:val="28"/>
          <w:lang w:val="zh-CN"/>
        </w:rPr>
        <w:t>置的多屏处理器相结合的分布式信号处理技术，提升整体大屏幕显示系统的可靠性和安全性，并具备良好的显示信号数量的扩展能力。</w:t>
      </w:r>
    </w:p>
    <w:p>
      <w:pPr>
        <w:keepNext/>
        <w:keepLines/>
        <w:numPr>
          <w:ilvl w:val="5"/>
          <w:numId w:val="2"/>
        </w:numPr>
        <w:spacing w:before="0" w:beforeLines="0" w:beforeAutospacing="0" w:after="0" w:afterLines="0" w:afterAutospacing="0" w:line="560" w:lineRule="exact"/>
        <w:ind w:left="0" w:firstLine="0"/>
        <w:jc w:val="both"/>
        <w:outlineLvl w:val="5"/>
        <w:rPr>
          <w:rFonts w:hint="eastAsia" w:ascii="仿宋" w:hAnsi="仿宋" w:eastAsia="仿宋" w:cs="仿宋"/>
          <w:b/>
          <w:bCs/>
          <w:kern w:val="2"/>
          <w:sz w:val="28"/>
          <w:szCs w:val="28"/>
          <w:lang w:val="en-US" w:eastAsia="zh-CN" w:bidi="ar-SA"/>
        </w:rPr>
      </w:pPr>
      <w:bookmarkStart w:id="332" w:name="_Toc209345158"/>
      <w:r>
        <w:rPr>
          <w:rFonts w:hint="eastAsia" w:ascii="仿宋" w:hAnsi="仿宋" w:eastAsia="仿宋" w:cs="仿宋"/>
          <w:b/>
          <w:bCs/>
          <w:kern w:val="2"/>
          <w:sz w:val="28"/>
          <w:szCs w:val="28"/>
          <w:lang w:val="en-US" w:eastAsia="zh-CN" w:bidi="ar-SA"/>
        </w:rPr>
        <w:t>系统通用显示模式</w:t>
      </w:r>
      <w:bookmarkEnd w:id="332"/>
    </w:p>
    <w:p>
      <w:pPr>
        <w:widowControl/>
        <w:numPr>
          <w:ilvl w:val="0"/>
          <w:numId w:val="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要求大屏幕显示系统可以完成各种显示模式，用以显示各种输入信号。</w:t>
      </w:r>
    </w:p>
    <w:p>
      <w:pPr>
        <w:widowControl/>
        <w:numPr>
          <w:ilvl w:val="0"/>
          <w:numId w:val="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要求集中实时信息收集、传递、处理、显示于一体，满足在同一时间对多个子系统的监控需求，同时监控各方面的信息。</w:t>
      </w:r>
    </w:p>
    <w:p>
      <w:pPr>
        <w:widowControl/>
        <w:numPr>
          <w:ilvl w:val="0"/>
          <w:numId w:val="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要求能够提供高分辨率统一显示平台，从而显示各种高分辨率图形，可方便快捷的实现显示标语、欢迎词或高分辨率的演示图片。</w:t>
      </w:r>
    </w:p>
    <w:p>
      <w:pPr>
        <w:widowControl/>
        <w:numPr>
          <w:ilvl w:val="0"/>
          <w:numId w:val="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具体模式可根据招标人需要进行制定。</w:t>
      </w:r>
    </w:p>
    <w:p>
      <w:pPr>
        <w:keepNext/>
        <w:keepLines/>
        <w:numPr>
          <w:ilvl w:val="5"/>
          <w:numId w:val="2"/>
        </w:numPr>
        <w:spacing w:before="0" w:beforeLines="0" w:beforeAutospacing="0" w:after="0" w:afterLines="0" w:afterAutospacing="0" w:line="560" w:lineRule="exact"/>
        <w:ind w:left="0" w:firstLine="0"/>
        <w:jc w:val="both"/>
        <w:outlineLvl w:val="5"/>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功能分区显示模式</w:t>
      </w:r>
    </w:p>
    <w:p>
      <w:pPr>
        <w:widowControl/>
        <w:spacing w:line="560" w:lineRule="exact"/>
        <w:ind w:firstLine="560" w:firstLineChars="200"/>
        <w:textAlignment w:val="center"/>
        <w:rPr>
          <w:rFonts w:hint="eastAsia" w:ascii="仿宋" w:hAnsi="仿宋" w:eastAsia="仿宋" w:cs="仿宋"/>
          <w:bCs/>
          <w:sz w:val="28"/>
          <w:szCs w:val="28"/>
        </w:rPr>
      </w:pPr>
      <w:r>
        <w:rPr>
          <w:rFonts w:hint="eastAsia" w:ascii="仿宋" w:hAnsi="仿宋" w:eastAsia="仿宋" w:cs="仿宋"/>
          <w:bCs/>
          <w:sz w:val="28"/>
          <w:szCs w:val="28"/>
        </w:rPr>
        <w:t>整个显示系统可以根据系统分工，划分相应的显示区域，各分区独立控制。各系统图像只在本系统的显示分区内进行任意缩放和漫游显示，从而保证各系统之间工作的独立性。系统管理员具有全墙及所有用户的控制权限，需要时系统管理员可进行跨区域显示或全屏显示，所有功能均能够方便快捷的实现。</w:t>
      </w:r>
    </w:p>
    <w:p>
      <w:pPr>
        <w:keepNext/>
        <w:keepLines/>
        <w:numPr>
          <w:ilvl w:val="5"/>
          <w:numId w:val="2"/>
        </w:numPr>
        <w:spacing w:before="0" w:beforeLines="0" w:beforeAutospacing="0" w:after="0" w:afterLines="0" w:afterAutospacing="0" w:line="560" w:lineRule="exact"/>
        <w:ind w:left="0" w:firstLine="0"/>
        <w:jc w:val="both"/>
        <w:outlineLvl w:val="5"/>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视频信号显示</w:t>
      </w:r>
    </w:p>
    <w:p>
      <w:pPr>
        <w:widowControl w:val="0"/>
        <w:snapToGrid w:val="0"/>
        <w:spacing w:after="0" w:line="560" w:lineRule="exact"/>
        <w:ind w:firstLine="473"/>
        <w:jc w:val="both"/>
        <w:textAlignment w:val="center"/>
        <w:rPr>
          <w:rFonts w:hint="eastAsia" w:ascii="仿宋" w:hAnsi="仿宋" w:eastAsia="仿宋" w:cs="仿宋"/>
          <w:kern w:val="0"/>
          <w:sz w:val="28"/>
          <w:szCs w:val="28"/>
          <w:lang w:val="zh-CN" w:eastAsia="zh-CN" w:bidi="ar-SA"/>
        </w:rPr>
      </w:pPr>
      <w:r>
        <w:rPr>
          <w:rFonts w:hint="eastAsia" w:ascii="仿宋" w:hAnsi="仿宋" w:eastAsia="仿宋" w:cs="仿宋"/>
          <w:kern w:val="0"/>
          <w:sz w:val="28"/>
          <w:szCs w:val="28"/>
          <w:lang w:val="zh-CN" w:eastAsia="zh-CN" w:bidi="ar-SA"/>
        </w:rPr>
        <w:t>支持全制式视频输入信号，视频监控信息、摄像机、录像机、多媒体播放器、彩色实物投影仪等各类视频信号源均可接入显示单元或者多屏处理器，信号经处理后以窗口的形式在投影显示墙上任意位置、任意移动、无级缩放、跨屏或者重叠等。其中直通方式可输入复合视频信号或S-Video信号或HDTV</w:t>
      </w:r>
      <w:r>
        <w:rPr>
          <w:rFonts w:hint="eastAsia" w:ascii="仿宋" w:hAnsi="仿宋" w:eastAsia="仿宋" w:cs="仿宋"/>
          <w:kern w:val="0"/>
          <w:sz w:val="28"/>
          <w:szCs w:val="28"/>
          <w:lang w:val="en-US" w:eastAsia="zh-CN" w:bidi="ar-SA"/>
        </w:rPr>
        <w:t>或HDMI</w:t>
      </w:r>
      <w:r>
        <w:rPr>
          <w:rFonts w:hint="eastAsia" w:ascii="仿宋" w:hAnsi="仿宋" w:eastAsia="仿宋" w:cs="仿宋"/>
          <w:kern w:val="0"/>
          <w:sz w:val="28"/>
          <w:szCs w:val="28"/>
          <w:lang w:val="zh-CN" w:eastAsia="zh-CN" w:bidi="ar-SA"/>
        </w:rPr>
        <w:t>等信号进行处理显示。</w:t>
      </w:r>
    </w:p>
    <w:p>
      <w:pPr>
        <w:keepNext/>
        <w:keepLines/>
        <w:numPr>
          <w:ilvl w:val="5"/>
          <w:numId w:val="2"/>
        </w:numPr>
        <w:spacing w:before="0" w:beforeLines="0" w:beforeAutospacing="0" w:after="0" w:afterLines="0" w:afterAutospacing="0" w:line="560" w:lineRule="exact"/>
        <w:ind w:left="0" w:firstLine="0"/>
        <w:jc w:val="both"/>
        <w:outlineLvl w:val="5"/>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远程视频信号显示</w:t>
      </w:r>
    </w:p>
    <w:p>
      <w:pPr>
        <w:widowControl/>
        <w:spacing w:line="560" w:lineRule="exact"/>
        <w:ind w:firstLine="560" w:firstLineChars="200"/>
        <w:textAlignment w:val="center"/>
        <w:rPr>
          <w:rFonts w:hint="eastAsia" w:ascii="仿宋" w:hAnsi="仿宋" w:eastAsia="仿宋" w:cs="仿宋"/>
          <w:bCs/>
          <w:sz w:val="28"/>
          <w:szCs w:val="28"/>
        </w:rPr>
      </w:pPr>
      <w:r>
        <w:rPr>
          <w:rFonts w:hint="eastAsia" w:ascii="仿宋" w:hAnsi="仿宋" w:eastAsia="仿宋" w:cs="仿宋"/>
          <w:bCs/>
          <w:sz w:val="28"/>
          <w:szCs w:val="28"/>
        </w:rPr>
        <w:t>远程IP摄像头通过IP网络传输到监控中心后，通过专用的IP流媒体解码服务器解码转换成视频信号。整个系统可实现多路1080P分辨率IP流媒体信号的同时显示，可实现单屏内多路画面的同时显示，所有画面均可实现招标人意愿的任意排布。</w:t>
      </w:r>
    </w:p>
    <w:p>
      <w:pPr>
        <w:keepNext/>
        <w:keepLines/>
        <w:numPr>
          <w:ilvl w:val="5"/>
          <w:numId w:val="2"/>
        </w:numPr>
        <w:spacing w:before="0" w:beforeLines="0" w:beforeAutospacing="0" w:after="0" w:afterLines="0" w:afterAutospacing="0" w:line="560" w:lineRule="exact"/>
        <w:ind w:left="0" w:firstLine="0"/>
        <w:jc w:val="both"/>
        <w:outlineLvl w:val="5"/>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计算机信号显示</w:t>
      </w:r>
    </w:p>
    <w:p>
      <w:pPr>
        <w:widowControl w:val="0"/>
        <w:snapToGrid w:val="0"/>
        <w:spacing w:after="0" w:line="560" w:lineRule="exact"/>
        <w:ind w:firstLine="473"/>
        <w:jc w:val="both"/>
        <w:textAlignment w:val="center"/>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独立的计算机信号可以通过显示单元内置的图像处理器或者多屏处理器采集处理后以窗口的形式在拼接墙上快速显示；并且显示窗口可以任意缩放、跨屏移动、叠加或全屏显示等。</w:t>
      </w:r>
    </w:p>
    <w:p>
      <w:pPr>
        <w:keepNext/>
        <w:keepLines/>
        <w:numPr>
          <w:ilvl w:val="5"/>
          <w:numId w:val="2"/>
        </w:numPr>
        <w:spacing w:before="0" w:beforeLines="0" w:beforeAutospacing="0" w:after="0" w:afterLines="0" w:afterAutospacing="0" w:line="560" w:lineRule="exact"/>
        <w:ind w:left="0" w:firstLine="0"/>
        <w:jc w:val="both"/>
        <w:outlineLvl w:val="5"/>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各类信号混合显示</w:t>
      </w:r>
    </w:p>
    <w:p>
      <w:pPr>
        <w:widowControl/>
        <w:numPr>
          <w:ilvl w:val="0"/>
          <w:numId w:val="6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视频信号、计算机信号均可同时在拼接墙上以各自方式显示，互不干扰。或者把拼接墙根据应用系统的需要，进行分区域显示，并分区域控制。</w:t>
      </w:r>
    </w:p>
    <w:p>
      <w:pPr>
        <w:widowControl/>
        <w:numPr>
          <w:ilvl w:val="0"/>
          <w:numId w:val="6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可以根据需要，把各种信号的显示和位置存储为模式，在用户需要的时候直接切换，即可即时按照模式定义显示窗口，或者进而定义预案，按照需要自动调用或者切换各种显示模式，实现对拼接墙系统的自动化管理。</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bookmarkStart w:id="333" w:name="_Toc5613559"/>
      <w:bookmarkStart w:id="334" w:name="_Toc5132089"/>
      <w:r>
        <w:rPr>
          <w:rFonts w:hint="eastAsia" w:ascii="仿宋" w:hAnsi="仿宋" w:eastAsia="仿宋" w:cs="仿宋"/>
          <w:b w:val="0"/>
          <w:bCs w:val="0"/>
          <w:kern w:val="2"/>
          <w:sz w:val="28"/>
          <w:szCs w:val="24"/>
          <w:lang w:val="en-US" w:eastAsia="zh-CN" w:bidi="ar-SA"/>
        </w:rPr>
        <w:t>大屏幕应用管理软件</w:t>
      </w:r>
      <w:bookmarkEnd w:id="333"/>
      <w:bookmarkEnd w:id="334"/>
    </w:p>
    <w:p>
      <w:pPr>
        <w:widowControl/>
        <w:numPr>
          <w:ilvl w:val="0"/>
          <w:numId w:val="6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可以实现对大屏幕显示系统的硬件、信号、显示等进行方便、多点的管理和控制。</w:t>
      </w:r>
    </w:p>
    <w:p>
      <w:pPr>
        <w:widowControl/>
        <w:numPr>
          <w:ilvl w:val="0"/>
          <w:numId w:val="6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要求至少可支持Microsoft windows、Linux系列最新操作系统。具备网络C/S架构和B/S架构，支持TCP/IP网络协议、串口控制协议。完全以大屏幕显示系统的系统结构为基础进行开发，对大屏幕各组件如显示单元、多屏处理器系统等设备进行最方便、实时的控制。</w:t>
      </w:r>
    </w:p>
    <w:p>
      <w:pPr>
        <w:widowControl/>
        <w:numPr>
          <w:ilvl w:val="0"/>
          <w:numId w:val="6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完全采用中文控制界面，支持菜单管理，优化操作过程，通过单一界面即可实现所有的管理控制功能。</w:t>
      </w:r>
    </w:p>
    <w:p>
      <w:pPr>
        <w:widowControl/>
        <w:numPr>
          <w:ilvl w:val="0"/>
          <w:numId w:val="6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提供完善的多用户管理，配合多点控制功能，用户可以在局域网内任意控制电脑上实现分区域、多级别的管理。</w:t>
      </w:r>
    </w:p>
    <w:p>
      <w:pPr>
        <w:widowControl/>
        <w:numPr>
          <w:ilvl w:val="0"/>
          <w:numId w:val="6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采用模块化的系统架构，分为服务器端和客户端部分：基于招标人的使用需求将管理软件安装在相应的客户端及服务器设备（如安防集成平台或招标人指定的专用电脑/服务器）。</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服务器：包括服务程序、多串口并发访问程序、中控设备代理程序等，主要负责各种资源的管理、用户认证和客户端管理，同时接受管理控制信息，并按照系统设置，向各设备发送可识别的控制代码，协调各设备共同工作。服务器端安装在专用的控制电脑上，控制电脑通过以太网络及串行通讯网络和客户端、多屏处理器系统、显示单元、矩阵系统、中控系统等进行通讯。</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客户端：提供认证客户端，以及控制界面并接受控制操作。客户端可以安装在和服务器端同一台控制计算机上，也可以安装在和服务器端同一局域网内的安全操作系统计算机上，可作为各功能分区独立的控制平台。</w:t>
      </w:r>
    </w:p>
    <w:p>
      <w:pPr>
        <w:widowControl/>
        <w:numPr>
          <w:ilvl w:val="0"/>
          <w:numId w:val="6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可以实现大屏幕管理控制的各种功能：</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用户管理：包括用户资料数据库的管理，提供各客户端的用户认证过程、授权控制等。</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设备管理：显示系统内如显示器、矩阵等，对其进行各种设置，从而控制这些设备。</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信号源管理：用于管理在大屏幕上显示的各种视频信号、计算机信号、网络显示信号的相关信息，包括来源、信号特点、信号路由等。</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信号源预览和本地回显：用户可在调用信号源开窗之前先对其进行预览，确认该信号源，将信号源在拼墙上显示的同时，在控制软件的虚拟窗口中同时显示该信号源内容（可选）。</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窗口管理：通过拖放等方式，将信号源在大屏幕上以窗口的方式显示出来，每个窗口在界面的虚拟屏上以方框表示，操作员可以通过操作方框的方式来管理正在显示的窗口，如拖放、放大缩小、关闭等操作。</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投影机管理：在的虚拟屏上实现对大屏幕各个单元或者全部单元的投影机进行开/关机操作，或者管理投影机的显示模式等。</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模式和预案管理：可以把各种显示信号的组合定义成模式，操作员可以按照需要，随时调用模式，可以快速实现各种显示组合之间的切换；操作员还可以把各种显示窗口或者显示模式定义成预案，可以让定时自动地调用各种模式或者信号源显示，不需要人工干预（例如设定系统自动开机、自动进入待机状态等）。</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快捷键调用功能：可通过快捷键调用模式和预案。</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网络信号源在线状态检测：可实时检测信号源的在线状态，方便识别。</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中控设备连接：系统可与中控设备无缝连接，无需进行开发，即联即用。</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外围显示设备（PDP、CRT等）统一控制界面定制，方便外围显示设备的信号调用。</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bookmarkStart w:id="335" w:name="_Toc19104"/>
      <w:bookmarkStart w:id="336" w:name="_Toc459393869"/>
      <w:r>
        <w:rPr>
          <w:rFonts w:hint="eastAsia" w:ascii="仿宋" w:hAnsi="仿宋" w:eastAsia="仿宋" w:cs="仿宋"/>
          <w:b w:val="0"/>
          <w:bCs w:val="0"/>
          <w:kern w:val="2"/>
          <w:sz w:val="28"/>
          <w:szCs w:val="24"/>
          <w:lang w:val="en-US" w:eastAsia="zh-CN" w:bidi="ar-SA"/>
        </w:rPr>
        <w:t>安装要求</w:t>
      </w:r>
      <w:bookmarkEnd w:id="335"/>
      <w:bookmarkEnd w:id="336"/>
    </w:p>
    <w:p>
      <w:pPr>
        <w:widowControl/>
        <w:numPr>
          <w:ilvl w:val="0"/>
          <w:numId w:val="7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大屏幕采用前维护方式，相关固定支架和配件由投标方根据实际选型设备进行设计、安装。</w:t>
      </w:r>
    </w:p>
    <w:p>
      <w:pPr>
        <w:widowControl/>
        <w:numPr>
          <w:ilvl w:val="0"/>
          <w:numId w:val="7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大屏幕安装到位后，对预留尺寸进行收口，并作必要的修饰。</w:t>
      </w:r>
    </w:p>
    <w:p>
      <w:pPr>
        <w:widowControl/>
        <w:numPr>
          <w:ilvl w:val="0"/>
          <w:numId w:val="7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大屏幕底座不能铺设管道，电缆等。</w:t>
      </w:r>
    </w:p>
    <w:p>
      <w:pPr>
        <w:widowControl/>
        <w:numPr>
          <w:ilvl w:val="0"/>
          <w:numId w:val="7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其他未说明以产品为准。</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337" w:name="_Toc40262193"/>
      <w:bookmarkEnd w:id="337"/>
      <w:bookmarkStart w:id="338" w:name="_Toc40262195"/>
      <w:bookmarkEnd w:id="338"/>
      <w:bookmarkStart w:id="339" w:name="_Toc470691714"/>
      <w:bookmarkEnd w:id="339"/>
      <w:bookmarkStart w:id="340" w:name="_Toc40262189"/>
      <w:bookmarkEnd w:id="340"/>
      <w:bookmarkStart w:id="341" w:name="_Toc40262218"/>
      <w:bookmarkEnd w:id="341"/>
      <w:bookmarkStart w:id="342" w:name="_Toc40262194"/>
      <w:bookmarkEnd w:id="342"/>
      <w:bookmarkStart w:id="343" w:name="_Toc470692837"/>
      <w:bookmarkEnd w:id="343"/>
      <w:bookmarkStart w:id="344" w:name="_Toc470691727"/>
      <w:bookmarkEnd w:id="344"/>
      <w:bookmarkStart w:id="345" w:name="_Toc40262200"/>
      <w:bookmarkEnd w:id="345"/>
      <w:bookmarkStart w:id="346" w:name="_Toc40262190"/>
      <w:bookmarkEnd w:id="346"/>
      <w:bookmarkStart w:id="347" w:name="_Toc470692822"/>
      <w:bookmarkEnd w:id="347"/>
      <w:bookmarkStart w:id="348" w:name="_Toc40262203"/>
      <w:bookmarkEnd w:id="348"/>
      <w:bookmarkStart w:id="349" w:name="_Toc470691717"/>
      <w:bookmarkEnd w:id="349"/>
      <w:bookmarkStart w:id="350" w:name="_Toc40262202"/>
      <w:bookmarkEnd w:id="350"/>
      <w:bookmarkStart w:id="351" w:name="_Toc40262196"/>
      <w:bookmarkEnd w:id="351"/>
      <w:bookmarkStart w:id="352" w:name="_Toc470691726"/>
      <w:bookmarkEnd w:id="352"/>
      <w:bookmarkStart w:id="353" w:name="_Toc40262201"/>
      <w:bookmarkEnd w:id="353"/>
      <w:bookmarkStart w:id="354" w:name="_Toc40262199"/>
      <w:bookmarkEnd w:id="354"/>
      <w:bookmarkStart w:id="355" w:name="_Toc40262192"/>
      <w:bookmarkEnd w:id="355"/>
      <w:bookmarkStart w:id="356" w:name="_Toc40262198"/>
      <w:bookmarkEnd w:id="356"/>
      <w:bookmarkStart w:id="357" w:name="_Toc40262191"/>
      <w:bookmarkEnd w:id="357"/>
      <w:bookmarkStart w:id="358" w:name="_Toc470691728"/>
      <w:bookmarkEnd w:id="358"/>
      <w:bookmarkStart w:id="359" w:name="_Toc470692830"/>
      <w:bookmarkEnd w:id="359"/>
      <w:bookmarkStart w:id="360" w:name="_Toc470691729"/>
      <w:bookmarkEnd w:id="360"/>
      <w:bookmarkStart w:id="361" w:name="_Toc470692832"/>
      <w:bookmarkEnd w:id="361"/>
      <w:bookmarkStart w:id="362" w:name="_Toc40262197"/>
      <w:bookmarkEnd w:id="362"/>
      <w:bookmarkStart w:id="363" w:name="_Toc470691724"/>
      <w:bookmarkEnd w:id="363"/>
      <w:bookmarkStart w:id="364" w:name="_Toc470692827"/>
      <w:bookmarkEnd w:id="364"/>
      <w:bookmarkStart w:id="365" w:name="_Toc470692835"/>
      <w:bookmarkEnd w:id="365"/>
      <w:bookmarkStart w:id="366" w:name="_Toc470692821"/>
      <w:bookmarkEnd w:id="366"/>
      <w:bookmarkStart w:id="367" w:name="_Toc470692831"/>
      <w:bookmarkEnd w:id="367"/>
      <w:bookmarkStart w:id="368" w:name="_Toc470691715"/>
      <w:bookmarkEnd w:id="368"/>
      <w:bookmarkStart w:id="369" w:name="_Toc470692838"/>
      <w:bookmarkEnd w:id="369"/>
      <w:bookmarkStart w:id="370" w:name="_Toc470691722"/>
      <w:bookmarkEnd w:id="370"/>
      <w:bookmarkStart w:id="371" w:name="_Toc470691720"/>
      <w:bookmarkEnd w:id="371"/>
      <w:bookmarkStart w:id="372" w:name="_Toc470692825"/>
      <w:bookmarkEnd w:id="372"/>
      <w:bookmarkStart w:id="373" w:name="_Toc470692834"/>
      <w:bookmarkEnd w:id="373"/>
      <w:bookmarkStart w:id="374" w:name="_Toc470692836"/>
      <w:bookmarkEnd w:id="374"/>
      <w:bookmarkStart w:id="375" w:name="_Toc470692824"/>
      <w:bookmarkEnd w:id="375"/>
      <w:bookmarkStart w:id="376" w:name="_Toc470691725"/>
      <w:bookmarkEnd w:id="376"/>
      <w:bookmarkStart w:id="377" w:name="_Toc470692828"/>
      <w:bookmarkEnd w:id="377"/>
      <w:bookmarkStart w:id="378" w:name="_Toc470691716"/>
      <w:bookmarkEnd w:id="378"/>
      <w:bookmarkStart w:id="379" w:name="_Toc470691721"/>
      <w:bookmarkEnd w:id="379"/>
      <w:bookmarkStart w:id="380" w:name="_Toc470692833"/>
      <w:bookmarkEnd w:id="380"/>
      <w:bookmarkStart w:id="381" w:name="_Toc470691718"/>
      <w:bookmarkEnd w:id="381"/>
      <w:bookmarkStart w:id="382" w:name="_Toc470691719"/>
      <w:bookmarkEnd w:id="382"/>
      <w:bookmarkStart w:id="383" w:name="_Toc470692829"/>
      <w:bookmarkEnd w:id="383"/>
      <w:bookmarkStart w:id="384" w:name="_Toc470691723"/>
      <w:bookmarkEnd w:id="384"/>
      <w:bookmarkStart w:id="385" w:name="_Toc470691712"/>
      <w:bookmarkEnd w:id="385"/>
      <w:bookmarkStart w:id="386" w:name="_Toc470691713"/>
      <w:bookmarkEnd w:id="386"/>
      <w:bookmarkStart w:id="387" w:name="_Toc470692826"/>
      <w:bookmarkEnd w:id="387"/>
      <w:bookmarkStart w:id="388" w:name="_Toc40262205"/>
      <w:bookmarkEnd w:id="388"/>
      <w:bookmarkStart w:id="389" w:name="_Toc40262204"/>
      <w:bookmarkEnd w:id="389"/>
      <w:bookmarkStart w:id="390" w:name="_Toc470692823"/>
      <w:bookmarkEnd w:id="390"/>
      <w:bookmarkStart w:id="391" w:name="_Toc40262207"/>
      <w:bookmarkEnd w:id="391"/>
      <w:bookmarkStart w:id="392" w:name="_Toc40262206"/>
      <w:bookmarkEnd w:id="392"/>
      <w:bookmarkStart w:id="393" w:name="_Toc40262211"/>
      <w:bookmarkEnd w:id="393"/>
      <w:bookmarkStart w:id="394" w:name="_Toc40262212"/>
      <w:bookmarkEnd w:id="394"/>
      <w:bookmarkStart w:id="395" w:name="_Toc40262209"/>
      <w:bookmarkEnd w:id="395"/>
      <w:bookmarkStart w:id="396" w:name="_Toc40262208"/>
      <w:bookmarkEnd w:id="396"/>
      <w:bookmarkStart w:id="397" w:name="_Toc40262210"/>
      <w:bookmarkEnd w:id="397"/>
      <w:bookmarkStart w:id="398" w:name="_Toc40262216"/>
      <w:bookmarkEnd w:id="398"/>
      <w:bookmarkStart w:id="399" w:name="_Toc40262217"/>
      <w:bookmarkEnd w:id="399"/>
      <w:bookmarkStart w:id="400" w:name="_Toc40262214"/>
      <w:bookmarkEnd w:id="400"/>
      <w:bookmarkStart w:id="401" w:name="_Toc40262213"/>
      <w:bookmarkEnd w:id="401"/>
      <w:bookmarkStart w:id="402" w:name="_Toc40262188"/>
      <w:bookmarkEnd w:id="402"/>
      <w:bookmarkStart w:id="403" w:name="_Toc40262215"/>
      <w:bookmarkEnd w:id="403"/>
      <w:bookmarkStart w:id="404" w:name="_Toc40262186"/>
      <w:bookmarkEnd w:id="404"/>
      <w:bookmarkStart w:id="405" w:name="_Toc40262185"/>
      <w:bookmarkEnd w:id="405"/>
      <w:bookmarkStart w:id="406" w:name="_Toc40262187"/>
      <w:bookmarkEnd w:id="406"/>
      <w:bookmarkStart w:id="407" w:name="_Toc25651270"/>
      <w:bookmarkStart w:id="408" w:name="_Toc628"/>
      <w:r>
        <w:rPr>
          <w:rFonts w:hint="eastAsia" w:ascii="楷体" w:hAnsi="楷体" w:eastAsia="仿宋" w:cs="Times New Roman"/>
          <w:b/>
          <w:kern w:val="2"/>
          <w:sz w:val="28"/>
          <w:lang w:val="en-US" w:eastAsia="zh-CN" w:bidi="ar-SA"/>
        </w:rPr>
        <w:t>其它要求</w:t>
      </w:r>
      <w:bookmarkEnd w:id="407"/>
      <w:bookmarkEnd w:id="408"/>
    </w:p>
    <w:p>
      <w:pPr>
        <w:widowControl/>
        <w:numPr>
          <w:ilvl w:val="0"/>
          <w:numId w:val="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本工程所选设备、材料，必须具有国家级检测中心的检测合格证书（3C认证，</w:t>
      </w:r>
      <w:r>
        <w:rPr>
          <w:rFonts w:hint="eastAsia" w:ascii="仿宋" w:hAnsi="仿宋" w:eastAsia="仿宋" w:cs="Times New Roman"/>
          <w:sz w:val="28"/>
          <w:szCs w:val="28"/>
        </w:rPr>
        <w:t>或提供《免办强制性产品认证证明》</w:t>
      </w:r>
      <w:r>
        <w:rPr>
          <w:rFonts w:hint="eastAsia" w:ascii="仿宋" w:hAnsi="仿宋" w:eastAsia="仿宋" w:cs="Times New Roman"/>
          <w:sz w:val="28"/>
          <w:szCs w:val="28"/>
          <w:lang w:val="zh-CN"/>
        </w:rPr>
        <w:t>）。必须满足与产品相关的国家标准。供电产品、消防产品应具有入网许可证。</w:t>
      </w:r>
    </w:p>
    <w:p>
      <w:pPr>
        <w:widowControl/>
        <w:numPr>
          <w:ilvl w:val="0"/>
          <w:numId w:val="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监控设备、门禁设备、环控的网线在运维网机柜内需端接在铜缆配线架端接，后通过跳线与交换机联网，不允许手工压接水晶头后直接插在交换机。</w:t>
      </w:r>
    </w:p>
    <w:p>
      <w:pPr>
        <w:widowControl/>
        <w:numPr>
          <w:ilvl w:val="0"/>
          <w:numId w:val="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弱电各系统需由中标方根据招标人要求及最终确定产品深化设计。</w:t>
      </w:r>
    </w:p>
    <w:p>
      <w:pPr>
        <w:widowControl/>
        <w:numPr>
          <w:ilvl w:val="0"/>
          <w:numId w:val="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未说明的系统需求后续根据招标人需求确定。</w:t>
      </w:r>
    </w:p>
    <w:p>
      <w:pPr>
        <w:widowControl/>
        <w:spacing w:after="120" w:afterLines="0" w:line="560" w:lineRule="exact"/>
        <w:ind w:left="0"/>
        <w:jc w:val="left"/>
        <w:rPr>
          <w:rFonts w:hint="eastAsia" w:ascii="仿宋" w:hAnsi="仿宋" w:eastAsia="仿宋" w:cs="Times New Roman"/>
          <w:b/>
          <w:bCs/>
          <w:kern w:val="0"/>
          <w:sz w:val="28"/>
          <w:szCs w:val="28"/>
          <w:lang w:val="en-US" w:eastAsia="zh-CN" w:bidi="ar-SA"/>
        </w:rPr>
      </w:pPr>
    </w:p>
    <w:p>
      <w:pPr>
        <w:widowControl/>
        <w:spacing w:after="120" w:afterLines="0" w:line="560" w:lineRule="exact"/>
        <w:ind w:left="0"/>
        <w:jc w:val="left"/>
        <w:rPr>
          <w:rFonts w:hint="eastAsia" w:ascii="仿宋" w:hAnsi="仿宋" w:eastAsia="仿宋" w:cs="Arial"/>
          <w:bCs/>
          <w:kern w:val="0"/>
          <w:sz w:val="28"/>
          <w:szCs w:val="28"/>
          <w:lang w:val="en-US" w:eastAsia="zh-CN" w:bidi="ar-SA"/>
        </w:rPr>
      </w:pPr>
      <w:r>
        <w:rPr>
          <w:rFonts w:hint="eastAsia" w:ascii="仿宋" w:hAnsi="仿宋" w:eastAsia="仿宋" w:cs="Times New Roman"/>
          <w:b/>
          <w:bCs/>
          <w:kern w:val="0"/>
          <w:sz w:val="28"/>
          <w:szCs w:val="28"/>
          <w:lang w:val="en-US" w:eastAsia="zh-CN" w:bidi="ar-SA"/>
        </w:rPr>
        <w:t>注：</w:t>
      </w:r>
      <w:r>
        <w:rPr>
          <w:rFonts w:hint="eastAsia" w:ascii="仿宋" w:hAnsi="仿宋" w:eastAsia="仿宋" w:cs="Times New Roman"/>
          <w:kern w:val="0"/>
          <w:sz w:val="28"/>
          <w:szCs w:val="28"/>
          <w:lang w:val="en-US" w:eastAsia="zh-CN" w:bidi="ar-SA"/>
        </w:rPr>
        <w:t>上述</w:t>
      </w:r>
      <w:r>
        <w:rPr>
          <w:rFonts w:hint="eastAsia" w:ascii="仿宋" w:hAnsi="仿宋" w:eastAsia="仿宋" w:cs="仿宋"/>
          <w:kern w:val="0"/>
          <w:sz w:val="28"/>
          <w:szCs w:val="28"/>
          <w:lang w:val="en-US" w:eastAsia="zh-CN" w:bidi="ar-SA"/>
        </w:rPr>
        <w:t>如存在未提及的内容，但结合本项目是实际需要的，均应包含在本次设计和施工一体化的范围内。</w:t>
      </w: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409" w:name="_Toc25651284"/>
      <w:bookmarkStart w:id="410" w:name="_Toc30676"/>
      <w:r>
        <w:rPr>
          <w:rFonts w:hint="eastAsia" w:ascii="仿宋" w:hAnsi="仿宋" w:eastAsia="仿宋" w:cs="仿宋"/>
          <w:b/>
          <w:bCs/>
          <w:kern w:val="2"/>
          <w:sz w:val="28"/>
          <w:szCs w:val="28"/>
          <w:lang w:val="en-US" w:eastAsia="zh-CN" w:bidi="ar-SA"/>
        </w:rPr>
        <w:t>网络与布线系统工程</w:t>
      </w:r>
      <w:bookmarkEnd w:id="409"/>
      <w:bookmarkEnd w:id="410"/>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411" w:name="_Toc25651285"/>
      <w:bookmarkStart w:id="412" w:name="_Toc30473"/>
      <w:r>
        <w:rPr>
          <w:rFonts w:hint="eastAsia" w:ascii="楷体" w:hAnsi="楷体" w:eastAsia="仿宋" w:cs="Times New Roman"/>
          <w:b/>
          <w:kern w:val="2"/>
          <w:sz w:val="28"/>
          <w:lang w:val="en-US" w:eastAsia="zh-CN" w:bidi="ar-SA"/>
        </w:rPr>
        <w:t>专业工程概述</w:t>
      </w:r>
      <w:bookmarkEnd w:id="411"/>
      <w:bookmarkEnd w:id="412"/>
    </w:p>
    <w:p>
      <w:pPr>
        <w:widowControl/>
        <w:numPr>
          <w:ilvl w:val="0"/>
          <w:numId w:val="7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网络与布线为机房工程中重要组成部分，满足计算机房的场地建设的技术规范和有关国际标准，在高可用性、可靠性和冗余度上进行全面的设计，应该按照图纸和有关规范精心组织施工，高质量地完成本系统的施工和调试。</w:t>
      </w:r>
    </w:p>
    <w:p>
      <w:pPr>
        <w:widowControl/>
        <w:numPr>
          <w:ilvl w:val="0"/>
          <w:numId w:val="7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本章界定网络与布线的设计及技术要求，包括机房生产网、办公网、视频网、门禁网、环境及设备监控系统综合布线，并给出其他与工程相关的技术需求。</w:t>
      </w:r>
    </w:p>
    <w:p>
      <w:pPr>
        <w:widowControl/>
        <w:numPr>
          <w:ilvl w:val="0"/>
          <w:numId w:val="7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b/>
          <w:bCs/>
          <w:sz w:val="28"/>
          <w:szCs w:val="28"/>
          <w:lang w:val="zh-CN"/>
        </w:rPr>
        <w:t>★重点提示：</w:t>
      </w:r>
      <w:r>
        <w:rPr>
          <w:rFonts w:hint="eastAsia" w:ascii="仿宋" w:hAnsi="仿宋" w:eastAsia="仿宋" w:cs="Times New Roman"/>
          <w:sz w:val="28"/>
          <w:szCs w:val="28"/>
          <w:lang w:val="zh-CN"/>
        </w:rPr>
        <w:t>办公网综合布线、监控运维网综合布线相关技术要求参见“办公运维网综合布线”章节，本章节主要针对主机房综合布线系统（业务生产网）并给出其他与工程相关的技术需求。</w:t>
      </w:r>
    </w:p>
    <w:p>
      <w:pPr>
        <w:widowControl/>
        <w:numPr>
          <w:ilvl w:val="0"/>
          <w:numId w:val="72"/>
        </w:numPr>
        <w:spacing w:line="560" w:lineRule="exact"/>
        <w:ind w:left="0" w:firstLine="0"/>
        <w:rPr>
          <w:rFonts w:hint="eastAsia" w:ascii="仿宋" w:hAnsi="仿宋" w:eastAsia="仿宋" w:cs="Times New Roman"/>
          <w:sz w:val="28"/>
          <w:szCs w:val="28"/>
          <w:lang w:val="zh-CN"/>
        </w:rPr>
      </w:pPr>
      <w:bookmarkStart w:id="413" w:name="_Toc408935503"/>
      <w:bookmarkStart w:id="414" w:name="_Toc408934636"/>
      <w:bookmarkStart w:id="415" w:name="_Toc409103562"/>
      <w:bookmarkStart w:id="416" w:name="_Toc408934747"/>
      <w:bookmarkStart w:id="417" w:name="_Toc408935375"/>
      <w:r>
        <w:rPr>
          <w:rFonts w:hint="eastAsia" w:ascii="仿宋" w:hAnsi="仿宋" w:eastAsia="仿宋" w:cs="Times New Roman"/>
          <w:sz w:val="28"/>
          <w:szCs w:val="28"/>
          <w:lang w:val="zh-CN"/>
        </w:rPr>
        <w:t>有关网络与布线系统工程及材料设备的供应、安装、调试、操作及维修等技术要求，均于招标文件内详细说明，为能妥善完成本文件内各项工程事项，中标方须按要求提供一切所需的施工及监督人员、材料、工具、物料、设备、储存、各有效的证件、设计图纸、临时施工措施、工地安全、监察、调试等事项。</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418" w:name="_Toc25651286"/>
      <w:bookmarkStart w:id="419" w:name="_Toc4444"/>
      <w:r>
        <w:rPr>
          <w:rFonts w:hint="eastAsia" w:ascii="楷体" w:hAnsi="楷体" w:eastAsia="仿宋" w:cs="Times New Roman"/>
          <w:b/>
          <w:kern w:val="2"/>
          <w:sz w:val="28"/>
          <w:lang w:val="en-US" w:eastAsia="zh-CN" w:bidi="ar-SA"/>
        </w:rPr>
        <w:t>系统总体</w:t>
      </w:r>
      <w:bookmarkEnd w:id="413"/>
      <w:bookmarkEnd w:id="414"/>
      <w:bookmarkEnd w:id="415"/>
      <w:bookmarkEnd w:id="416"/>
      <w:bookmarkEnd w:id="417"/>
      <w:r>
        <w:rPr>
          <w:rFonts w:hint="eastAsia" w:ascii="楷体" w:hAnsi="楷体" w:eastAsia="仿宋" w:cs="Times New Roman"/>
          <w:b/>
          <w:kern w:val="2"/>
          <w:sz w:val="28"/>
          <w:lang w:val="en-US" w:eastAsia="zh-CN" w:bidi="ar-SA"/>
        </w:rPr>
        <w:t>要求</w:t>
      </w:r>
      <w:bookmarkEnd w:id="418"/>
      <w:bookmarkEnd w:id="419"/>
    </w:p>
    <w:p>
      <w:pPr>
        <w:widowControl/>
        <w:numPr>
          <w:ilvl w:val="0"/>
          <w:numId w:val="7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综合布线系统是信息系统机房建设和信息系统应用的重要部分，是弱电系统数据和语音传递的基本通道，系统作为机房建设的基础，将为整个通信网络系统提供高速、安全、快捷的传输通道，保证计算机、存储设备和通信网络设备等的可靠运行，综合布线系统要充分满足招标人发展基本需求。</w:t>
      </w:r>
    </w:p>
    <w:p>
      <w:pPr>
        <w:widowControl/>
        <w:numPr>
          <w:ilvl w:val="0"/>
          <w:numId w:val="7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综合布线系统还应根据机房各功能区的设备布局、网络架构，构建易管理、易扩展的机房内部信息系统设备之间、以及机房内部信息系统设备与外部网络互联的信息传输通道。</w:t>
      </w:r>
    </w:p>
    <w:p>
      <w:pPr>
        <w:widowControl/>
        <w:numPr>
          <w:ilvl w:val="0"/>
          <w:numId w:val="7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综合布线系统应选用兼容性好、灵活性高、可靠性高、先进的、模块化的、具有端口保护装置、具备全程良好的电气特性、光通特性等的解决方案。同时综合布线系统还应满足。</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符合各种国际、国内及行业布线标准。</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符合任何一种计算机系统的应用，配线不必重复投资，符合投资效益。</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基于标准的开放系统，并综合考虑扩容需求的高性能和高带宽，预留充分的扩展备用空间。</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高质量、可用性和可量测性的产品支持；并支持新型存储设备的应用。</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系统应具有高容量和高密度；并易于移动增加和改动的灵活性和可扩展性。</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系统应支持交叉连接的管理模式只需通过跳线完成移动、增加和变更，降低管理维护时间。</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只需占用较小的管道积，符合经济效益。</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完全符合日后全面数字化的发展要求。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产品技术先进，运行稳定安全可靠。</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产品要求：综合铜缆系统布线产品或光缆系统布线产品须为同一生产商的产品。需通过工信部等实验室或机构的测试和认证。</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420" w:name="_Toc25651287"/>
      <w:r>
        <w:rPr>
          <w:rFonts w:hint="eastAsia" w:ascii="仿宋" w:hAnsi="仿宋" w:eastAsia="仿宋" w:cs="Times New Roman"/>
          <w:b/>
          <w:bCs/>
          <w:kern w:val="2"/>
          <w:sz w:val="28"/>
          <w:szCs w:val="28"/>
          <w:lang w:val="en-US" w:eastAsia="zh-CN" w:bidi="ar-SA"/>
        </w:rPr>
        <w:t>施工</w:t>
      </w:r>
      <w:r>
        <w:rPr>
          <w:rFonts w:hint="eastAsia" w:ascii="仿宋" w:hAnsi="仿宋" w:eastAsia="仿宋" w:cs="仿宋"/>
          <w:b/>
          <w:bCs/>
          <w:kern w:val="2"/>
          <w:sz w:val="28"/>
          <w:szCs w:val="28"/>
          <w:lang w:val="en-US" w:eastAsia="zh-CN" w:bidi="ar-SA"/>
        </w:rPr>
        <w:t>配合</w:t>
      </w:r>
      <w:r>
        <w:rPr>
          <w:rFonts w:hint="eastAsia" w:ascii="仿宋" w:hAnsi="仿宋" w:eastAsia="仿宋" w:cs="Times New Roman"/>
          <w:b/>
          <w:bCs/>
          <w:kern w:val="2"/>
          <w:sz w:val="28"/>
          <w:szCs w:val="28"/>
          <w:lang w:val="en-US" w:eastAsia="zh-CN" w:bidi="ar-SA"/>
        </w:rPr>
        <w:t>要求</w:t>
      </w:r>
      <w:bookmarkEnd w:id="420"/>
    </w:p>
    <w:p>
      <w:pPr>
        <w:widowControl/>
        <w:numPr>
          <w:ilvl w:val="0"/>
          <w:numId w:val="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配合监理工程师，负责组织完成设备、材料的到货验收，提交验收报告。</w:t>
      </w:r>
    </w:p>
    <w:p>
      <w:pPr>
        <w:widowControl/>
        <w:numPr>
          <w:ilvl w:val="0"/>
          <w:numId w:val="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配合监理工程师，负责组织完成隐蔽工程的验收，包括提供视频记录及验收报告。</w:t>
      </w:r>
    </w:p>
    <w:p>
      <w:pPr>
        <w:widowControl/>
        <w:numPr>
          <w:ilvl w:val="0"/>
          <w:numId w:val="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配合监理单位，提供工程验收所需使用的各种设备和仪器，配合完成本专业的单项验收。</w:t>
      </w:r>
    </w:p>
    <w:p>
      <w:pPr>
        <w:widowControl/>
        <w:numPr>
          <w:ilvl w:val="0"/>
          <w:numId w:val="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负责配合监理单位完成整体验收。对不符合设计指标或要求的系统须进行整改，整改完成后重新进行验收，整改及二次验收所产生的费用由相关的工程实施方承担。</w:t>
      </w:r>
    </w:p>
    <w:p>
      <w:pPr>
        <w:widowControl/>
        <w:numPr>
          <w:ilvl w:val="0"/>
          <w:numId w:val="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本章节中的要求与中标方、设备产品供应单位的其他配合工作。</w:t>
      </w:r>
    </w:p>
    <w:p>
      <w:pPr>
        <w:widowControl/>
        <w:numPr>
          <w:ilvl w:val="0"/>
          <w:numId w:val="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负责本工程竣工验收文档的编制</w:t>
      </w:r>
      <w:bookmarkStart w:id="421" w:name="_Toc300557022"/>
      <w:bookmarkStart w:id="422" w:name="_Toc440288610"/>
      <w:bookmarkStart w:id="423" w:name="_Toc302315625"/>
      <w:bookmarkStart w:id="424" w:name="_Toc309200691"/>
      <w:bookmarkStart w:id="425" w:name="_Toc420510168"/>
      <w:bookmarkStart w:id="426" w:name="_Toc442092507"/>
      <w:r>
        <w:rPr>
          <w:rFonts w:hint="eastAsia" w:ascii="仿宋" w:hAnsi="仿宋" w:eastAsia="仿宋" w:cs="Times New Roman"/>
          <w:sz w:val="28"/>
          <w:szCs w:val="28"/>
          <w:lang w:val="zh-CN"/>
        </w:rPr>
        <w:t>。</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427" w:name="_Toc25651288"/>
      <w:r>
        <w:rPr>
          <w:rFonts w:hint="eastAsia" w:ascii="仿宋" w:hAnsi="仿宋" w:eastAsia="仿宋" w:cs="Times New Roman"/>
          <w:b/>
          <w:bCs/>
          <w:kern w:val="2"/>
          <w:sz w:val="28"/>
          <w:szCs w:val="28"/>
          <w:lang w:val="en-US" w:eastAsia="zh-CN" w:bidi="ar-SA"/>
        </w:rPr>
        <w:t>安装</w:t>
      </w:r>
      <w:bookmarkEnd w:id="421"/>
      <w:r>
        <w:rPr>
          <w:rFonts w:hint="eastAsia" w:ascii="仿宋" w:hAnsi="仿宋" w:eastAsia="仿宋" w:cs="Times New Roman"/>
          <w:b/>
          <w:bCs/>
          <w:kern w:val="2"/>
          <w:sz w:val="28"/>
          <w:szCs w:val="28"/>
          <w:lang w:val="en-US" w:eastAsia="zh-CN" w:bidi="ar-SA"/>
        </w:rPr>
        <w:t>调试</w:t>
      </w:r>
      <w:bookmarkEnd w:id="422"/>
      <w:bookmarkEnd w:id="423"/>
      <w:bookmarkEnd w:id="424"/>
      <w:bookmarkEnd w:id="425"/>
      <w:bookmarkEnd w:id="426"/>
      <w:r>
        <w:rPr>
          <w:rFonts w:hint="eastAsia" w:ascii="仿宋" w:hAnsi="仿宋" w:eastAsia="仿宋" w:cs="仿宋"/>
          <w:b/>
          <w:bCs/>
          <w:kern w:val="2"/>
          <w:sz w:val="28"/>
          <w:szCs w:val="28"/>
          <w:lang w:val="en-US" w:eastAsia="zh-CN" w:bidi="ar-SA"/>
        </w:rPr>
        <w:t>要求</w:t>
      </w:r>
      <w:bookmarkEnd w:id="427"/>
    </w:p>
    <w:p>
      <w:pPr>
        <w:widowControl/>
        <w:numPr>
          <w:ilvl w:val="0"/>
          <w:numId w:val="7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投标方须根据项目要求及国家相关规范，提供综合布线系统的安装调试工作。</w:t>
      </w:r>
    </w:p>
    <w:p>
      <w:pPr>
        <w:widowControl/>
        <w:numPr>
          <w:ilvl w:val="0"/>
          <w:numId w:val="7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中标方在开工前应组织有关人员编制施工组织方案；施工过程中参加施工协调；工程完工后提供全部图纸资料和电子文档。以上工作招标人不另支付任何费用。</w:t>
      </w:r>
    </w:p>
    <w:p>
      <w:pPr>
        <w:widowControl/>
        <w:numPr>
          <w:ilvl w:val="0"/>
          <w:numId w:val="7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中标方负责综合布线铜缆和光缆系统所有安装和调试所需的材料和费用。以上工作招标人不另支付任何费用</w:t>
      </w:r>
      <w:bookmarkStart w:id="428" w:name="_Toc442092508"/>
      <w:bookmarkStart w:id="429" w:name="_Toc420510169"/>
      <w:bookmarkStart w:id="430" w:name="_Toc309200684"/>
      <w:bookmarkStart w:id="431" w:name="_Toc440288611"/>
      <w:bookmarkStart w:id="432" w:name="_Toc308427499"/>
      <w:r>
        <w:rPr>
          <w:rFonts w:hint="eastAsia" w:ascii="仿宋" w:hAnsi="仿宋" w:eastAsia="仿宋" w:cs="Times New Roman"/>
          <w:sz w:val="28"/>
          <w:szCs w:val="28"/>
          <w:lang w:val="zh-CN"/>
        </w:rPr>
        <w:t>。</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433" w:name="_Toc25651289"/>
      <w:r>
        <w:rPr>
          <w:rFonts w:hint="eastAsia" w:ascii="仿宋" w:hAnsi="仿宋" w:eastAsia="仿宋" w:cs="Times New Roman"/>
          <w:b/>
          <w:bCs/>
          <w:kern w:val="2"/>
          <w:sz w:val="28"/>
          <w:szCs w:val="28"/>
          <w:lang w:val="en-US" w:eastAsia="zh-CN" w:bidi="ar-SA"/>
        </w:rPr>
        <w:t>测试</w:t>
      </w:r>
      <w:bookmarkEnd w:id="428"/>
      <w:bookmarkEnd w:id="429"/>
      <w:bookmarkEnd w:id="430"/>
      <w:bookmarkEnd w:id="431"/>
      <w:bookmarkEnd w:id="432"/>
      <w:r>
        <w:rPr>
          <w:rFonts w:hint="eastAsia" w:ascii="仿宋" w:hAnsi="仿宋" w:eastAsia="仿宋" w:cs="Times New Roman"/>
          <w:b/>
          <w:bCs/>
          <w:kern w:val="2"/>
          <w:sz w:val="28"/>
          <w:szCs w:val="28"/>
          <w:lang w:val="en-US" w:eastAsia="zh-CN" w:bidi="ar-SA"/>
        </w:rPr>
        <w:t>要求</w:t>
      </w:r>
      <w:bookmarkEnd w:id="433"/>
    </w:p>
    <w:p>
      <w:pPr>
        <w:widowControl/>
        <w:numPr>
          <w:ilvl w:val="0"/>
          <w:numId w:val="7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在综合布线系统完成安装实施后，实施单位进行系统自检测试，测试标准采用国内标准《综合布线系统工程验收规范》GB50312和国际标准TIA568C中针对双绞线和光缆的测试标准要求。</w:t>
      </w:r>
    </w:p>
    <w:p>
      <w:pPr>
        <w:widowControl/>
        <w:numPr>
          <w:ilvl w:val="0"/>
          <w:numId w:val="7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测试项目包括：水平双绞线链路测试；水平光缆链路测试；主干光缆链路测试；端对端信道联合测试.测试结果要求所有连接完好的信息点连接的正确性要保证100%。</w:t>
      </w:r>
    </w:p>
    <w:p>
      <w:pPr>
        <w:widowControl/>
        <w:numPr>
          <w:ilvl w:val="0"/>
          <w:numId w:val="7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每一个预端接光信息点都需提供专业测试报告；线缆测试数据须储存下来，作为竣工移交文件资料之一。</w:t>
      </w:r>
    </w:p>
    <w:p>
      <w:pPr>
        <w:widowControl/>
        <w:numPr>
          <w:ilvl w:val="0"/>
          <w:numId w:val="7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铜缆测试指标包括：线对、长度、衰减、近端串扰（NEXT）、阻抗、电阻、衰减串扰等；必须保证所有信息点通过测试。 </w:t>
      </w:r>
    </w:p>
    <w:p>
      <w:pPr>
        <w:widowControl/>
        <w:numPr>
          <w:ilvl w:val="0"/>
          <w:numId w:val="7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线缆材料运至现场后，中标方人员到现场配合检查和检验。</w:t>
      </w:r>
    </w:p>
    <w:p>
      <w:pPr>
        <w:widowControl/>
        <w:numPr>
          <w:ilvl w:val="0"/>
          <w:numId w:val="7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线缆主材到达现场时提供工厂的测试和检验报告，确保性能可靠。</w:t>
      </w:r>
    </w:p>
    <w:p>
      <w:pPr>
        <w:widowControl/>
        <w:numPr>
          <w:ilvl w:val="0"/>
          <w:numId w:val="7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中标方应自费承担工厂测验所需设备及人工费用</w:t>
      </w:r>
      <w:bookmarkStart w:id="434" w:name="_Toc300557023"/>
      <w:bookmarkStart w:id="435" w:name="_Toc440288612"/>
      <w:bookmarkStart w:id="436" w:name="_Toc302315626"/>
      <w:bookmarkStart w:id="437" w:name="_Toc442092509"/>
      <w:bookmarkStart w:id="438" w:name="_Toc309200692"/>
      <w:bookmarkStart w:id="439" w:name="_Toc420510170"/>
      <w:r>
        <w:rPr>
          <w:rFonts w:hint="eastAsia" w:ascii="仿宋" w:hAnsi="仿宋" w:eastAsia="仿宋" w:cs="Times New Roman"/>
          <w:sz w:val="28"/>
          <w:szCs w:val="28"/>
          <w:lang w:val="zh-CN"/>
        </w:rPr>
        <w:t>。</w:t>
      </w:r>
    </w:p>
    <w:bookmarkEnd w:id="434"/>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440" w:name="_Toc25651290"/>
      <w:r>
        <w:rPr>
          <w:rFonts w:hint="eastAsia" w:ascii="仿宋" w:hAnsi="仿宋" w:eastAsia="仿宋" w:cs="Times New Roman"/>
          <w:b/>
          <w:bCs/>
          <w:kern w:val="2"/>
          <w:sz w:val="28"/>
          <w:szCs w:val="28"/>
          <w:lang w:val="en-US" w:eastAsia="zh-CN" w:bidi="ar-SA"/>
        </w:rPr>
        <w:t>验收</w:t>
      </w:r>
      <w:bookmarkEnd w:id="435"/>
      <w:bookmarkEnd w:id="436"/>
      <w:bookmarkEnd w:id="437"/>
      <w:bookmarkEnd w:id="438"/>
      <w:bookmarkEnd w:id="439"/>
      <w:r>
        <w:rPr>
          <w:rFonts w:hint="eastAsia" w:ascii="仿宋" w:hAnsi="仿宋" w:eastAsia="仿宋" w:cs="Times New Roman"/>
          <w:b/>
          <w:bCs/>
          <w:kern w:val="2"/>
          <w:sz w:val="28"/>
          <w:szCs w:val="28"/>
          <w:lang w:val="en-US" w:eastAsia="zh-CN" w:bidi="ar-SA"/>
        </w:rPr>
        <w:t>要求</w:t>
      </w:r>
      <w:bookmarkEnd w:id="440"/>
    </w:p>
    <w:p>
      <w:pPr>
        <w:widowControl/>
        <w:numPr>
          <w:ilvl w:val="0"/>
          <w:numId w:val="7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验收工作将在综合布线安装、调试和自检测试结束后进行。在正式开始验收之前，中标方应先完成自检，保证所交验的综合布线系统已经达到了预期。</w:t>
      </w:r>
    </w:p>
    <w:p>
      <w:pPr>
        <w:widowControl/>
        <w:numPr>
          <w:ilvl w:val="0"/>
          <w:numId w:val="7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投标方在投标文件中必须提供综合布线系统的验收大纲。在该验收大纲中必须说明其投标产品的主要技术性能指标、验收方法及合格判据。中标方所提交的验收大纲经招标人认定后，将作为验收的主要依据。</w:t>
      </w:r>
    </w:p>
    <w:p>
      <w:pPr>
        <w:widowControl/>
        <w:numPr>
          <w:ilvl w:val="0"/>
          <w:numId w:val="7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如果中标方最终交付的综合布线系统不能满足经双方确认的验收大纲中规定的各项技术性能指标，则中标方应负责无条件更换或修复。若经更换或修复仍不能弥补缺陷，则招标人方将视缺陷的程度对中标方做出经济处罚，且招标人方有权从应付给中标方的合同款项中直接扣除。</w:t>
      </w:r>
    </w:p>
    <w:p>
      <w:pPr>
        <w:widowControl/>
        <w:numPr>
          <w:ilvl w:val="0"/>
          <w:numId w:val="7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验收工作结束后，中标方应负责起草验收报告。验收报告应包含分项验收报告、总体验收报告。以上验收报告的内容应至少包括：验收目的、验收时间、参验人员、验收项目及验收情况。其中验收情况应实事求是，并附有实测的数据记录。中标方提交的验收报告经招标人认定后，将作为支付有关合同价款（验收付款）的依据之一。招标人可能委托第三方单位进行验收检测，中标方应无条件配合并认可检测结果。</w:t>
      </w:r>
    </w:p>
    <w:p>
      <w:pPr>
        <w:widowControl/>
        <w:numPr>
          <w:ilvl w:val="0"/>
          <w:numId w:val="7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在上述测试中，若发生任一项指标不符合技术要求书要求，中标方应无条件更换其不合格产品，使之达到技术要求书要求，所有费用由中标方负担</w:t>
      </w:r>
      <w:bookmarkStart w:id="441" w:name="_Toc440288613"/>
      <w:bookmarkStart w:id="442" w:name="_Toc420510171"/>
      <w:bookmarkStart w:id="443" w:name="_Toc442092510"/>
      <w:r>
        <w:rPr>
          <w:rFonts w:hint="eastAsia" w:ascii="仿宋" w:hAnsi="仿宋" w:eastAsia="仿宋" w:cs="Times New Roman"/>
          <w:sz w:val="28"/>
          <w:szCs w:val="28"/>
          <w:lang w:val="zh-CN"/>
        </w:rPr>
        <w:t>。</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444" w:name="_Toc25651291"/>
      <w:r>
        <w:rPr>
          <w:rFonts w:hint="eastAsia" w:ascii="仿宋" w:hAnsi="仿宋" w:eastAsia="仿宋" w:cs="Times New Roman"/>
          <w:b/>
          <w:bCs/>
          <w:kern w:val="2"/>
          <w:sz w:val="28"/>
          <w:szCs w:val="28"/>
          <w:lang w:val="en-US" w:eastAsia="zh-CN" w:bidi="ar-SA"/>
        </w:rPr>
        <w:t>文档</w:t>
      </w:r>
      <w:bookmarkEnd w:id="441"/>
      <w:bookmarkEnd w:id="442"/>
      <w:bookmarkEnd w:id="443"/>
      <w:r>
        <w:rPr>
          <w:rFonts w:hint="eastAsia" w:ascii="仿宋" w:hAnsi="仿宋" w:eastAsia="仿宋" w:cs="Times New Roman"/>
          <w:b/>
          <w:bCs/>
          <w:kern w:val="2"/>
          <w:sz w:val="28"/>
          <w:szCs w:val="28"/>
          <w:lang w:val="en-US" w:eastAsia="zh-CN" w:bidi="ar-SA"/>
        </w:rPr>
        <w:t>要求</w:t>
      </w:r>
      <w:bookmarkEnd w:id="444"/>
    </w:p>
    <w:p>
      <w:pPr>
        <w:widowControl/>
        <w:numPr>
          <w:ilvl w:val="0"/>
          <w:numId w:val="7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中标方负责组织综合布线工程中间文档、竣工图纸的编制和归档，所有竣工图纸文件必须在机房工程验证前完成，所有图纸文件均需要编号并统一列表，属于操作与维修部分的图纸要做相应的记号。</w:t>
      </w:r>
    </w:p>
    <w:p>
      <w:pPr>
        <w:widowControl/>
        <w:numPr>
          <w:ilvl w:val="0"/>
          <w:numId w:val="7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提供竣工图纸文件包括纸件和电子件，竣工图纸要符合国内有关制图标准及深度要求，竣工图纸应绘出全部实际安装的设备和装置及其管线，竣工图纸对设备运行、操作、保养以及日后调校有用的有关资料，亦应加以清楚表示。</w:t>
      </w:r>
    </w:p>
    <w:p>
      <w:pPr>
        <w:widowControl/>
        <w:numPr>
          <w:ilvl w:val="0"/>
          <w:numId w:val="7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竣工文档包括但不限于以下内容：</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与工程实际相符的施工文件。</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竣工图纸。</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系统测试报告。</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隐蔽工程及视频记录。</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施工质量验证记录。</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工程变更记录。</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系统试运行记录。</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备品、备件清单。</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仪器、仪表、工具清单。</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政府相关部门和档案管理部门所需的其它资料。</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使用和维修手册。</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管理规范和管理流</w:t>
      </w:r>
      <w:bookmarkStart w:id="445" w:name="_Toc408935504"/>
      <w:bookmarkStart w:id="446" w:name="_Toc408934748"/>
      <w:bookmarkStart w:id="447" w:name="_Toc408934637"/>
      <w:bookmarkStart w:id="448" w:name="_Toc409103563"/>
      <w:bookmarkStart w:id="449" w:name="_Toc353872426"/>
      <w:bookmarkStart w:id="450" w:name="_Toc354825086"/>
      <w:bookmarkStart w:id="451" w:name="_Toc408935376"/>
      <w:r>
        <w:rPr>
          <w:rFonts w:hint="eastAsia" w:ascii="Calibri" w:hAnsi="Calibri" w:eastAsia="仿宋" w:cs="Times New Roman"/>
          <w:sz w:val="28"/>
          <w:szCs w:val="22"/>
        </w:rPr>
        <w:t>程。</w:t>
      </w:r>
    </w:p>
    <w:bookmarkEnd w:id="445"/>
    <w:bookmarkEnd w:id="446"/>
    <w:bookmarkEnd w:id="447"/>
    <w:bookmarkEnd w:id="448"/>
    <w:bookmarkEnd w:id="449"/>
    <w:bookmarkEnd w:id="450"/>
    <w:bookmarkEnd w:id="451"/>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452" w:name="_Toc354825085"/>
      <w:bookmarkStart w:id="453" w:name="_Toc353872425"/>
      <w:bookmarkStart w:id="454" w:name="_Toc408935377"/>
      <w:bookmarkStart w:id="455" w:name="_Toc408934749"/>
      <w:bookmarkStart w:id="456" w:name="_Toc408934638"/>
      <w:bookmarkStart w:id="457" w:name="_Toc409103564"/>
      <w:bookmarkStart w:id="458" w:name="_Toc408935505"/>
      <w:bookmarkStart w:id="459" w:name="_Toc25651292"/>
      <w:bookmarkStart w:id="460" w:name="_Toc6333"/>
      <w:r>
        <w:rPr>
          <w:rFonts w:hint="eastAsia" w:ascii="楷体" w:hAnsi="楷体" w:eastAsia="仿宋" w:cs="Times New Roman"/>
          <w:b/>
          <w:kern w:val="2"/>
          <w:sz w:val="28"/>
          <w:lang w:val="en-US" w:eastAsia="zh-CN" w:bidi="ar-SA"/>
        </w:rPr>
        <w:t>界</w:t>
      </w:r>
      <w:bookmarkEnd w:id="452"/>
      <w:bookmarkEnd w:id="453"/>
      <w:r>
        <w:rPr>
          <w:rFonts w:hint="eastAsia" w:ascii="楷体" w:hAnsi="楷体" w:eastAsia="仿宋" w:cs="Times New Roman"/>
          <w:b/>
          <w:kern w:val="2"/>
          <w:sz w:val="28"/>
          <w:lang w:val="en-US" w:eastAsia="zh-CN" w:bidi="ar-SA"/>
        </w:rPr>
        <w:t>面范围具体</w:t>
      </w:r>
      <w:bookmarkEnd w:id="454"/>
      <w:bookmarkEnd w:id="455"/>
      <w:bookmarkEnd w:id="456"/>
      <w:bookmarkEnd w:id="457"/>
      <w:bookmarkEnd w:id="458"/>
      <w:r>
        <w:rPr>
          <w:rFonts w:hint="eastAsia" w:ascii="楷体" w:hAnsi="楷体" w:eastAsia="仿宋" w:cs="Times New Roman"/>
          <w:b/>
          <w:kern w:val="2"/>
          <w:sz w:val="28"/>
          <w:lang w:val="en-US" w:eastAsia="zh-CN" w:bidi="ar-SA"/>
        </w:rPr>
        <w:t>说明</w:t>
      </w:r>
      <w:bookmarkEnd w:id="459"/>
      <w:bookmarkEnd w:id="460"/>
    </w:p>
    <w:p>
      <w:pPr>
        <w:widowControl/>
        <w:spacing w:line="560" w:lineRule="exact"/>
        <w:ind w:firstLine="565" w:firstLineChars="202"/>
        <w:textAlignment w:val="center"/>
        <w:rPr>
          <w:rFonts w:hint="eastAsia" w:ascii="仿宋" w:hAnsi="仿宋" w:eastAsia="仿宋" w:cs="仿宋_GB2312"/>
          <w:bCs/>
          <w:sz w:val="28"/>
          <w:szCs w:val="28"/>
        </w:rPr>
      </w:pPr>
      <w:r>
        <w:rPr>
          <w:rFonts w:hint="eastAsia" w:ascii="仿宋" w:hAnsi="仿宋" w:eastAsia="仿宋" w:cs="仿宋_GB2312"/>
          <w:bCs/>
          <w:sz w:val="28"/>
          <w:szCs w:val="28"/>
        </w:rPr>
        <w:t>机房业务生产网的综合布线系统：本工程为完整的综合布线深化设计与施工，其中包括核心交换区域，网络列头柜区域，存储区域，各设备机柜内及之间的线缆、管槽、桥架及路由等</w:t>
      </w:r>
      <w:bookmarkStart w:id="461" w:name="_Toc408935378"/>
      <w:bookmarkStart w:id="462" w:name="_Toc408934639"/>
      <w:bookmarkStart w:id="463" w:name="_Toc409103565"/>
      <w:bookmarkStart w:id="464" w:name="_Toc408935506"/>
      <w:bookmarkStart w:id="465" w:name="_Toc408934750"/>
      <w:r>
        <w:rPr>
          <w:rFonts w:hint="eastAsia" w:ascii="仿宋" w:hAnsi="仿宋" w:eastAsia="仿宋" w:cs="仿宋_GB2312"/>
          <w:bCs/>
          <w:sz w:val="28"/>
          <w:szCs w:val="28"/>
        </w:rPr>
        <w:t>。</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466" w:name="_Toc25651293"/>
      <w:bookmarkStart w:id="467" w:name="_Toc25851"/>
      <w:r>
        <w:rPr>
          <w:rFonts w:hint="eastAsia" w:ascii="楷体" w:hAnsi="楷体" w:eastAsia="仿宋" w:cs="Times New Roman"/>
          <w:b/>
          <w:kern w:val="2"/>
          <w:sz w:val="28"/>
          <w:lang w:val="en-US" w:eastAsia="zh-CN" w:bidi="ar-SA"/>
        </w:rPr>
        <w:t>综合布线</w:t>
      </w:r>
      <w:bookmarkEnd w:id="466"/>
      <w:bookmarkEnd w:id="467"/>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468" w:name="_Toc25651294"/>
      <w:r>
        <w:rPr>
          <w:rFonts w:hint="eastAsia" w:ascii="仿宋" w:hAnsi="仿宋" w:eastAsia="仿宋" w:cs="Times New Roman"/>
          <w:b/>
          <w:bCs/>
          <w:kern w:val="2"/>
          <w:sz w:val="28"/>
          <w:szCs w:val="28"/>
          <w:lang w:val="en-US" w:eastAsia="zh-CN" w:bidi="ar-SA"/>
        </w:rPr>
        <w:t>机房业务生产网综合布线</w:t>
      </w:r>
      <w:bookmarkEnd w:id="468"/>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r>
        <w:rPr>
          <w:rFonts w:hint="eastAsia" w:ascii="仿宋" w:hAnsi="仿宋" w:eastAsia="仿宋" w:cs="仿宋"/>
          <w:b w:val="0"/>
          <w:bCs w:val="0"/>
          <w:kern w:val="2"/>
          <w:sz w:val="28"/>
          <w:szCs w:val="24"/>
          <w:lang w:val="en-US" w:eastAsia="zh-CN" w:bidi="ar-SA"/>
        </w:rPr>
        <w:t>功能要求</w:t>
      </w:r>
    </w:p>
    <w:p>
      <w:pPr>
        <w:widowControl/>
        <w:spacing w:line="560" w:lineRule="exact"/>
        <w:ind w:firstLine="560" w:firstLineChars="200"/>
        <w:textAlignment w:val="center"/>
        <w:rPr>
          <w:rFonts w:hint="eastAsia" w:ascii="仿宋" w:hAnsi="仿宋" w:eastAsia="仿宋" w:cs="仿宋_GB2312"/>
          <w:bCs/>
          <w:sz w:val="28"/>
          <w:szCs w:val="28"/>
        </w:rPr>
      </w:pPr>
      <w:r>
        <w:rPr>
          <w:rFonts w:hint="eastAsia" w:ascii="仿宋" w:hAnsi="仿宋" w:eastAsia="仿宋" w:cs="仿宋_GB2312"/>
          <w:bCs/>
          <w:sz w:val="28"/>
          <w:szCs w:val="28"/>
        </w:rPr>
        <w:t>结合本数据中心的</w:t>
      </w:r>
      <w:r>
        <w:rPr>
          <w:rFonts w:hint="eastAsia" w:ascii="仿宋" w:hAnsi="仿宋" w:eastAsia="仿宋" w:cs="Times New Roman"/>
          <w:bCs/>
          <w:sz w:val="28"/>
          <w:szCs w:val="28"/>
        </w:rPr>
        <w:t>项目</w:t>
      </w:r>
      <w:r>
        <w:rPr>
          <w:rFonts w:hint="eastAsia" w:ascii="仿宋" w:hAnsi="仿宋" w:eastAsia="仿宋" w:cs="仿宋_GB2312"/>
          <w:bCs/>
          <w:sz w:val="28"/>
          <w:szCs w:val="28"/>
        </w:rPr>
        <w:t>特征及</w:t>
      </w:r>
      <w:r>
        <w:rPr>
          <w:rFonts w:hint="eastAsia" w:ascii="仿宋" w:hAnsi="仿宋" w:eastAsia="仿宋" w:cs="Times New Roman"/>
          <w:bCs/>
          <w:sz w:val="28"/>
          <w:szCs w:val="28"/>
        </w:rPr>
        <w:t>招标人</w:t>
      </w:r>
      <w:r>
        <w:rPr>
          <w:rFonts w:hint="eastAsia" w:ascii="仿宋" w:hAnsi="仿宋" w:eastAsia="仿宋" w:cs="仿宋_GB2312"/>
          <w:bCs/>
          <w:sz w:val="28"/>
          <w:szCs w:val="28"/>
        </w:rPr>
        <w:t>需求，从如下几个方面考虑本工程中布线系统功能需求：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基于标准的开放系统。</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综合考虑扩容需求的高性能和高带宽。</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支持存储设备（如光纤信道、SCSI或NAS）。</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支持充分考虑扩容需求的聚合点。</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高质量、可靠性和易管理。</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冗错、冗余性。</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易于移动增加和改动的灵活性和可扩展。</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高容量和高密度。</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安全及业务持续能力</w:t>
      </w:r>
      <w:bookmarkStart w:id="469" w:name="_Toc409103572"/>
      <w:bookmarkStart w:id="470" w:name="_Toc408935385"/>
      <w:r>
        <w:rPr>
          <w:rFonts w:hint="eastAsia" w:ascii="Calibri" w:hAnsi="Calibri" w:eastAsia="仿宋" w:cs="Times New Roman"/>
          <w:sz w:val="28"/>
          <w:szCs w:val="22"/>
        </w:rPr>
        <w:t>。</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r>
        <w:rPr>
          <w:rFonts w:hint="eastAsia" w:ascii="仿宋" w:hAnsi="仿宋" w:eastAsia="仿宋" w:cs="仿宋"/>
          <w:b w:val="0"/>
          <w:bCs w:val="0"/>
          <w:kern w:val="2"/>
          <w:sz w:val="28"/>
          <w:szCs w:val="24"/>
          <w:lang w:val="en-US" w:eastAsia="zh-CN" w:bidi="ar-SA"/>
        </w:rPr>
        <w:t>业务生产网综合布线系统传输介质及类型</w:t>
      </w:r>
      <w:bookmarkEnd w:id="469"/>
      <w:bookmarkEnd w:id="470"/>
      <w:r>
        <w:rPr>
          <w:rFonts w:hint="eastAsia" w:ascii="仿宋" w:hAnsi="仿宋" w:eastAsia="仿宋" w:cs="仿宋"/>
          <w:b w:val="0"/>
          <w:bCs w:val="0"/>
          <w:kern w:val="2"/>
          <w:sz w:val="28"/>
          <w:szCs w:val="24"/>
          <w:lang w:val="en-US" w:eastAsia="zh-CN" w:bidi="ar-SA"/>
        </w:rPr>
        <w:t>选则</w:t>
      </w:r>
    </w:p>
    <w:p>
      <w:pPr>
        <w:widowControl/>
        <w:spacing w:line="560" w:lineRule="exact"/>
        <w:ind w:firstLine="565" w:firstLineChars="202"/>
        <w:textAlignment w:val="center"/>
        <w:rPr>
          <w:rFonts w:hint="eastAsia" w:ascii="仿宋" w:hAnsi="仿宋" w:eastAsia="仿宋" w:cs="仿宋_GB2312"/>
          <w:bCs/>
          <w:sz w:val="28"/>
          <w:szCs w:val="28"/>
        </w:rPr>
      </w:pPr>
      <w:r>
        <w:rPr>
          <w:rFonts w:hint="eastAsia" w:ascii="仿宋" w:hAnsi="仿宋" w:eastAsia="仿宋" w:cs="仿宋_GB2312"/>
          <w:bCs/>
          <w:sz w:val="28"/>
          <w:szCs w:val="28"/>
        </w:rPr>
        <w:t>基于以上原则，本工程的传输介质及类型选则如下：</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所有多模光缆均采用OM4光缆、单模光缆均为OS2单模光缆，主干及水平铜缆均为超六类铜缆或光缆。</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所有主干、水平光缆及跳线外护套均采用低烟无卤（LSZH）防火等级光缆，所有主干、水平铜缆及跳线外护套均采用低烟无卤（LSZH）防火等级。</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bookmarkStart w:id="471" w:name="_Toc408935386"/>
      <w:bookmarkStart w:id="472" w:name="_Toc409103573"/>
      <w:r>
        <w:rPr>
          <w:rFonts w:hint="eastAsia" w:ascii="仿宋" w:hAnsi="仿宋" w:eastAsia="仿宋" w:cs="仿宋"/>
          <w:b w:val="0"/>
          <w:bCs w:val="0"/>
          <w:kern w:val="2"/>
          <w:sz w:val="28"/>
          <w:szCs w:val="24"/>
          <w:lang w:val="en-US" w:eastAsia="zh-CN" w:bidi="ar-SA"/>
        </w:rPr>
        <w:t>各功能区布线规划</w:t>
      </w:r>
      <w:bookmarkEnd w:id="471"/>
      <w:bookmarkEnd w:id="472"/>
      <w:r>
        <w:rPr>
          <w:rFonts w:hint="eastAsia" w:ascii="仿宋" w:hAnsi="仿宋" w:eastAsia="仿宋" w:cs="仿宋"/>
          <w:b w:val="0"/>
          <w:bCs w:val="0"/>
          <w:kern w:val="2"/>
          <w:sz w:val="28"/>
          <w:szCs w:val="24"/>
          <w:lang w:val="en-US" w:eastAsia="zh-CN" w:bidi="ar-SA"/>
        </w:rPr>
        <w:t>设计</w:t>
      </w:r>
    </w:p>
    <w:p>
      <w:pPr>
        <w:widowControl/>
        <w:numPr>
          <w:ilvl w:val="0"/>
          <w:numId w:val="79"/>
        </w:numPr>
        <w:spacing w:line="560" w:lineRule="exact"/>
        <w:ind w:left="0" w:firstLine="0"/>
        <w:rPr>
          <w:rFonts w:hint="eastAsia" w:ascii="仿宋" w:hAnsi="仿宋" w:eastAsia="仿宋" w:cs="Times New Roman"/>
          <w:sz w:val="28"/>
          <w:szCs w:val="28"/>
          <w:lang w:val="zh-CN"/>
        </w:rPr>
      </w:pPr>
      <w:bookmarkStart w:id="473" w:name="_Toc408935390"/>
      <w:bookmarkStart w:id="474" w:name="_Toc408934643"/>
      <w:bookmarkStart w:id="475" w:name="_Toc324411294"/>
      <w:bookmarkStart w:id="476" w:name="_Toc408934754"/>
      <w:bookmarkStart w:id="477" w:name="_Toc409103576"/>
      <w:bookmarkStart w:id="478" w:name="_Toc408935510"/>
      <w:bookmarkStart w:id="479" w:name="_Toc25651295"/>
      <w:r>
        <w:rPr>
          <w:rFonts w:hint="eastAsia" w:ascii="仿宋" w:hAnsi="仿宋" w:eastAsia="仿宋" w:cs="Times New Roman"/>
          <w:sz w:val="28"/>
          <w:szCs w:val="28"/>
          <w:lang w:val="zh-CN"/>
        </w:rPr>
        <w:t>通信接入室(电信运营商)</w:t>
      </w:r>
      <w:bookmarkStart w:id="480" w:name="_Toc354825099"/>
      <w:bookmarkStart w:id="481" w:name="_Toc353872450"/>
    </w:p>
    <w:p>
      <w:pPr>
        <w:widowControl/>
        <w:spacing w:line="560" w:lineRule="exact"/>
        <w:ind w:firstLine="560" w:firstLineChars="200"/>
        <w:rPr>
          <w:rFonts w:hint="eastAsia" w:ascii="仿宋" w:hAnsi="仿宋" w:eastAsia="仿宋" w:cs="仿宋gb2312"/>
          <w:sz w:val="28"/>
          <w:szCs w:val="28"/>
        </w:rPr>
      </w:pPr>
      <w:r>
        <w:rPr>
          <w:rFonts w:hint="eastAsia" w:ascii="仿宋" w:hAnsi="仿宋" w:eastAsia="仿宋" w:cs="仿宋gb2312"/>
          <w:sz w:val="28"/>
          <w:szCs w:val="28"/>
        </w:rPr>
        <w:t>本项目需考虑每家电信运营商的2路不同方向的光纤接入，设计需要考虑弱电竖井至</w:t>
      </w:r>
      <w:r>
        <w:rPr>
          <w:rFonts w:hint="eastAsia" w:ascii="仿宋" w:hAnsi="仿宋" w:eastAsia="仿宋" w:cs="仿宋gb2312"/>
          <w:bCs/>
          <w:sz w:val="28"/>
          <w:szCs w:val="28"/>
        </w:rPr>
        <w:t>营运商机柜</w:t>
      </w:r>
      <w:r>
        <w:rPr>
          <w:rFonts w:hint="eastAsia" w:ascii="仿宋" w:hAnsi="仿宋" w:eastAsia="仿宋" w:cs="仿宋gb2312"/>
          <w:sz w:val="28"/>
          <w:szCs w:val="28"/>
        </w:rPr>
        <w:t>的足够桥架预留。</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电信运营商的光缆从市政电信管道接入A/B组营运商机柜；</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数据中心规划暂按3家电信运营商接入；</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同一个运营商不同路由之间的互联互通、从营运商室到核心区之间的线缆（含成端）、不同运营商进线的相关设备及线路成端位置由招标人（甲方）根据当地情况确定，施工的界面与范围由运营商负责，在设计时需考虑所有的线管、线槽及走线路由，具体线缆施工部分后续进行界面划分。在网络核心区域预留机柜给需要在网络核心区成端的运营商线路；</w:t>
      </w:r>
    </w:p>
    <w:bookmarkEnd w:id="480"/>
    <w:bookmarkEnd w:id="481"/>
    <w:p>
      <w:pPr>
        <w:widowControl/>
        <w:numPr>
          <w:ilvl w:val="0"/>
          <w:numId w:val="7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机房模块平面布局及综合面线规划</w:t>
      </w:r>
    </w:p>
    <w:p>
      <w:pPr>
        <w:widowControl/>
        <w:spacing w:line="560" w:lineRule="exact"/>
        <w:ind w:firstLine="478" w:firstLineChars="171"/>
        <w:rPr>
          <w:rFonts w:hint="eastAsia" w:ascii="仿宋" w:hAnsi="仿宋" w:eastAsia="仿宋" w:cs="仿宋gb2312"/>
          <w:bCs/>
          <w:sz w:val="28"/>
          <w:szCs w:val="28"/>
        </w:rPr>
      </w:pPr>
      <w:r>
        <w:rPr>
          <w:rFonts w:hint="eastAsia" w:ascii="仿宋" w:hAnsi="仿宋" w:eastAsia="仿宋" w:cs="仿宋gb2312"/>
          <w:bCs/>
          <w:sz w:val="28"/>
          <w:szCs w:val="28"/>
        </w:rPr>
        <w:t>一、机柜平面布局及规划</w:t>
      </w:r>
    </w:p>
    <w:p>
      <w:pPr>
        <w:widowControl/>
        <w:spacing w:line="560" w:lineRule="exact"/>
        <w:ind w:firstLine="478" w:firstLineChars="171"/>
        <w:rPr>
          <w:rFonts w:hint="eastAsia" w:ascii="仿宋" w:hAnsi="仿宋" w:eastAsia="仿宋" w:cs="仿宋gb2312"/>
          <w:bCs/>
          <w:sz w:val="28"/>
          <w:szCs w:val="28"/>
        </w:rPr>
      </w:pPr>
      <w:r>
        <w:rPr>
          <w:rFonts w:hint="eastAsia" w:ascii="仿宋" w:hAnsi="仿宋" w:eastAsia="仿宋" w:cs="仿宋gb2312"/>
          <w:bCs/>
          <w:sz w:val="28"/>
          <w:szCs w:val="28"/>
        </w:rPr>
        <w:t>南康同城灾备机房共规划不低于93个机柜，为便于后续综合布线需求规划，整个机房模块暂划分四排，分别自定义为A、B、C、D四排机柜。根据建设规划，所有机柜一期全部到位，综合布线、精密空调等其他设施分一期、二期建设，即一期完成A、B排及A、B排汇聚柜至C、D排汇聚柜的布线系统建设并投入使用，二期完成C、D排其余部分建设及投入使用。</w:t>
      </w:r>
    </w:p>
    <w:p>
      <w:pPr>
        <w:widowControl/>
        <w:spacing w:line="560" w:lineRule="exact"/>
        <w:ind w:firstLine="478" w:firstLineChars="171"/>
        <w:rPr>
          <w:rFonts w:hint="eastAsia" w:ascii="仿宋" w:hAnsi="仿宋" w:eastAsia="仿宋" w:cs="仿宋gb2312"/>
          <w:b/>
          <w:sz w:val="28"/>
          <w:szCs w:val="28"/>
        </w:rPr>
      </w:pPr>
      <w:r>
        <w:rPr>
          <w:rFonts w:hint="eastAsia" w:ascii="仿宋" w:hAnsi="仿宋" w:eastAsia="仿宋" w:cs="仿宋gb2312"/>
          <w:bCs/>
          <w:sz w:val="28"/>
          <w:szCs w:val="28"/>
        </w:rPr>
        <w:t>结合一期、二期的建设需求，每排机柜规划网络柜及服务器柜，网络机柜分为网络设备柜及布线汇聚柜，A、B排每排配置</w:t>
      </w:r>
      <w:r>
        <w:rPr>
          <w:rFonts w:ascii="仿宋" w:hAnsi="仿宋" w:eastAsia="仿宋" w:cs="仿宋gb2312"/>
          <w:bCs/>
          <w:sz w:val="28"/>
          <w:szCs w:val="28"/>
        </w:rPr>
        <w:t>2</w:t>
      </w:r>
      <w:r>
        <w:rPr>
          <w:rFonts w:hint="eastAsia" w:ascii="仿宋" w:hAnsi="仿宋" w:eastAsia="仿宋" w:cs="仿宋gb2312"/>
          <w:bCs/>
          <w:sz w:val="28"/>
          <w:szCs w:val="28"/>
        </w:rPr>
        <w:t>个运营商机柜。</w:t>
      </w:r>
      <w:r>
        <w:rPr>
          <w:rFonts w:ascii="Calibri" w:hAnsi="Calibri" w:eastAsia="仿宋" w:cs="Times New Roman"/>
          <w:sz w:val="28"/>
          <w:szCs w:val="20"/>
        </w:rPr>
        <w:drawing>
          <wp:anchor distT="0" distB="0" distL="114300" distR="114300" simplePos="0" relativeHeight="251662336" behindDoc="1" locked="0" layoutInCell="1" allowOverlap="1">
            <wp:simplePos x="0" y="0"/>
            <wp:positionH relativeFrom="page">
              <wp:posOffset>1121410</wp:posOffset>
            </wp:positionH>
            <wp:positionV relativeFrom="page">
              <wp:posOffset>3507740</wp:posOffset>
            </wp:positionV>
            <wp:extent cx="5138420" cy="3115945"/>
            <wp:effectExtent l="0" t="0" r="5080" b="8255"/>
            <wp:wrapTight wrapText="bothSides">
              <wp:wrapPolygon>
                <wp:start x="0" y="0"/>
                <wp:lineTo x="0" y="21525"/>
                <wp:lineTo x="21541" y="21525"/>
                <wp:lineTo x="21541" y="0"/>
                <wp:lineTo x="0" y="0"/>
              </wp:wrapPolygon>
            </wp:wrapTight>
            <wp:docPr id="114"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07"/>
                    <pic:cNvPicPr>
                      <a:picLocks noChangeAspect="1"/>
                    </pic:cNvPicPr>
                  </pic:nvPicPr>
                  <pic:blipFill>
                    <a:blip r:embed="rId26"/>
                    <a:stretch>
                      <a:fillRect/>
                    </a:stretch>
                  </pic:blipFill>
                  <pic:spPr>
                    <a:xfrm>
                      <a:off x="0" y="0"/>
                      <a:ext cx="5138420" cy="3115945"/>
                    </a:xfrm>
                    <a:prstGeom prst="rect">
                      <a:avLst/>
                    </a:prstGeom>
                    <a:noFill/>
                    <a:ln>
                      <a:noFill/>
                    </a:ln>
                  </pic:spPr>
                </pic:pic>
              </a:graphicData>
            </a:graphic>
          </wp:anchor>
        </w:drawing>
      </w:r>
    </w:p>
    <w:p>
      <w:pPr>
        <w:widowControl/>
        <w:spacing w:line="560" w:lineRule="exact"/>
        <w:ind w:firstLine="481" w:firstLineChars="171"/>
        <w:rPr>
          <w:rFonts w:hint="eastAsia" w:ascii="仿宋" w:hAnsi="仿宋" w:eastAsia="仿宋" w:cs="仿宋gb2312"/>
          <w:b/>
          <w:sz w:val="28"/>
          <w:szCs w:val="28"/>
        </w:rPr>
      </w:pPr>
      <w:r>
        <w:rPr>
          <w:rFonts w:hint="eastAsia" w:ascii="仿宋" w:hAnsi="仿宋" w:eastAsia="仿宋" w:cs="仿宋gb2312"/>
          <w:b/>
          <w:sz w:val="28"/>
          <w:szCs w:val="28"/>
        </w:rPr>
        <w:t>二、综合布线规划</w:t>
      </w:r>
    </w:p>
    <w:p>
      <w:pPr>
        <w:widowControl/>
        <w:spacing w:line="560" w:lineRule="exact"/>
        <w:ind w:firstLine="478" w:firstLineChars="171"/>
        <w:rPr>
          <w:rFonts w:hint="eastAsia" w:ascii="仿宋" w:hAnsi="仿宋" w:eastAsia="仿宋" w:cs="仿宋gb2312"/>
          <w:bCs/>
          <w:sz w:val="28"/>
          <w:szCs w:val="28"/>
        </w:rPr>
      </w:pPr>
      <w:r>
        <w:rPr>
          <w:rFonts w:hint="eastAsia" w:ascii="仿宋" w:hAnsi="仿宋" w:eastAsia="仿宋" w:cs="仿宋gb2312"/>
          <w:bCs/>
          <w:sz w:val="28"/>
          <w:szCs w:val="28"/>
        </w:rPr>
        <w:t>1、两个服务器机柜部署1台TOR交换机，即一期部署12台TOR，二期部署17台TOR。TOR交换机采购不在本项目范围内。</w:t>
      </w:r>
    </w:p>
    <w:p>
      <w:pPr>
        <w:widowControl/>
        <w:spacing w:line="560" w:lineRule="exact"/>
        <w:ind w:firstLine="478" w:firstLineChars="171"/>
        <w:rPr>
          <w:rFonts w:hint="eastAsia" w:ascii="仿宋" w:hAnsi="仿宋" w:eastAsia="仿宋" w:cs="仿宋gb2312"/>
          <w:bCs/>
          <w:sz w:val="28"/>
          <w:szCs w:val="28"/>
        </w:rPr>
      </w:pPr>
      <w:r>
        <w:rPr>
          <w:rFonts w:hint="eastAsia" w:ascii="仿宋" w:hAnsi="仿宋" w:eastAsia="仿宋" w:cs="仿宋gb2312"/>
          <w:bCs/>
          <w:sz w:val="28"/>
          <w:szCs w:val="28"/>
        </w:rPr>
        <w:t>2、每个TOR机柜配置3个1U的配线架，2个做以太网用途，分别为1个24口电口配线架、1个24对LC光纤配线架，1个做存储用途，为1个24对LC光纤配线架；TOR机柜以太网配线分别汇聚至A11、B11服务器配线柜，线路各一半，存储配线分别汇聚至A10、B10存储配线柜，线路各一半；</w:t>
      </w:r>
    </w:p>
    <w:p>
      <w:pPr>
        <w:widowControl/>
        <w:spacing w:line="560" w:lineRule="exact"/>
        <w:ind w:firstLine="478" w:firstLineChars="171"/>
        <w:rPr>
          <w:rFonts w:hint="eastAsia" w:ascii="仿宋" w:hAnsi="仿宋" w:eastAsia="仿宋" w:cs="仿宋gb2312"/>
          <w:bCs/>
          <w:sz w:val="28"/>
          <w:szCs w:val="28"/>
        </w:rPr>
      </w:pPr>
      <w:r>
        <w:rPr>
          <w:rFonts w:hint="eastAsia" w:ascii="仿宋" w:hAnsi="仿宋" w:eastAsia="仿宋" w:cs="仿宋gb2312"/>
          <w:bCs/>
          <w:sz w:val="28"/>
          <w:szCs w:val="28"/>
        </w:rPr>
        <w:t>3、所有网络机柜及运营商机柜配置2个1U配线架，即1个24电口配线架、1个24对光纤配线架；网络机柜配线分别汇聚至A09、B09网络配线柜，线路各一半；</w:t>
      </w:r>
    </w:p>
    <w:p>
      <w:pPr>
        <w:widowControl/>
        <w:spacing w:line="560" w:lineRule="exact"/>
        <w:ind w:firstLine="478" w:firstLineChars="171"/>
        <w:rPr>
          <w:rFonts w:hint="eastAsia" w:ascii="仿宋" w:hAnsi="仿宋" w:eastAsia="仿宋" w:cs="仿宋gb2312"/>
          <w:bCs/>
          <w:sz w:val="28"/>
          <w:szCs w:val="28"/>
        </w:rPr>
      </w:pPr>
      <w:r>
        <w:rPr>
          <w:rFonts w:hint="eastAsia" w:ascii="仿宋" w:hAnsi="仿宋" w:eastAsia="仿宋" w:cs="仿宋gb2312"/>
          <w:bCs/>
          <w:sz w:val="28"/>
          <w:szCs w:val="28"/>
        </w:rPr>
        <w:t>4、A11、B11服务器配线柜部署管理交换机，用于服务器管理接入，A11、B11通过跳线汇聚至网络配线柜，最终汇聚至各个区域汇聚交换机；</w:t>
      </w:r>
    </w:p>
    <w:p>
      <w:pPr>
        <w:widowControl/>
        <w:spacing w:line="560" w:lineRule="exact"/>
        <w:ind w:firstLine="478" w:firstLineChars="171"/>
        <w:rPr>
          <w:rFonts w:hint="eastAsia" w:ascii="仿宋" w:hAnsi="仿宋" w:eastAsia="仿宋" w:cs="仿宋gb2312"/>
          <w:bCs/>
          <w:sz w:val="28"/>
          <w:szCs w:val="28"/>
        </w:rPr>
      </w:pPr>
      <w:r>
        <w:rPr>
          <w:rFonts w:hint="eastAsia" w:ascii="仿宋" w:hAnsi="仿宋" w:eastAsia="仿宋" w:cs="仿宋gb2312"/>
          <w:bCs/>
          <w:sz w:val="28"/>
          <w:szCs w:val="28"/>
        </w:rPr>
        <w:t>5、A10、B10部署SAN交换机，负责服务器存储网络接入， SAN交换机通过跳线汇聚至A8、B8机柜波分设备；</w:t>
      </w:r>
    </w:p>
    <w:p>
      <w:pPr>
        <w:widowControl/>
        <w:spacing w:line="560" w:lineRule="exact"/>
        <w:ind w:firstLine="478" w:firstLineChars="171"/>
        <w:rPr>
          <w:rFonts w:hint="eastAsia" w:ascii="仿宋" w:hAnsi="仿宋" w:eastAsia="仿宋" w:cs="仿宋gb2312"/>
          <w:bCs/>
          <w:sz w:val="28"/>
          <w:szCs w:val="28"/>
        </w:rPr>
      </w:pPr>
      <w:r>
        <w:rPr>
          <w:rFonts w:hint="eastAsia" w:ascii="仿宋" w:hAnsi="仿宋" w:eastAsia="仿宋" w:cs="仿宋gb2312"/>
          <w:bCs/>
          <w:sz w:val="28"/>
          <w:szCs w:val="28"/>
        </w:rPr>
        <w:t>6、A8、B8机柜部署核心交换和波分设备，其他同一网络区域的网络设备部署在同一机柜，方便内部连线；</w:t>
      </w:r>
    </w:p>
    <w:p>
      <w:pPr>
        <w:widowControl/>
        <w:spacing w:line="560" w:lineRule="exact"/>
        <w:ind w:firstLine="478" w:firstLineChars="171"/>
        <w:rPr>
          <w:rFonts w:ascii="仿宋" w:hAnsi="仿宋" w:eastAsia="仿宋" w:cs="仿宋gb2312"/>
          <w:bCs/>
          <w:sz w:val="28"/>
          <w:szCs w:val="28"/>
        </w:rPr>
      </w:pPr>
      <w:r>
        <w:rPr>
          <w:rFonts w:hint="eastAsia" w:ascii="仿宋" w:hAnsi="仿宋" w:eastAsia="仿宋" w:cs="仿宋gb2312"/>
          <w:bCs/>
          <w:sz w:val="28"/>
          <w:szCs w:val="28"/>
        </w:rPr>
        <w:t>7、机柜内走线设计要合理，网络汇聚柜内采用角型配线架，网络设备柜及服务器柜内配置普通配线架，充分运用机柜空间，方便理线，也要美观。</w:t>
      </w:r>
    </w:p>
    <w:p>
      <w:pPr>
        <w:widowControl/>
        <w:spacing w:line="560" w:lineRule="exact"/>
        <w:ind w:firstLine="478" w:firstLineChars="171"/>
        <w:rPr>
          <w:rFonts w:ascii="仿宋" w:hAnsi="仿宋" w:eastAsia="仿宋" w:cs="仿宋gb2312"/>
          <w:bCs/>
          <w:sz w:val="28"/>
          <w:szCs w:val="28"/>
        </w:rPr>
      </w:pPr>
      <w:r>
        <w:rPr>
          <w:rFonts w:hint="eastAsia" w:ascii="仿宋" w:hAnsi="仿宋" w:eastAsia="仿宋" w:cs="仿宋gb2312"/>
          <w:bCs/>
          <w:sz w:val="28"/>
          <w:szCs w:val="28"/>
        </w:rPr>
        <w:t>8、所有光纤采用OM4光模式，确保存储网络及以太网主干网络可通过LC-LC接口支持40Gbps传输达150m，考虑到未来存储网络扩容至100Gbps，届时再单独对存储布线进行扩容。</w:t>
      </w:r>
      <w:r>
        <w:rPr>
          <w:rFonts w:ascii="仿宋" w:hAnsi="仿宋" w:eastAsia="仿宋" w:cs="仿宋gb2312"/>
          <w:bCs/>
          <w:sz w:val="28"/>
          <w:szCs w:val="28"/>
        </w:rPr>
        <w:t xml:space="preserve">   </w:t>
      </w:r>
    </w:p>
    <w:p>
      <w:pPr>
        <w:widowControl/>
        <w:spacing w:line="560" w:lineRule="exact"/>
        <w:ind w:firstLine="478" w:firstLineChars="171"/>
        <w:rPr>
          <w:rFonts w:hint="eastAsia" w:ascii="仿宋" w:hAnsi="仿宋" w:eastAsia="仿宋" w:cs="仿宋gb2312"/>
          <w:bCs/>
          <w:sz w:val="28"/>
          <w:szCs w:val="28"/>
        </w:rPr>
      </w:pPr>
      <w:r>
        <w:rPr>
          <w:rFonts w:hint="eastAsia" w:ascii="仿宋" w:hAnsi="仿宋" w:eastAsia="仿宋" w:cs="仿宋gb2312"/>
          <w:bCs/>
          <w:sz w:val="28"/>
          <w:szCs w:val="28"/>
        </w:rPr>
        <w:t>9、为保证二期工程实施时，不对一期已运行系统造成影响， C</w:t>
      </w:r>
      <w:r>
        <w:rPr>
          <w:rFonts w:ascii="仿宋" w:hAnsi="仿宋" w:eastAsia="仿宋" w:cs="仿宋gb2312"/>
          <w:bCs/>
          <w:sz w:val="28"/>
          <w:szCs w:val="28"/>
        </w:rPr>
        <w:t>21</w:t>
      </w:r>
      <w:r>
        <w:rPr>
          <w:rFonts w:hint="eastAsia" w:ascii="仿宋" w:hAnsi="仿宋" w:eastAsia="仿宋" w:cs="仿宋gb2312"/>
          <w:bCs/>
          <w:sz w:val="28"/>
          <w:szCs w:val="28"/>
        </w:rPr>
        <w:t>柜、D</w:t>
      </w:r>
      <w:r>
        <w:rPr>
          <w:rFonts w:ascii="仿宋" w:hAnsi="仿宋" w:eastAsia="仿宋" w:cs="仿宋gb2312"/>
          <w:bCs/>
          <w:sz w:val="28"/>
          <w:szCs w:val="28"/>
        </w:rPr>
        <w:t>21</w:t>
      </w:r>
      <w:r>
        <w:rPr>
          <w:rFonts w:hint="eastAsia" w:ascii="仿宋" w:hAnsi="仿宋" w:eastAsia="仿宋" w:cs="仿宋gb2312"/>
          <w:bCs/>
          <w:sz w:val="28"/>
          <w:szCs w:val="28"/>
        </w:rPr>
        <w:t>柜各配置</w:t>
      </w:r>
      <w:r>
        <w:rPr>
          <w:rFonts w:ascii="仿宋" w:hAnsi="仿宋" w:eastAsia="仿宋" w:cs="仿宋gb2312"/>
          <w:bCs/>
          <w:sz w:val="28"/>
          <w:szCs w:val="28"/>
        </w:rPr>
        <w:t>3</w:t>
      </w:r>
      <w:r>
        <w:rPr>
          <w:rFonts w:hint="eastAsia" w:ascii="仿宋" w:hAnsi="仿宋" w:eastAsia="仿宋" w:cs="仿宋gb2312"/>
          <w:bCs/>
          <w:sz w:val="28"/>
          <w:szCs w:val="28"/>
        </w:rPr>
        <w:t>个1U配线架，2个做以太网用途，分别为1个2</w:t>
      </w:r>
      <w:r>
        <w:rPr>
          <w:rFonts w:ascii="仿宋" w:hAnsi="仿宋" w:eastAsia="仿宋" w:cs="仿宋gb2312"/>
          <w:bCs/>
          <w:sz w:val="28"/>
          <w:szCs w:val="28"/>
        </w:rPr>
        <w:t>4</w:t>
      </w:r>
      <w:r>
        <w:rPr>
          <w:rFonts w:hint="eastAsia" w:ascii="仿宋" w:hAnsi="仿宋" w:eastAsia="仿宋" w:cs="仿宋gb2312"/>
          <w:bCs/>
          <w:sz w:val="28"/>
          <w:szCs w:val="28"/>
        </w:rPr>
        <w:t>口电口配线架、1个2</w:t>
      </w:r>
      <w:r>
        <w:rPr>
          <w:rFonts w:ascii="仿宋" w:hAnsi="仿宋" w:eastAsia="仿宋" w:cs="仿宋gb2312"/>
          <w:bCs/>
          <w:sz w:val="28"/>
          <w:szCs w:val="28"/>
        </w:rPr>
        <w:t>4</w:t>
      </w:r>
      <w:r>
        <w:rPr>
          <w:rFonts w:hint="eastAsia" w:ascii="仿宋" w:hAnsi="仿宋" w:eastAsia="仿宋" w:cs="仿宋gb2312"/>
          <w:bCs/>
          <w:sz w:val="28"/>
          <w:szCs w:val="28"/>
        </w:rPr>
        <w:t>对光纤配线架，1个做存储用途，为1个48对LC光纤配线架，以太网配线架汇聚至A</w:t>
      </w:r>
      <w:r>
        <w:rPr>
          <w:rFonts w:ascii="仿宋" w:hAnsi="仿宋" w:eastAsia="仿宋" w:cs="仿宋gb2312"/>
          <w:bCs/>
          <w:sz w:val="28"/>
          <w:szCs w:val="28"/>
        </w:rPr>
        <w:t>0</w:t>
      </w:r>
      <w:r>
        <w:rPr>
          <w:rFonts w:hint="eastAsia" w:ascii="仿宋" w:hAnsi="仿宋" w:eastAsia="仿宋" w:cs="仿宋gb2312"/>
          <w:bCs/>
          <w:sz w:val="28"/>
          <w:szCs w:val="28"/>
        </w:rPr>
        <w:t>9、B</w:t>
      </w:r>
      <w:r>
        <w:rPr>
          <w:rFonts w:ascii="仿宋" w:hAnsi="仿宋" w:eastAsia="仿宋" w:cs="仿宋gb2312"/>
          <w:bCs/>
          <w:sz w:val="28"/>
          <w:szCs w:val="28"/>
        </w:rPr>
        <w:t>0</w:t>
      </w:r>
      <w:r>
        <w:rPr>
          <w:rFonts w:hint="eastAsia" w:ascii="仿宋" w:hAnsi="仿宋" w:eastAsia="仿宋" w:cs="仿宋gb2312"/>
          <w:bCs/>
          <w:sz w:val="28"/>
          <w:szCs w:val="28"/>
        </w:rPr>
        <w:t>9柜，线路各一半；存储配线分别汇聚至A10、B10柜，线路各一半；</w:t>
      </w:r>
    </w:p>
    <w:p>
      <w:pPr>
        <w:widowControl/>
        <w:spacing w:line="560" w:lineRule="exact"/>
        <w:ind w:firstLine="478" w:firstLineChars="171"/>
        <w:rPr>
          <w:rFonts w:hint="eastAsia" w:ascii="仿宋" w:hAnsi="仿宋" w:eastAsia="仿宋" w:cs="仿宋gb2312"/>
          <w:bCs/>
          <w:sz w:val="28"/>
          <w:szCs w:val="28"/>
        </w:rPr>
      </w:pPr>
      <w:r>
        <w:rPr>
          <w:rFonts w:hint="eastAsia" w:ascii="仿宋" w:hAnsi="仿宋" w:eastAsia="仿宋" w:cs="仿宋gb2312"/>
          <w:bCs/>
          <w:sz w:val="28"/>
          <w:szCs w:val="28"/>
        </w:rPr>
        <w:t>10、08-A10、B08-B10、C20-C21、D19-D21配线柜采用角型配线架；</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综合布线</w:t>
      </w:r>
      <w:bookmarkEnd w:id="473"/>
      <w:bookmarkEnd w:id="474"/>
      <w:bookmarkEnd w:id="475"/>
      <w:bookmarkEnd w:id="476"/>
      <w:bookmarkEnd w:id="477"/>
      <w:bookmarkEnd w:id="478"/>
      <w:r>
        <w:rPr>
          <w:rFonts w:hint="eastAsia" w:ascii="仿宋" w:hAnsi="仿宋" w:eastAsia="仿宋" w:cs="Times New Roman"/>
          <w:b/>
          <w:bCs/>
          <w:kern w:val="2"/>
          <w:sz w:val="28"/>
          <w:szCs w:val="28"/>
          <w:lang w:val="en-US" w:eastAsia="zh-CN" w:bidi="ar-SA"/>
        </w:rPr>
        <w:t>路由</w:t>
      </w:r>
      <w:bookmarkEnd w:id="479"/>
    </w:p>
    <w:p>
      <w:pPr>
        <w:widowControl/>
        <w:numPr>
          <w:ilvl w:val="0"/>
          <w:numId w:val="8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机房内所有区域机柜采用上走线方式网格桥架,光缆和铜缆分桥架敷设，桥架安装两端固定，根据线缆数量选择150、200、300、400宽度线槽。</w:t>
      </w:r>
    </w:p>
    <w:p>
      <w:pPr>
        <w:widowControl/>
        <w:numPr>
          <w:ilvl w:val="0"/>
          <w:numId w:val="8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说明：中标方需对业务生产网综合布线桥架系统进行优化设计，铜缆综合布线系统在机房内采用开放式桥架吊装，公共通道连接部分采用封闭式金属线槽; 光缆综合布线系统全部采用专用光纤槽道布放光缆系统</w:t>
      </w:r>
      <w:bookmarkStart w:id="482" w:name="_Toc408935391"/>
      <w:bookmarkStart w:id="483" w:name="_Toc409103577"/>
      <w:bookmarkStart w:id="484" w:name="_Toc324411295"/>
      <w:r>
        <w:rPr>
          <w:rFonts w:hint="eastAsia" w:ascii="仿宋" w:hAnsi="仿宋" w:eastAsia="仿宋" w:cs="Times New Roman"/>
          <w:sz w:val="28"/>
          <w:szCs w:val="28"/>
          <w:lang w:val="zh-CN"/>
        </w:rPr>
        <w:t>。</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485" w:name="_Toc25651296"/>
      <w:r>
        <w:rPr>
          <w:rFonts w:hint="eastAsia" w:ascii="仿宋" w:hAnsi="仿宋" w:eastAsia="仿宋" w:cs="Times New Roman"/>
          <w:b/>
          <w:bCs/>
          <w:kern w:val="2"/>
          <w:sz w:val="28"/>
          <w:szCs w:val="28"/>
          <w:lang w:val="en-US" w:eastAsia="zh-CN" w:bidi="ar-SA"/>
        </w:rPr>
        <w:t>机房</w:t>
      </w:r>
      <w:r>
        <w:rPr>
          <w:rFonts w:hint="eastAsia" w:ascii="仿宋" w:hAnsi="仿宋" w:eastAsia="仿宋" w:cs="仿宋"/>
          <w:b/>
          <w:bCs/>
          <w:kern w:val="2"/>
          <w:sz w:val="28"/>
          <w:szCs w:val="28"/>
          <w:lang w:val="en-US" w:eastAsia="zh-CN" w:bidi="ar-SA"/>
        </w:rPr>
        <w:t>区域</w:t>
      </w:r>
      <w:bookmarkEnd w:id="482"/>
      <w:bookmarkEnd w:id="483"/>
      <w:bookmarkEnd w:id="484"/>
      <w:r>
        <w:rPr>
          <w:rFonts w:hint="eastAsia" w:ascii="仿宋" w:hAnsi="仿宋" w:eastAsia="仿宋" w:cs="Times New Roman"/>
          <w:b/>
          <w:bCs/>
          <w:kern w:val="2"/>
          <w:sz w:val="28"/>
          <w:szCs w:val="28"/>
          <w:lang w:val="en-US" w:eastAsia="zh-CN" w:bidi="ar-SA"/>
        </w:rPr>
        <w:t>桥架</w:t>
      </w:r>
      <w:bookmarkEnd w:id="485"/>
    </w:p>
    <w:p>
      <w:pPr>
        <w:spacing w:line="560" w:lineRule="exact"/>
        <w:ind w:firstLine="565" w:firstLineChars="202"/>
        <w:jc w:val="both"/>
        <w:textAlignment w:val="center"/>
        <w:rPr>
          <w:rFonts w:hint="eastAsia" w:ascii="仿宋" w:hAnsi="仿宋" w:eastAsia="仿宋" w:cs="仿宋_GB2312"/>
          <w:bCs/>
          <w:kern w:val="2"/>
          <w:sz w:val="28"/>
          <w:szCs w:val="28"/>
          <w:lang w:val="en-US" w:eastAsia="zh-CN" w:bidi="ar-SA"/>
        </w:rPr>
      </w:pPr>
      <w:r>
        <w:rPr>
          <w:rFonts w:hint="eastAsia" w:ascii="仿宋" w:hAnsi="仿宋" w:eastAsia="仿宋" w:cs="仿宋_GB2312"/>
          <w:bCs/>
          <w:kern w:val="2"/>
          <w:sz w:val="28"/>
          <w:szCs w:val="28"/>
          <w:lang w:val="en-US" w:eastAsia="zh-CN" w:bidi="ar-SA"/>
        </w:rPr>
        <w:t>铜缆综合布线系统在机房内采用开放式桥架吊装，光缆综合布线系统全部采用专用光纤槽道布放光缆系统，布线分类摆放安装，易于线缆固定绑扎，规范美观，自重轻、承重高，安全可靠；桥架连接快速牢固，具有良好的电气连续性；桥架/光纤槽道需拆装简单方便，灵活多变，各种角度的折弯、三通、四通、标高变化、变径等采用标准结构件；增加及变更线缆灵活，良好接地；维护、升级和管理方便，桥架/光纤槽道应安全、美观</w:t>
      </w:r>
      <w:bookmarkStart w:id="486" w:name="_Toc408935392"/>
      <w:bookmarkStart w:id="487" w:name="_Toc324411296"/>
      <w:bookmarkStart w:id="488" w:name="_Toc409103578"/>
      <w:r>
        <w:rPr>
          <w:rFonts w:hint="eastAsia" w:ascii="仿宋" w:hAnsi="仿宋" w:eastAsia="仿宋" w:cs="仿宋_GB2312"/>
          <w:bCs/>
          <w:kern w:val="2"/>
          <w:sz w:val="28"/>
          <w:szCs w:val="28"/>
          <w:lang w:val="en-US" w:eastAsia="zh-CN" w:bidi="ar-SA"/>
        </w:rPr>
        <w:t>。</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r>
        <w:rPr>
          <w:rFonts w:hint="eastAsia" w:ascii="仿宋" w:hAnsi="仿宋" w:eastAsia="仿宋" w:cs="仿宋"/>
          <w:b w:val="0"/>
          <w:bCs w:val="0"/>
          <w:kern w:val="2"/>
          <w:sz w:val="28"/>
          <w:szCs w:val="24"/>
          <w:lang w:val="en-US" w:eastAsia="zh-CN" w:bidi="ar-SA"/>
        </w:rPr>
        <w:t>公共区域</w:t>
      </w:r>
      <w:bookmarkEnd w:id="486"/>
      <w:bookmarkEnd w:id="487"/>
      <w:bookmarkEnd w:id="488"/>
      <w:r>
        <w:rPr>
          <w:rFonts w:hint="eastAsia" w:ascii="仿宋" w:hAnsi="仿宋" w:eastAsia="仿宋" w:cs="仿宋"/>
          <w:b w:val="0"/>
          <w:bCs w:val="0"/>
          <w:kern w:val="2"/>
          <w:sz w:val="28"/>
          <w:szCs w:val="24"/>
          <w:lang w:val="en-US" w:eastAsia="zh-CN" w:bidi="ar-SA"/>
        </w:rPr>
        <w:t>桥架</w:t>
      </w:r>
    </w:p>
    <w:p>
      <w:pPr>
        <w:widowControl/>
        <w:numPr>
          <w:ilvl w:val="0"/>
          <w:numId w:val="8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铜缆综合布线系统在公共通道连接部分采用封闭式金属线槽，桥架壁厚应不小于1.5mm，考虑到布线施工及现场的美观度，分区部分应做好适当的分区防火，在消防分区交界处设置桥架防火隔段。</w:t>
      </w:r>
    </w:p>
    <w:p>
      <w:pPr>
        <w:widowControl/>
        <w:numPr>
          <w:ilvl w:val="0"/>
          <w:numId w:val="8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光缆综合布线系统全部采用专用光纤槽道布放光缆系统</w:t>
      </w:r>
      <w:bookmarkStart w:id="489" w:name="_Toc409103579"/>
      <w:bookmarkStart w:id="490" w:name="_Toc324411297"/>
      <w:bookmarkStart w:id="491" w:name="_Toc408935393"/>
      <w:r>
        <w:rPr>
          <w:rFonts w:hint="eastAsia" w:ascii="仿宋" w:hAnsi="仿宋" w:eastAsia="仿宋" w:cs="Times New Roman"/>
          <w:sz w:val="28"/>
          <w:szCs w:val="28"/>
          <w:lang w:val="zh-CN"/>
        </w:rPr>
        <w:t>。</w:t>
      </w:r>
    </w:p>
    <w:bookmarkEnd w:id="489"/>
    <w:bookmarkEnd w:id="490"/>
    <w:bookmarkEnd w:id="491"/>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r>
        <w:rPr>
          <w:rFonts w:hint="eastAsia" w:ascii="仿宋" w:hAnsi="仿宋" w:eastAsia="仿宋" w:cs="仿宋"/>
          <w:b w:val="0"/>
          <w:bCs w:val="0"/>
          <w:kern w:val="2"/>
          <w:sz w:val="28"/>
          <w:szCs w:val="24"/>
          <w:lang w:val="en-US" w:eastAsia="zh-CN" w:bidi="ar-SA"/>
        </w:rPr>
        <w:t>线管</w:t>
      </w:r>
    </w:p>
    <w:p>
      <w:pPr>
        <w:widowControl/>
        <w:spacing w:line="560" w:lineRule="exact"/>
        <w:ind w:firstLine="565" w:firstLineChars="202"/>
        <w:textAlignment w:val="center"/>
        <w:rPr>
          <w:rFonts w:hint="eastAsia" w:ascii="仿宋" w:hAnsi="仿宋" w:eastAsia="仿宋" w:cs="仿宋_GB2312"/>
          <w:bCs/>
          <w:sz w:val="28"/>
          <w:szCs w:val="28"/>
        </w:rPr>
      </w:pPr>
      <w:r>
        <w:rPr>
          <w:rFonts w:hint="eastAsia" w:ascii="仿宋" w:hAnsi="仿宋" w:eastAsia="仿宋" w:cs="仿宋_GB2312"/>
          <w:bCs/>
          <w:sz w:val="28"/>
          <w:szCs w:val="28"/>
        </w:rPr>
        <w:t>管线（包括明敷、暗敷）采用镀锌钢管，所有电线管管径满足设计规范确定，电线管壁厚不小于1.5mm</w:t>
      </w:r>
      <w:bookmarkStart w:id="492" w:name="_Toc408935508"/>
      <w:bookmarkStart w:id="493" w:name="_Toc408934641"/>
      <w:bookmarkStart w:id="494" w:name="_Toc408934752"/>
      <w:bookmarkStart w:id="495" w:name="_Toc408935388"/>
      <w:bookmarkStart w:id="496" w:name="_Toc409103574"/>
      <w:r>
        <w:rPr>
          <w:rFonts w:hint="eastAsia" w:ascii="仿宋" w:hAnsi="仿宋" w:eastAsia="仿宋" w:cs="仿宋_GB2312"/>
          <w:bCs/>
          <w:sz w:val="28"/>
          <w:szCs w:val="28"/>
        </w:rPr>
        <w:t>。</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497" w:name="_Toc25651297"/>
      <w:r>
        <w:rPr>
          <w:rFonts w:hint="eastAsia" w:ascii="仿宋" w:hAnsi="仿宋" w:eastAsia="仿宋" w:cs="Times New Roman"/>
          <w:b/>
          <w:bCs/>
          <w:kern w:val="2"/>
          <w:sz w:val="28"/>
          <w:szCs w:val="28"/>
          <w:lang w:val="en-US" w:eastAsia="zh-CN" w:bidi="ar-SA"/>
        </w:rPr>
        <w:t>布线</w:t>
      </w:r>
      <w:r>
        <w:rPr>
          <w:rFonts w:hint="eastAsia" w:ascii="仿宋" w:hAnsi="仿宋" w:eastAsia="仿宋" w:cs="仿宋"/>
          <w:b/>
          <w:bCs/>
          <w:kern w:val="2"/>
          <w:sz w:val="28"/>
          <w:szCs w:val="28"/>
          <w:lang w:val="en-US" w:eastAsia="zh-CN" w:bidi="ar-SA"/>
        </w:rPr>
        <w:t>标识</w:t>
      </w:r>
      <w:bookmarkEnd w:id="492"/>
      <w:bookmarkEnd w:id="493"/>
      <w:bookmarkEnd w:id="494"/>
      <w:bookmarkEnd w:id="495"/>
      <w:bookmarkEnd w:id="496"/>
      <w:r>
        <w:rPr>
          <w:rFonts w:hint="eastAsia" w:ascii="仿宋" w:hAnsi="仿宋" w:eastAsia="仿宋" w:cs="Times New Roman"/>
          <w:b/>
          <w:bCs/>
          <w:kern w:val="2"/>
          <w:sz w:val="28"/>
          <w:szCs w:val="28"/>
          <w:lang w:val="en-US" w:eastAsia="zh-CN" w:bidi="ar-SA"/>
        </w:rPr>
        <w:t>系统</w:t>
      </w:r>
      <w:bookmarkEnd w:id="497"/>
    </w:p>
    <w:p>
      <w:pPr>
        <w:widowControl/>
        <w:numPr>
          <w:ilvl w:val="0"/>
          <w:numId w:val="8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为方便综合布线系统的实施以及今后的管理和维护，对综合布线系统的信息点、管理区、线缆等应进行编号及色标管理。来识别布线设施的各个元器件，线缆扎带及附件可以组织及识别线缆和提高安装速度。</w:t>
      </w:r>
    </w:p>
    <w:p>
      <w:pPr>
        <w:widowControl/>
        <w:numPr>
          <w:ilvl w:val="0"/>
          <w:numId w:val="8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综合布线系统的每一条线缆、配线设备、端接点、安装通道和安装空间均应给定唯一的标志。标志可包括名称、编号及其他标志。线缆两端均应标明相同的编号。配线设备、线缆、信息插座等硬件均应设置不易脱落和磨损的标志。</w:t>
      </w:r>
    </w:p>
    <w:p>
      <w:pPr>
        <w:widowControl/>
        <w:numPr>
          <w:ilvl w:val="0"/>
          <w:numId w:val="8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对所有的机柜/配线架/信息端口予以标识，标签的标准为TIA/EIA606。所有使用的标签应为专用机器打印。</w:t>
      </w:r>
    </w:p>
    <w:p>
      <w:pPr>
        <w:widowControl/>
        <w:numPr>
          <w:ilvl w:val="0"/>
          <w:numId w:val="8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标签应打印在永久的粘贴性的标签上。</w:t>
      </w:r>
    </w:p>
    <w:p>
      <w:pPr>
        <w:widowControl/>
        <w:numPr>
          <w:ilvl w:val="0"/>
          <w:numId w:val="8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所有线缆应单独标签，终端的配线架放置所有的标签，所有配线架都用标签以标识，所有插座端口须用安全的固定的标签加以标识。所有的配线及跳线标识应单独编号。</w:t>
      </w:r>
    </w:p>
    <w:p>
      <w:pPr>
        <w:widowControl/>
        <w:numPr>
          <w:ilvl w:val="0"/>
          <w:numId w:val="8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设计应建立符合项目具体情况的颜色标签系统，以方便管理人员的管理。</w:t>
      </w:r>
    </w:p>
    <w:p>
      <w:pPr>
        <w:widowControl/>
        <w:numPr>
          <w:ilvl w:val="0"/>
          <w:numId w:val="8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使用颜色标识各个区域：在机柜中，同一区域的信息点所涉及的模块，跳线均使用相同的颜色，所使用的颜色具体规定如下：</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信息插座上每个接插口位置上使用相同的颜色明确标明各类数据（内网、存储、外网、管理网等）接口类型。</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配线架应使用同样方法，明确标识对应信息点的位置。</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每根跳线上均用色标进行标示，并使用标识方法表示跳接两端所连接的位置。</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提供信息点与配线架信息口的对照表；提供配线架信息口与网络设备端口之间的对照表。</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色标应统一进行规划，要求实施中根据产品的实际情况达到如下细致程度；如：</w:t>
      </w:r>
    </w:p>
    <w:p>
      <w:pPr>
        <w:widowControl/>
        <w:numPr>
          <w:ilvl w:val="8"/>
          <w:numId w:val="83"/>
        </w:numPr>
        <w:spacing w:line="560" w:lineRule="exact"/>
        <w:ind w:left="0" w:firstLine="0"/>
        <w:textAlignment w:val="center"/>
        <w:rPr>
          <w:rFonts w:hint="eastAsia" w:ascii="仿宋" w:hAnsi="仿宋" w:eastAsia="仿宋" w:cs="Times New Roman"/>
          <w:bCs/>
          <w:sz w:val="28"/>
          <w:szCs w:val="28"/>
        </w:rPr>
      </w:pPr>
      <w:r>
        <w:rPr>
          <w:rFonts w:hint="eastAsia" w:ascii="仿宋" w:hAnsi="仿宋" w:eastAsia="仿宋" w:cs="仿宋_GB2312"/>
          <w:bCs/>
          <w:sz w:val="28"/>
          <w:szCs w:val="28"/>
        </w:rPr>
        <w:t>绿色：识别生产</w:t>
      </w:r>
      <w:r>
        <w:rPr>
          <w:rFonts w:hint="eastAsia" w:ascii="仿宋" w:hAnsi="仿宋" w:eastAsia="仿宋" w:cs="Times New Roman"/>
          <w:bCs/>
          <w:sz w:val="28"/>
          <w:szCs w:val="28"/>
        </w:rPr>
        <w:t>、办公业务的网络连接的终接处。</w:t>
      </w:r>
    </w:p>
    <w:p>
      <w:pPr>
        <w:widowControl/>
        <w:numPr>
          <w:ilvl w:val="8"/>
          <w:numId w:val="83"/>
        </w:numPr>
        <w:spacing w:line="560" w:lineRule="exact"/>
        <w:ind w:left="0" w:firstLine="0"/>
        <w:textAlignment w:val="center"/>
        <w:rPr>
          <w:rFonts w:hint="eastAsia" w:ascii="仿宋" w:hAnsi="仿宋" w:eastAsia="仿宋" w:cs="Times New Roman"/>
          <w:bCs/>
          <w:sz w:val="28"/>
          <w:szCs w:val="28"/>
        </w:rPr>
      </w:pPr>
      <w:r>
        <w:rPr>
          <w:rFonts w:hint="eastAsia" w:ascii="仿宋" w:hAnsi="仿宋" w:eastAsia="仿宋" w:cs="Times New Roman"/>
          <w:bCs/>
          <w:sz w:val="28"/>
          <w:szCs w:val="28"/>
        </w:rPr>
        <w:t>紫色：识别外网设备的线缆终接处。</w:t>
      </w:r>
    </w:p>
    <w:p>
      <w:pPr>
        <w:widowControl/>
        <w:numPr>
          <w:ilvl w:val="8"/>
          <w:numId w:val="83"/>
        </w:numPr>
        <w:spacing w:line="560" w:lineRule="exact"/>
        <w:ind w:left="0" w:firstLine="0"/>
        <w:textAlignment w:val="center"/>
        <w:rPr>
          <w:rFonts w:hint="eastAsia" w:ascii="仿宋" w:hAnsi="仿宋" w:eastAsia="仿宋" w:cs="Times New Roman"/>
          <w:bCs/>
          <w:sz w:val="28"/>
          <w:szCs w:val="28"/>
        </w:rPr>
      </w:pPr>
      <w:r>
        <w:rPr>
          <w:rFonts w:hint="eastAsia" w:ascii="仿宋" w:hAnsi="仿宋" w:eastAsia="仿宋" w:cs="Times New Roman"/>
          <w:bCs/>
          <w:sz w:val="28"/>
          <w:szCs w:val="28"/>
        </w:rPr>
        <w:t>白色：识别垂直干缆的终接处。</w:t>
      </w:r>
    </w:p>
    <w:p>
      <w:pPr>
        <w:widowControl/>
        <w:numPr>
          <w:ilvl w:val="8"/>
          <w:numId w:val="83"/>
        </w:numPr>
        <w:spacing w:line="560" w:lineRule="exact"/>
        <w:ind w:left="0" w:firstLine="0"/>
        <w:textAlignment w:val="center"/>
        <w:rPr>
          <w:rFonts w:hint="eastAsia" w:ascii="仿宋" w:hAnsi="仿宋" w:eastAsia="仿宋" w:cs="Times New Roman"/>
          <w:bCs/>
          <w:sz w:val="28"/>
          <w:szCs w:val="28"/>
        </w:rPr>
      </w:pPr>
      <w:r>
        <w:rPr>
          <w:rFonts w:hint="eastAsia" w:ascii="仿宋" w:hAnsi="仿宋" w:eastAsia="仿宋" w:cs="Times New Roman"/>
          <w:bCs/>
          <w:sz w:val="28"/>
          <w:szCs w:val="28"/>
        </w:rPr>
        <w:t>灰色：识别水平干缆的终接处。</w:t>
      </w:r>
    </w:p>
    <w:p>
      <w:pPr>
        <w:widowControl/>
        <w:numPr>
          <w:ilvl w:val="8"/>
          <w:numId w:val="83"/>
        </w:numPr>
        <w:spacing w:line="560" w:lineRule="exact"/>
        <w:ind w:left="0" w:firstLine="0"/>
        <w:textAlignment w:val="center"/>
        <w:rPr>
          <w:rFonts w:hint="eastAsia" w:ascii="仿宋" w:hAnsi="仿宋" w:eastAsia="仿宋" w:cs="Times New Roman"/>
          <w:bCs/>
          <w:sz w:val="28"/>
          <w:szCs w:val="28"/>
        </w:rPr>
      </w:pPr>
      <w:r>
        <w:rPr>
          <w:rFonts w:hint="eastAsia" w:ascii="仿宋" w:hAnsi="仿宋" w:eastAsia="仿宋" w:cs="Times New Roman"/>
          <w:bCs/>
          <w:sz w:val="28"/>
          <w:szCs w:val="28"/>
        </w:rPr>
        <w:t>蓝色：识别管理网设备的线缆的终接处。</w:t>
      </w:r>
    </w:p>
    <w:p>
      <w:pPr>
        <w:widowControl/>
        <w:numPr>
          <w:ilvl w:val="8"/>
          <w:numId w:val="83"/>
        </w:numPr>
        <w:spacing w:line="560" w:lineRule="exact"/>
        <w:ind w:left="0" w:firstLine="0"/>
        <w:textAlignment w:val="center"/>
        <w:rPr>
          <w:rFonts w:hint="eastAsia" w:ascii="仿宋" w:hAnsi="仿宋" w:eastAsia="仿宋" w:cs="仿宋_GB2312"/>
          <w:bCs/>
          <w:sz w:val="28"/>
          <w:szCs w:val="28"/>
        </w:rPr>
      </w:pPr>
      <w:r>
        <w:rPr>
          <w:rFonts w:hint="eastAsia" w:ascii="仿宋" w:hAnsi="仿宋" w:eastAsia="仿宋" w:cs="Times New Roman"/>
          <w:bCs/>
          <w:sz w:val="28"/>
          <w:szCs w:val="28"/>
        </w:rPr>
        <w:t>红色：识别主要电话</w:t>
      </w:r>
      <w:r>
        <w:rPr>
          <w:rFonts w:hint="eastAsia" w:ascii="仿宋" w:hAnsi="仿宋" w:eastAsia="仿宋" w:cs="仿宋_GB2312"/>
          <w:bCs/>
          <w:sz w:val="28"/>
          <w:szCs w:val="28"/>
        </w:rPr>
        <w:t>系统的终接处。</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通过以上的措施，管理员能在极短时间内查出出现故障的信息点的位置，排除故障，不需要借助另外的文档。</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498" w:name="_Toc25651298"/>
      <w:r>
        <w:rPr>
          <w:rFonts w:hint="eastAsia" w:ascii="仿宋" w:hAnsi="仿宋" w:eastAsia="仿宋" w:cs="Times New Roman"/>
          <w:b/>
          <w:bCs/>
          <w:kern w:val="2"/>
          <w:sz w:val="28"/>
          <w:szCs w:val="28"/>
          <w:lang w:val="en-US" w:eastAsia="zh-CN" w:bidi="ar-SA"/>
        </w:rPr>
        <w:t>综合布线系统安装工艺要求</w:t>
      </w:r>
      <w:bookmarkEnd w:id="498"/>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r>
        <w:rPr>
          <w:rFonts w:hint="eastAsia" w:ascii="仿宋" w:hAnsi="仿宋" w:eastAsia="仿宋" w:cs="仿宋"/>
          <w:b w:val="0"/>
          <w:bCs w:val="0"/>
          <w:kern w:val="2"/>
          <w:sz w:val="28"/>
          <w:szCs w:val="24"/>
          <w:lang w:val="en-US" w:eastAsia="zh-CN" w:bidi="ar-SA"/>
        </w:rPr>
        <w:t>线缆敷设要求</w:t>
      </w:r>
    </w:p>
    <w:p>
      <w:pPr>
        <w:widowControl/>
        <w:numPr>
          <w:ilvl w:val="0"/>
          <w:numId w:val="8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主机房内综合布线采用上走线方式。上走线桥架，不应遮挡消防、照明及安全防范系统末端设施。可采用铜缆、光缆分层方式。</w:t>
      </w:r>
    </w:p>
    <w:p>
      <w:pPr>
        <w:widowControl/>
        <w:numPr>
          <w:ilvl w:val="0"/>
          <w:numId w:val="8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为保证线缆的传输性能，线缆敷设时应采用魔术贴捆扎。</w:t>
      </w:r>
    </w:p>
    <w:p>
      <w:pPr>
        <w:widowControl/>
        <w:numPr>
          <w:ilvl w:val="0"/>
          <w:numId w:val="8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综合布线线槽或桥架与强电桥架平行敷设时，间距应大于500mm；综合布线线槽或桥架与强电桥架垂直交叉时，间距应大于200mm。</w:t>
      </w:r>
    </w:p>
    <w:p>
      <w:pPr>
        <w:widowControl/>
        <w:numPr>
          <w:ilvl w:val="0"/>
          <w:numId w:val="8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综合布线线槽或桥架，不宜与其他系统共用。</w:t>
      </w:r>
    </w:p>
    <w:p>
      <w:pPr>
        <w:widowControl/>
        <w:numPr>
          <w:ilvl w:val="0"/>
          <w:numId w:val="8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综合布线线槽或桥架的安装位置应与建筑装饰、电气、空调、消防等专业协调一致。</w:t>
      </w:r>
    </w:p>
    <w:p>
      <w:pPr>
        <w:widowControl/>
        <w:numPr>
          <w:ilvl w:val="0"/>
          <w:numId w:val="8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采用封闭式综合布线线槽或桥架时，应预留检修空间</w:t>
      </w:r>
      <w:bookmarkStart w:id="499" w:name="_Toc440288626"/>
      <w:bookmarkStart w:id="500" w:name="_Toc442092523"/>
      <w:bookmarkStart w:id="501" w:name="_Toc420510184"/>
      <w:r>
        <w:rPr>
          <w:rFonts w:hint="eastAsia" w:ascii="仿宋" w:hAnsi="仿宋" w:eastAsia="仿宋" w:cs="Times New Roman"/>
          <w:sz w:val="28"/>
          <w:szCs w:val="28"/>
          <w:lang w:val="zh-CN"/>
        </w:rPr>
        <w:t>。</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r>
        <w:rPr>
          <w:rFonts w:hint="eastAsia" w:ascii="仿宋" w:hAnsi="仿宋" w:eastAsia="仿宋" w:cs="仿宋"/>
          <w:b w:val="0"/>
          <w:bCs w:val="0"/>
          <w:kern w:val="2"/>
          <w:sz w:val="28"/>
          <w:szCs w:val="24"/>
          <w:lang w:val="en-US" w:eastAsia="zh-CN" w:bidi="ar-SA"/>
        </w:rPr>
        <w:t>线路</w:t>
      </w:r>
      <w:bookmarkEnd w:id="499"/>
      <w:bookmarkEnd w:id="500"/>
      <w:bookmarkEnd w:id="501"/>
      <w:r>
        <w:rPr>
          <w:rFonts w:hint="eastAsia" w:ascii="仿宋" w:hAnsi="仿宋" w:eastAsia="仿宋" w:cs="仿宋"/>
          <w:b w:val="0"/>
          <w:bCs w:val="0"/>
          <w:kern w:val="2"/>
          <w:sz w:val="28"/>
          <w:szCs w:val="24"/>
          <w:lang w:val="en-US" w:eastAsia="zh-CN" w:bidi="ar-SA"/>
        </w:rPr>
        <w:t>要求</w:t>
      </w:r>
    </w:p>
    <w:p>
      <w:pPr>
        <w:widowControl/>
        <w:numPr>
          <w:ilvl w:val="0"/>
          <w:numId w:val="8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走线通道安装时应做到安装牢固，横平竖直，沿走线通道水平走向的支吊架左右偏差应不大于l0mm，其高低偏差不大于5mm。</w:t>
      </w:r>
    </w:p>
    <w:p>
      <w:pPr>
        <w:widowControl/>
        <w:numPr>
          <w:ilvl w:val="0"/>
          <w:numId w:val="8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走线通道与其他管道共架安装时，走线通道应布置在管架的一侧。</w:t>
      </w:r>
    </w:p>
    <w:p>
      <w:pPr>
        <w:widowControl/>
        <w:numPr>
          <w:ilvl w:val="0"/>
          <w:numId w:val="8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走线通道内缆线垂直敷设时,在缆线的上端和每间隔1.5 m 处应固定在通道的支架上,水平敷设时, 在缆线的首、尾、转弯及每间隔3～5 m 处进行固定。</w:t>
      </w:r>
    </w:p>
    <w:p>
      <w:pPr>
        <w:widowControl/>
        <w:numPr>
          <w:ilvl w:val="0"/>
          <w:numId w:val="8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布放在电缆桥架上的线缆必须绑扎。绑扎后的线缆应互相靠拢，外观平直整齐，线扣间距均匀，松紧适度。</w:t>
      </w:r>
    </w:p>
    <w:p>
      <w:pPr>
        <w:widowControl/>
        <w:numPr>
          <w:ilvl w:val="0"/>
          <w:numId w:val="8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要求将交、直流电源线和信号线分架走线。</w:t>
      </w:r>
    </w:p>
    <w:p>
      <w:pPr>
        <w:widowControl/>
        <w:numPr>
          <w:ilvl w:val="0"/>
          <w:numId w:val="8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线缆应顺直，不宜交叉。在线缆转弯处应绑扎固定。</w:t>
      </w:r>
    </w:p>
    <w:p>
      <w:pPr>
        <w:widowControl/>
        <w:numPr>
          <w:ilvl w:val="0"/>
          <w:numId w:val="8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线缆在机柜内布放时不宜绷紧，应留有适当余量，绑扎线扣间距均匀，力度适宜，布放顺直、整齐，不应交叉缠绕。</w:t>
      </w:r>
    </w:p>
    <w:p>
      <w:pPr>
        <w:widowControl/>
        <w:numPr>
          <w:ilvl w:val="0"/>
          <w:numId w:val="8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UTP线缆敷设通道填充率不应超过40%，最小弯曲半径安装时不得小于8倍线缆外径及固定时不得小于4倍线缆外径。</w:t>
      </w:r>
    </w:p>
    <w:p>
      <w:pPr>
        <w:widowControl/>
        <w:numPr>
          <w:ilvl w:val="0"/>
          <w:numId w:val="8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缆线布放时应有冗余，在交接箱、设备间对绞电缆预留长度一般为3-6m，工作区为0.3-0.6m；光缆在设备端预留长度一般为5-10m。有特殊要求的应按设计要求预留长度。</w:t>
      </w:r>
    </w:p>
    <w:p>
      <w:pPr>
        <w:widowControl/>
        <w:numPr>
          <w:ilvl w:val="0"/>
          <w:numId w:val="8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综合布线系统的所有线缆在敷设过程中必须一根线缆敷设到位，中间不得有断点</w:t>
      </w:r>
      <w:bookmarkStart w:id="502" w:name="_Toc420510185"/>
      <w:bookmarkStart w:id="503" w:name="_Toc440288627"/>
      <w:bookmarkStart w:id="504" w:name="_Toc442092524"/>
      <w:r>
        <w:rPr>
          <w:rFonts w:hint="eastAsia" w:ascii="仿宋" w:hAnsi="仿宋" w:eastAsia="仿宋" w:cs="Times New Roman"/>
          <w:sz w:val="28"/>
          <w:szCs w:val="28"/>
          <w:lang w:val="zh-CN"/>
        </w:rPr>
        <w:t>。</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r>
        <w:rPr>
          <w:rFonts w:hint="eastAsia" w:ascii="仿宋" w:hAnsi="仿宋" w:eastAsia="仿宋" w:cs="仿宋"/>
          <w:b w:val="0"/>
          <w:bCs w:val="0"/>
          <w:kern w:val="2"/>
          <w:sz w:val="28"/>
          <w:szCs w:val="24"/>
          <w:lang w:val="en-US" w:eastAsia="zh-CN" w:bidi="ar-SA"/>
        </w:rPr>
        <w:t>线缆</w:t>
      </w:r>
      <w:bookmarkEnd w:id="502"/>
      <w:bookmarkEnd w:id="503"/>
      <w:bookmarkEnd w:id="504"/>
      <w:r>
        <w:rPr>
          <w:rFonts w:hint="eastAsia" w:ascii="仿宋" w:hAnsi="仿宋" w:eastAsia="仿宋" w:cs="仿宋"/>
          <w:b w:val="0"/>
          <w:bCs w:val="0"/>
          <w:kern w:val="2"/>
          <w:sz w:val="28"/>
          <w:szCs w:val="24"/>
          <w:lang w:val="en-US" w:eastAsia="zh-CN" w:bidi="ar-SA"/>
        </w:rPr>
        <w:t>端接</w:t>
      </w:r>
    </w:p>
    <w:p>
      <w:pPr>
        <w:widowControl/>
        <w:numPr>
          <w:ilvl w:val="0"/>
          <w:numId w:val="8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线缆应端接到性能级别相一致的连接硬件上。</w:t>
      </w:r>
    </w:p>
    <w:p>
      <w:pPr>
        <w:widowControl/>
        <w:numPr>
          <w:ilvl w:val="0"/>
          <w:numId w:val="8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进入同一机柜或机架内的主干线缆和水平线缆要求端接在不同的配线架上。</w:t>
      </w:r>
    </w:p>
    <w:p>
      <w:pPr>
        <w:widowControl/>
        <w:numPr>
          <w:ilvl w:val="0"/>
          <w:numId w:val="8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在完成双绞线端接时应剥除最少长度的线缆外护套。</w:t>
      </w:r>
    </w:p>
    <w:p>
      <w:pPr>
        <w:widowControl/>
        <w:numPr>
          <w:ilvl w:val="0"/>
          <w:numId w:val="8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正确按照厂商安装指引进行线缆准备、端接、定位和固定。</w:t>
      </w:r>
    </w:p>
    <w:p>
      <w:pPr>
        <w:widowControl/>
        <w:numPr>
          <w:ilvl w:val="0"/>
          <w:numId w:val="8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端接而产生的线对开绞距离不能超过13mm。</w:t>
      </w:r>
    </w:p>
    <w:p>
      <w:pPr>
        <w:widowControl/>
        <w:numPr>
          <w:ilvl w:val="0"/>
          <w:numId w:val="8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机柜内UTP 固定应规范捆扎，并保证其最小弯曲半径</w:t>
      </w:r>
      <w:bookmarkStart w:id="505" w:name="_Toc420510186"/>
      <w:bookmarkStart w:id="506" w:name="_Toc440288628"/>
      <w:bookmarkStart w:id="507" w:name="_Toc442092525"/>
      <w:r>
        <w:rPr>
          <w:rFonts w:hint="eastAsia" w:ascii="仿宋" w:hAnsi="仿宋" w:eastAsia="仿宋" w:cs="Times New Roman"/>
          <w:sz w:val="28"/>
          <w:szCs w:val="28"/>
          <w:lang w:val="zh-CN"/>
        </w:rPr>
        <w:t>。</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r>
        <w:rPr>
          <w:rFonts w:hint="eastAsia" w:ascii="仿宋" w:hAnsi="仿宋" w:eastAsia="仿宋" w:cs="仿宋"/>
          <w:b w:val="0"/>
          <w:bCs w:val="0"/>
          <w:kern w:val="2"/>
          <w:sz w:val="28"/>
          <w:szCs w:val="24"/>
          <w:lang w:val="en-US" w:eastAsia="zh-CN" w:bidi="ar-SA"/>
        </w:rPr>
        <w:t>各类接线模块安装</w:t>
      </w:r>
      <w:bookmarkEnd w:id="505"/>
      <w:bookmarkEnd w:id="506"/>
      <w:bookmarkEnd w:id="507"/>
      <w:r>
        <w:rPr>
          <w:rFonts w:hint="eastAsia" w:ascii="仿宋" w:hAnsi="仿宋" w:eastAsia="仿宋" w:cs="仿宋"/>
          <w:b w:val="0"/>
          <w:bCs w:val="0"/>
          <w:kern w:val="2"/>
          <w:sz w:val="28"/>
          <w:szCs w:val="24"/>
          <w:lang w:val="en-US" w:eastAsia="zh-CN" w:bidi="ar-SA"/>
        </w:rPr>
        <w:t>要求</w:t>
      </w:r>
    </w:p>
    <w:p>
      <w:pPr>
        <w:widowControl/>
        <w:numPr>
          <w:ilvl w:val="0"/>
          <w:numId w:val="8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模块设备应完整、安装就位、标志齐全。</w:t>
      </w:r>
    </w:p>
    <w:p>
      <w:pPr>
        <w:widowControl/>
        <w:numPr>
          <w:ilvl w:val="0"/>
          <w:numId w:val="8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安装螺丝必须拧紧，面板应保持在一个水平面上</w:t>
      </w:r>
      <w:bookmarkStart w:id="508" w:name="_Toc420510187"/>
      <w:bookmarkStart w:id="509" w:name="_Toc442092526"/>
      <w:bookmarkStart w:id="510" w:name="_Toc440288629"/>
      <w:r>
        <w:rPr>
          <w:rFonts w:hint="eastAsia" w:ascii="仿宋" w:hAnsi="仿宋" w:eastAsia="仿宋" w:cs="Times New Roman"/>
          <w:sz w:val="28"/>
          <w:szCs w:val="28"/>
          <w:lang w:val="zh-CN"/>
        </w:rPr>
        <w:t>。</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r>
        <w:rPr>
          <w:rFonts w:hint="eastAsia" w:ascii="仿宋" w:hAnsi="仿宋" w:eastAsia="仿宋" w:cs="仿宋"/>
          <w:b w:val="0"/>
          <w:bCs w:val="0"/>
          <w:kern w:val="2"/>
          <w:sz w:val="28"/>
          <w:szCs w:val="24"/>
          <w:lang w:val="en-US" w:eastAsia="zh-CN" w:bidi="ar-SA"/>
        </w:rPr>
        <w:t>信息插座安装</w:t>
      </w:r>
      <w:bookmarkEnd w:id="508"/>
      <w:bookmarkEnd w:id="509"/>
      <w:bookmarkEnd w:id="510"/>
      <w:r>
        <w:rPr>
          <w:rFonts w:hint="eastAsia" w:ascii="仿宋" w:hAnsi="仿宋" w:eastAsia="仿宋" w:cs="仿宋"/>
          <w:b w:val="0"/>
          <w:bCs w:val="0"/>
          <w:kern w:val="2"/>
          <w:sz w:val="28"/>
          <w:szCs w:val="24"/>
          <w:lang w:val="en-US" w:eastAsia="zh-CN" w:bidi="ar-SA"/>
        </w:rPr>
        <w:t>要求</w:t>
      </w:r>
    </w:p>
    <w:p>
      <w:pPr>
        <w:widowControl/>
        <w:numPr>
          <w:ilvl w:val="0"/>
          <w:numId w:val="8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安装在活动地板和地面上，应固定在接线盒内，插座面板有直立和水平等形式；接线盒盖可开启，并应严密防水、防尘。接线盒盖面应与地面齐平。</w:t>
      </w:r>
    </w:p>
    <w:p>
      <w:pPr>
        <w:widowControl/>
        <w:numPr>
          <w:ilvl w:val="0"/>
          <w:numId w:val="8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安装在墙体上，宜高出地面300mm，如地面采用活动地板时，应加上活动地板内净高尺寸。</w:t>
      </w:r>
    </w:p>
    <w:p>
      <w:pPr>
        <w:widowControl/>
        <w:numPr>
          <w:ilvl w:val="0"/>
          <w:numId w:val="8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信息插座底座的固定方法以施工现场条件而定，宜采用扩张螺钉、射钉等形式。</w:t>
      </w:r>
    </w:p>
    <w:p>
      <w:pPr>
        <w:widowControl/>
        <w:numPr>
          <w:ilvl w:val="0"/>
          <w:numId w:val="8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固定螺丝需拧紧，不应产生松动现象。</w:t>
      </w:r>
    </w:p>
    <w:p>
      <w:pPr>
        <w:widowControl/>
        <w:numPr>
          <w:ilvl w:val="0"/>
          <w:numId w:val="8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信息插座应有标签、以颜色、图形、文字表示所接终端设备类型。</w:t>
      </w:r>
    </w:p>
    <w:p>
      <w:pPr>
        <w:widowControl/>
        <w:numPr>
          <w:ilvl w:val="0"/>
          <w:numId w:val="8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安装位置应符合设计要求</w:t>
      </w:r>
      <w:bookmarkStart w:id="511" w:name="_Toc442092527"/>
      <w:bookmarkStart w:id="512" w:name="_Toc440288630"/>
      <w:bookmarkStart w:id="513" w:name="_Toc420510188"/>
      <w:r>
        <w:rPr>
          <w:rFonts w:hint="eastAsia" w:ascii="仿宋" w:hAnsi="仿宋" w:eastAsia="仿宋" w:cs="Times New Roman"/>
          <w:sz w:val="28"/>
          <w:szCs w:val="28"/>
          <w:lang w:val="zh-CN"/>
        </w:rPr>
        <w:t>。</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4"/>
          <w:lang w:val="en-US" w:eastAsia="zh-CN" w:bidi="ar-SA"/>
        </w:rPr>
      </w:pPr>
      <w:r>
        <w:rPr>
          <w:rFonts w:hint="eastAsia" w:ascii="仿宋" w:hAnsi="仿宋" w:eastAsia="仿宋" w:cs="仿宋"/>
          <w:b w:val="0"/>
          <w:bCs w:val="0"/>
          <w:kern w:val="2"/>
          <w:sz w:val="28"/>
          <w:szCs w:val="24"/>
          <w:lang w:val="en-US" w:eastAsia="zh-CN" w:bidi="ar-SA"/>
        </w:rPr>
        <w:t>标签</w:t>
      </w:r>
      <w:bookmarkEnd w:id="511"/>
      <w:bookmarkEnd w:id="512"/>
      <w:bookmarkEnd w:id="513"/>
      <w:r>
        <w:rPr>
          <w:rFonts w:hint="eastAsia" w:ascii="仿宋" w:hAnsi="仿宋" w:eastAsia="仿宋" w:cs="仿宋"/>
          <w:b w:val="0"/>
          <w:bCs w:val="0"/>
          <w:kern w:val="2"/>
          <w:sz w:val="28"/>
          <w:szCs w:val="24"/>
          <w:lang w:val="en-US" w:eastAsia="zh-CN" w:bidi="ar-SA"/>
        </w:rPr>
        <w:t>要求</w:t>
      </w:r>
    </w:p>
    <w:p>
      <w:pPr>
        <w:widowControl/>
        <w:numPr>
          <w:ilvl w:val="0"/>
          <w:numId w:val="8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所有机柜内各配线架的摆放及线缆的走向必须合理，接插件、模块及跳线的标志齐全，线缆终端必须有编号和标签，以标明线号、线位、区号和机柜号。</w:t>
      </w:r>
    </w:p>
    <w:p>
      <w:pPr>
        <w:widowControl/>
        <w:numPr>
          <w:ilvl w:val="0"/>
          <w:numId w:val="8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光缆按一定距离处悬挂标明起点、终点、作用的标识牌。</w:t>
      </w:r>
    </w:p>
    <w:p>
      <w:pPr>
        <w:widowControl/>
        <w:numPr>
          <w:ilvl w:val="0"/>
          <w:numId w:val="8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机柜内的悬挂标识牌，数据跳线应标明起点、终点；语音点标明序号。</w:t>
      </w:r>
    </w:p>
    <w:p>
      <w:pPr>
        <w:widowControl/>
        <w:numPr>
          <w:ilvl w:val="0"/>
          <w:numId w:val="8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机柜门上粘贴有用塑封片封装的图纸，标识柜内的设备及线路走向等信息。</w:t>
      </w:r>
    </w:p>
    <w:p>
      <w:pPr>
        <w:widowControl/>
        <w:numPr>
          <w:ilvl w:val="0"/>
          <w:numId w:val="8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缆线在布放前两端应贴有不易损坏的标签，以表明起始和终端位置，标签书写应清晰、正确</w:t>
      </w:r>
      <w:bookmarkEnd w:id="461"/>
      <w:bookmarkEnd w:id="462"/>
      <w:bookmarkEnd w:id="463"/>
      <w:bookmarkEnd w:id="464"/>
      <w:bookmarkEnd w:id="465"/>
      <w:bookmarkStart w:id="514" w:name="_Toc416794078"/>
      <w:bookmarkEnd w:id="514"/>
      <w:bookmarkStart w:id="515" w:name="_Toc416794077"/>
      <w:bookmarkEnd w:id="515"/>
      <w:r>
        <w:rPr>
          <w:rFonts w:hint="eastAsia" w:ascii="仿宋" w:hAnsi="仿宋" w:eastAsia="仿宋" w:cs="Times New Roman"/>
          <w:sz w:val="28"/>
          <w:szCs w:val="28"/>
          <w:lang w:val="zh-CN"/>
        </w:rPr>
        <w:t>。</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冷通道封闭</w:t>
      </w:r>
    </w:p>
    <w:p>
      <w:pPr>
        <w:widowControl/>
        <w:numPr>
          <w:ilvl w:val="0"/>
          <w:numId w:val="9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机房模块作冷通道封闭处理，冷通道封闭时应考虑机柜高度不同，机柜列长度不同时的封闭措施。</w:t>
      </w:r>
    </w:p>
    <w:p>
      <w:pPr>
        <w:widowControl/>
        <w:numPr>
          <w:ilvl w:val="0"/>
          <w:numId w:val="9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机柜上方所安装的相关设备不能影响消防的动作及布置。</w:t>
      </w:r>
    </w:p>
    <w:p>
      <w:pPr>
        <w:widowControl/>
        <w:numPr>
          <w:ilvl w:val="0"/>
          <w:numId w:val="9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机柜冷通道的封闭门为平移或推拉形式，需包含所有相关主构件、配件。所有钣金件的颜色应与柜体颜色相同，整体印象为美观、通透、便捷。</w:t>
      </w:r>
    </w:p>
    <w:p>
      <w:pPr>
        <w:widowControl/>
        <w:spacing w:after="120" w:afterLines="0" w:line="560" w:lineRule="exact"/>
        <w:ind w:left="0"/>
        <w:jc w:val="left"/>
        <w:rPr>
          <w:rFonts w:hint="eastAsia" w:ascii="仿宋" w:hAnsi="仿宋" w:eastAsia="仿宋" w:cs="仿宋"/>
          <w:kern w:val="0"/>
          <w:sz w:val="28"/>
          <w:szCs w:val="28"/>
          <w:lang w:val="en-US" w:eastAsia="zh-CN" w:bidi="ar-SA"/>
        </w:rPr>
      </w:pPr>
      <w:r>
        <w:rPr>
          <w:rFonts w:hint="eastAsia" w:ascii="仿宋" w:hAnsi="仿宋" w:eastAsia="仿宋" w:cs="Times New Roman"/>
          <w:b/>
          <w:bCs/>
          <w:kern w:val="0"/>
          <w:sz w:val="28"/>
          <w:szCs w:val="28"/>
          <w:lang w:val="en-US" w:eastAsia="zh-CN" w:bidi="ar-SA"/>
        </w:rPr>
        <w:t>注：</w:t>
      </w:r>
      <w:r>
        <w:rPr>
          <w:rFonts w:hint="eastAsia" w:ascii="仿宋" w:hAnsi="仿宋" w:eastAsia="仿宋" w:cs="Times New Roman"/>
          <w:kern w:val="0"/>
          <w:sz w:val="28"/>
          <w:szCs w:val="28"/>
          <w:lang w:val="en-US" w:eastAsia="zh-CN" w:bidi="ar-SA"/>
        </w:rPr>
        <w:t>上述</w:t>
      </w:r>
      <w:r>
        <w:rPr>
          <w:rFonts w:hint="eastAsia" w:ascii="仿宋" w:hAnsi="仿宋" w:eastAsia="仿宋" w:cs="仿宋"/>
          <w:kern w:val="0"/>
          <w:sz w:val="28"/>
          <w:szCs w:val="28"/>
          <w:lang w:val="en-US" w:eastAsia="zh-CN" w:bidi="ar-SA"/>
        </w:rPr>
        <w:t>如存在未提及的内容，但结合本项目是实际需要的，均应包含在本次设计和施工一体化的范围内。</w:t>
      </w: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516" w:name="_Toc26834"/>
      <w:r>
        <w:rPr>
          <w:rFonts w:hint="eastAsia" w:ascii="仿宋" w:hAnsi="仿宋" w:eastAsia="仿宋" w:cs="仿宋"/>
          <w:b/>
          <w:bCs/>
          <w:kern w:val="2"/>
          <w:sz w:val="28"/>
          <w:szCs w:val="28"/>
          <w:lang w:val="en-US" w:eastAsia="zh-CN" w:bidi="ar-SA"/>
        </w:rPr>
        <w:t>消防系统</w:t>
      </w:r>
      <w:bookmarkEnd w:id="516"/>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517" w:name="_Toc13454"/>
      <w:r>
        <w:rPr>
          <w:rFonts w:hint="eastAsia" w:ascii="楷体" w:hAnsi="楷体" w:eastAsia="仿宋" w:cs="Times New Roman"/>
          <w:b/>
          <w:kern w:val="2"/>
          <w:sz w:val="28"/>
          <w:lang w:val="en-US" w:eastAsia="zh-CN" w:bidi="ar-SA"/>
        </w:rPr>
        <w:t>消防分区</w:t>
      </w:r>
      <w:bookmarkEnd w:id="517"/>
    </w:p>
    <w:p>
      <w:pPr>
        <w:widowControl/>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应根据平面的规划及模块分布情况，结合各个功能间采用的灭火形式进行消防分区划分。</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518" w:name="_Toc22723"/>
      <w:r>
        <w:rPr>
          <w:rFonts w:hint="eastAsia" w:ascii="楷体" w:hAnsi="楷体" w:eastAsia="仿宋" w:cs="Times New Roman"/>
          <w:b/>
          <w:kern w:val="2"/>
          <w:sz w:val="28"/>
          <w:lang w:val="en-US" w:eastAsia="zh-CN" w:bidi="ar-SA"/>
        </w:rPr>
        <w:t>消防设施</w:t>
      </w:r>
      <w:bookmarkEnd w:id="518"/>
    </w:p>
    <w:p>
      <w:pPr>
        <w:widowControl/>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机房采用FM200有管网气体自动灭火系统。</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保护级别</w:t>
      </w:r>
    </w:p>
    <w:p>
      <w:pPr>
        <w:widowControl/>
        <w:tabs>
          <w:tab w:val="left" w:pos="0"/>
        </w:tabs>
        <w:spacing w:line="560" w:lineRule="exact"/>
        <w:ind w:firstLine="420" w:firstLineChars="15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本项目属一级火灾保护对象，根据规范要求，设置火灾自动报警及联动控制系统，采用总体保护方式及控制中心报警系统。</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消防控制中心</w:t>
      </w:r>
    </w:p>
    <w:p>
      <w:pPr>
        <w:widowControl/>
        <w:spacing w:line="560" w:lineRule="exact"/>
        <w:ind w:firstLine="420" w:firstLineChars="15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所有关的控制系统连接至监控中心，并与大楼消防报警系统联网，实现大楼消防系统的统一、联动管理。</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点式感烟及感温探测器的设置</w:t>
      </w:r>
    </w:p>
    <w:p>
      <w:pPr>
        <w:widowControl/>
        <w:numPr>
          <w:ilvl w:val="0"/>
          <w:numId w:val="9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机房层设置点式智能感烟探测器，有可靠联动要求或分步动作的场所同时设置感烟及感温探测器。</w:t>
      </w:r>
    </w:p>
    <w:p>
      <w:pPr>
        <w:widowControl/>
        <w:numPr>
          <w:ilvl w:val="0"/>
          <w:numId w:val="9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手动火灾报警装置的设置：应按有关规范设置手动报警按钮。</w:t>
      </w:r>
    </w:p>
    <w:p>
      <w:pPr>
        <w:widowControl/>
        <w:numPr>
          <w:ilvl w:val="0"/>
          <w:numId w:val="9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相关专业的火灾自动报警装置：其它专业的消防专用装置，例如水流指示器、防火阀、排烟阀等通过消防专用输入输出模块给自动消防系统报警及接收联动控制信号。</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联动控制</w:t>
      </w:r>
    </w:p>
    <w:p>
      <w:pPr>
        <w:widowControl/>
        <w:numPr>
          <w:ilvl w:val="0"/>
          <w:numId w:val="9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灭火系统控制：</w:t>
      </w:r>
    </w:p>
    <w:p>
      <w:pPr>
        <w:widowControl/>
        <w:spacing w:line="560" w:lineRule="exact"/>
        <w:rPr>
          <w:rFonts w:hint="eastAsia" w:ascii="仿宋" w:hAnsi="仿宋" w:eastAsia="仿宋" w:cs="仿宋"/>
          <w:sz w:val="28"/>
          <w:szCs w:val="28"/>
        </w:rPr>
      </w:pPr>
      <w:r>
        <w:rPr>
          <w:rFonts w:hint="eastAsia" w:ascii="仿宋" w:hAnsi="仿宋" w:eastAsia="仿宋" w:cs="仿宋"/>
          <w:sz w:val="28"/>
          <w:szCs w:val="28"/>
        </w:rPr>
        <w:t xml:space="preserve">   1）控制要求：设有自动控制、电气手动控制，机械应急手动操作三种控制方式。三种控制方式都应参照有关规范设置。</w:t>
      </w:r>
    </w:p>
    <w:p>
      <w:pPr>
        <w:widowControl/>
        <w:spacing w:line="560" w:lineRule="exact"/>
        <w:rPr>
          <w:rFonts w:hint="eastAsia" w:ascii="仿宋" w:hAnsi="仿宋" w:eastAsia="仿宋" w:cs="仿宋"/>
          <w:sz w:val="28"/>
          <w:szCs w:val="28"/>
        </w:rPr>
      </w:pPr>
      <w:r>
        <w:rPr>
          <w:rFonts w:hint="eastAsia" w:ascii="仿宋" w:hAnsi="仿宋" w:eastAsia="仿宋" w:cs="仿宋"/>
          <w:sz w:val="28"/>
          <w:szCs w:val="28"/>
        </w:rPr>
        <w:t xml:space="preserve">   2）在气体灭火喷射前，切断防护区内一切与消防电源无关的设备。灭火后再启动灾后排气系统。</w:t>
      </w:r>
    </w:p>
    <w:p>
      <w:pPr>
        <w:widowControl/>
        <w:spacing w:line="560" w:lineRule="exact"/>
        <w:rPr>
          <w:rFonts w:hint="eastAsia" w:ascii="仿宋" w:hAnsi="仿宋" w:eastAsia="仿宋" w:cs="仿宋"/>
          <w:sz w:val="28"/>
          <w:szCs w:val="28"/>
        </w:rPr>
      </w:pPr>
      <w:r>
        <w:rPr>
          <w:rFonts w:hint="eastAsia" w:ascii="仿宋" w:hAnsi="仿宋" w:eastAsia="仿宋" w:cs="仿宋"/>
          <w:sz w:val="28"/>
          <w:szCs w:val="28"/>
        </w:rPr>
        <w:t xml:space="preserve">   3）消防控制室能显示灭火系统防护区的报警、喷射及通风空调等设备的状态，同时也能接收每个防护区的灭火系统控制盘送出的系统故障信号。气体灭火控制盘通过报警联动总线与消防控制室内的火灾报警控制器连接。</w:t>
      </w:r>
    </w:p>
    <w:p>
      <w:pPr>
        <w:widowControl/>
        <w:spacing w:line="560" w:lineRule="exact"/>
        <w:rPr>
          <w:rFonts w:hint="eastAsia" w:ascii="仿宋" w:hAnsi="仿宋" w:eastAsia="仿宋" w:cs="仿宋"/>
          <w:sz w:val="28"/>
          <w:szCs w:val="28"/>
        </w:rPr>
      </w:pPr>
      <w:r>
        <w:rPr>
          <w:rFonts w:hint="eastAsia" w:ascii="仿宋" w:hAnsi="仿宋" w:eastAsia="仿宋" w:cs="仿宋"/>
          <w:sz w:val="28"/>
          <w:szCs w:val="28"/>
        </w:rPr>
        <w:t xml:space="preserve">   4）火灾确认后，自动切除非消防电源，本栋楼需要切除的非消防电源主要由普通照明用电、精密空调用电、新/排风机电源。应自动强启接通相关楼层及区域的应急灯具及疏散导流指示灯，并向有关楼层及区域发出火灾警报及消防疏散广播。火灾声光报警器与火灾广播应采用分时播放控制：先鸣警报8~16s；间隔2~3s后播放应急广播20~40s；再间隔2~3s依次循环进行直至疏散结束。</w:t>
      </w:r>
    </w:p>
    <w:p>
      <w:pPr>
        <w:widowControl/>
        <w:numPr>
          <w:ilvl w:val="0"/>
          <w:numId w:val="9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门禁系统中门禁控制器通过联动控制模块分别接入火灾报警总线，消防控制室在确认火灾后应能解除所有疏散通道上的门禁控制功能，以便疏散并反馈信号到消防控制室。</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519" w:name="_Toc28242"/>
      <w:r>
        <w:rPr>
          <w:rFonts w:hint="eastAsia" w:ascii="楷体" w:hAnsi="楷体" w:eastAsia="仿宋" w:cs="Times New Roman"/>
          <w:b/>
          <w:kern w:val="2"/>
          <w:sz w:val="28"/>
          <w:lang w:val="en-US" w:eastAsia="zh-CN" w:bidi="ar-SA"/>
        </w:rPr>
        <w:t>火灾应急广播系统</w:t>
      </w:r>
      <w:bookmarkEnd w:id="519"/>
    </w:p>
    <w:p>
      <w:pPr>
        <w:widowControl/>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火灾应急广播系统参照相关规范配合最新机房布局进行调整，应与大楼消防总控中心进行同步信息切换。</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520" w:name="_Toc7628"/>
      <w:bookmarkStart w:id="521" w:name="_Toc262678018"/>
      <w:bookmarkStart w:id="522" w:name="_Toc27476"/>
      <w:bookmarkStart w:id="523" w:name="_Toc30620"/>
      <w:bookmarkStart w:id="524" w:name="_Toc25250"/>
      <w:bookmarkStart w:id="525" w:name="_Toc262680226"/>
      <w:bookmarkStart w:id="526" w:name="_Toc262678226"/>
      <w:bookmarkStart w:id="527" w:name="_Toc2956"/>
      <w:bookmarkStart w:id="528" w:name="_Toc32350"/>
      <w:bookmarkStart w:id="529" w:name="_Toc20322"/>
      <w:bookmarkStart w:id="530" w:name="_Toc28643"/>
      <w:r>
        <w:rPr>
          <w:rFonts w:hint="eastAsia" w:ascii="楷体" w:hAnsi="楷体" w:eastAsia="仿宋" w:cs="Times New Roman"/>
          <w:b/>
          <w:kern w:val="2"/>
          <w:sz w:val="28"/>
          <w:lang w:val="en-US" w:eastAsia="zh-CN" w:bidi="ar-SA"/>
        </w:rPr>
        <w:t>极早期烟雾探测报警系统</w:t>
      </w:r>
      <w:bookmarkEnd w:id="520"/>
    </w:p>
    <w:p>
      <w:pPr>
        <w:widowControl/>
        <w:numPr>
          <w:ilvl w:val="0"/>
          <w:numId w:val="9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为提前1h发现和处理机房的火情，实现火灾的早期预报警，避免酿成火灾，应加装吸气式感烟火灾探测报警系统，以提高机房安全等级。</w:t>
      </w:r>
    </w:p>
    <w:p>
      <w:pPr>
        <w:widowControl/>
        <w:numPr>
          <w:ilvl w:val="0"/>
          <w:numId w:val="9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机房大量的气流会稀释烟雾，并使普通烟、温感探测器更迟才感知，而吸气式探测报警系统高敏感度的激光元件，能在早期探测出机房空气中更微弱的烟雾和其它微粒。</w:t>
      </w:r>
    </w:p>
    <w:bookmarkEnd w:id="521"/>
    <w:bookmarkEnd w:id="522"/>
    <w:bookmarkEnd w:id="523"/>
    <w:bookmarkEnd w:id="524"/>
    <w:bookmarkEnd w:id="525"/>
    <w:bookmarkEnd w:id="526"/>
    <w:bookmarkEnd w:id="527"/>
    <w:bookmarkEnd w:id="528"/>
    <w:bookmarkEnd w:id="529"/>
    <w:bookmarkEnd w:id="530"/>
    <w:p>
      <w:pPr>
        <w:widowControl/>
        <w:numPr>
          <w:ilvl w:val="0"/>
          <w:numId w:val="9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极早期烟雾报警系统是由空气采样管网、探测3层、监控软件显示平台组成，通过分布在探测区域的采样管网上的采样孔，将空气样品抽吸到探测主机模块内进行分析，监控软件显示平台显示出所保护区域的烟雾浓度和报警，并且提供报警信号接入消防监控主机。</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bookmarkStart w:id="531" w:name="_Toc318900736"/>
      <w:bookmarkStart w:id="532" w:name="_Toc297808864"/>
      <w:bookmarkStart w:id="533" w:name="_Toc302315588"/>
      <w:r>
        <w:rPr>
          <w:rFonts w:hint="eastAsia" w:ascii="仿宋" w:hAnsi="仿宋" w:eastAsia="仿宋" w:cs="仿宋"/>
          <w:b/>
          <w:kern w:val="2"/>
          <w:sz w:val="28"/>
          <w:szCs w:val="28"/>
          <w:lang w:val="en-US" w:eastAsia="zh-CN" w:bidi="ar-SA"/>
        </w:rPr>
        <w:t xml:space="preserve"> 防护范围</w:t>
      </w:r>
      <w:bookmarkEnd w:id="531"/>
    </w:p>
    <w:p>
      <w:pPr>
        <w:widowControl/>
        <w:numPr>
          <w:ilvl w:val="0"/>
          <w:numId w:val="9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极早期烟雾报警系统防护范围为机房及所有相关的辅助设施安装区域，主要是对3层进行空气采样探测分析。</w:t>
      </w:r>
    </w:p>
    <w:p>
      <w:pPr>
        <w:widowControl/>
        <w:numPr>
          <w:ilvl w:val="0"/>
          <w:numId w:val="9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本工程在数据机房等房间内设置空气采样早期烟雾探测系统，系统作为早期预警使用，报警信号不作为火警联动控制触发信号。</w:t>
      </w:r>
    </w:p>
    <w:p>
      <w:pPr>
        <w:widowControl/>
        <w:numPr>
          <w:ilvl w:val="0"/>
          <w:numId w:val="9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极早期空气采样探测报警系统采用主动吸气方式，通过预先布置好的采样孔和采样管道抽取保护区内的空气，将空气样本进行采样分析，分析结果经处理后转换为颗粒浓度以及设定的报警阀值，产生一个适宜的输出信号，并在符合条件的时候发出报警信号。</w:t>
      </w:r>
    </w:p>
    <w:p>
      <w:pPr>
        <w:widowControl/>
        <w:numPr>
          <w:ilvl w:val="0"/>
          <w:numId w:val="9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该系统可测量可燃物质在空气中的微小浓度，以及可燃物在空气中的挥发物和漂浮物的微小浓度，探测灵敏度高，可以在可燃物燃烧前的缓慢氧化阶段发现火情，达到极早期火灾自动探测的目的。</w:t>
      </w:r>
    </w:p>
    <w:p>
      <w:pPr>
        <w:widowControl/>
        <w:numPr>
          <w:ilvl w:val="0"/>
          <w:numId w:val="9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空气采样探测器设于现场，探测器通过网络线连入网络管理主机。</w:t>
      </w:r>
    </w:p>
    <w:p>
      <w:pPr>
        <w:widowControl/>
        <w:numPr>
          <w:ilvl w:val="0"/>
          <w:numId w:val="9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气体采样管采用∅25阻燃PVC管，要求气体采样管分2层（架空地板下，架空地板上）设置，无吊顶区域采样管梁下敷设，采用梁下手杖式采样。有吊顶区域采样管在吊顶内吊装，专用采样头安装于天花面下。架空地板下采样管沿地板敷设，直接在采样管上开采样点。 </w:t>
      </w:r>
    </w:p>
    <w:p>
      <w:pPr>
        <w:widowControl/>
        <w:numPr>
          <w:ilvl w:val="0"/>
          <w:numId w:val="9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空气采样早期烟雾探测系统的探测管路在主机房布置时应考虑冷热通道的影响。地板下安装时采样管应安装在冷通道内，顶板下安装时应安装在热通道上方。</w:t>
      </w:r>
    </w:p>
    <w:p>
      <w:pPr>
        <w:widowControl/>
        <w:numPr>
          <w:ilvl w:val="0"/>
          <w:numId w:val="9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空气采样早期烟雾探测系统应由中标方根据现场情况进行安装（如：采样孔的开孔位置、采样孔开孔尺寸、采样管敷设位置等）。</w:t>
      </w:r>
    </w:p>
    <w:p>
      <w:pPr>
        <w:widowControl/>
        <w:numPr>
          <w:ilvl w:val="0"/>
          <w:numId w:val="9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安装大样图纸参考国家标准图集《空气采样早期烟雾探测系统》03X502。 </w:t>
      </w:r>
    </w:p>
    <w:p>
      <w:pPr>
        <w:widowControl/>
        <w:numPr>
          <w:ilvl w:val="0"/>
          <w:numId w:val="9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早期烟雾报警系统应在专业人员指导下施工，特别是PVC管开孔的孔径大小、数量等，需要专业人员根据现场实际情况，利用专业软件进行计算方可实施。</w:t>
      </w:r>
    </w:p>
    <w:p>
      <w:pPr>
        <w:widowControl/>
        <w:numPr>
          <w:ilvl w:val="0"/>
          <w:numId w:val="9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采样孔现场设计开孔位置后，由中标方进行一次性冲孔处理，采样管内部平滑、干净，不能有毛刺和人工二次开孔。</w:t>
      </w:r>
    </w:p>
    <w:p>
      <w:pPr>
        <w:widowControl/>
        <w:numPr>
          <w:ilvl w:val="0"/>
          <w:numId w:val="9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系统预留多种对外接口，能向上级集中监控平台提供监控软件的所有监控数据及报警信息，实现与其他子系统的集成（一次集成），并且须提供对接时的技术支持。</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534" w:name="_Toc25651127"/>
      <w:r>
        <w:rPr>
          <w:rFonts w:hint="eastAsia" w:ascii="仿宋" w:hAnsi="仿宋" w:eastAsia="仿宋" w:cs="仿宋"/>
          <w:b/>
          <w:kern w:val="2"/>
          <w:sz w:val="28"/>
          <w:szCs w:val="28"/>
          <w:lang w:val="en-US" w:eastAsia="zh-CN" w:bidi="ar-SA"/>
        </w:rPr>
        <w:t>系统设计</w:t>
      </w:r>
      <w:r>
        <w:rPr>
          <w:rFonts w:hint="eastAsia" w:ascii="仿宋" w:hAnsi="仿宋" w:eastAsia="仿宋" w:cs="Times New Roman"/>
          <w:b/>
          <w:bCs/>
          <w:kern w:val="2"/>
          <w:sz w:val="28"/>
          <w:szCs w:val="28"/>
          <w:lang w:val="en-US" w:eastAsia="zh-CN" w:bidi="ar-SA"/>
        </w:rPr>
        <w:t>及功能性要求</w:t>
      </w:r>
      <w:bookmarkEnd w:id="534"/>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极早期烟雾报警系统采用RS485或TCP/IP网络接入监控软件显示平台。</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要求系统具备安全性、可靠性、避免误报警，确保系统可以365天*24H稳定地不停机连续运转。</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要求整套系统具备先进的管理功能、良好界面，确保系统的开放性、可扩展性、可维护性。</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要求应采用先进及稳定的激光光源作为探测器光源。</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要求探测腔宜具有自动气体清洗的功能，空气样品通过两级过滤提供超洁净的空气吹洗探测腔内的光学元件，以避免探测腔被污染，以延长产品的使用寿命，以及减少招标人的维护成本和提高效率。</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要求具备火灾发生时对微小烟雾的探测能力，能够在火灾产生初期发出报警。</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要求针对现场不同烟雾浓度的报警级别，在现场烟雾达到预先设置的报警级别时，发出相应的声光警报。报警级别不小于4级，报警灵敏度的设置范围0.001%-20%OBS/m。</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要求系统提供保护区现场的烟雾浓度数据，以避免漏报和方便核查火灾发展过程。</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要求设备有能够有效避免灰尘引起探测器误报和造成探测器污染的空气过滤装置，且该过滤器可清洗，可重复使用。</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要求每个探测器采样管在软件中有地址报出功能。</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要求可以为上层监控网络提供标准通讯接口和无条件通讯协议。</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要求实时探测和采集现场各保护区内的火警信息，并自动检测系统运行状况。</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要求系统定时全面检查整个系统的运行状况以及线路情况，发现有故障时，实时发出故障告警。</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要求告警发生后，值班人员可进行确认。</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要求高级用户通过口令后可以在现场对系统进行编程配置，包括配置报警阈值，报警延时等参数。</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要求系统详细记录所有的告警事件、控制操作及其发生时间和其他信息，可供以后查询，每台设备主机至少存储10000条记录。</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要求有集中监控接入功能： </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 xml:space="preserve">能够提供各种传输条件下的组网监控功能。并包括利用通讯网络及计算机网络条件下的组网监控。 </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要求ECC监控中心能够实施全部远端站点的实时监控，并可以对各类报警、故障、操作等信息实施管理。</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能够对报警点以图形方式显示，在图中明确显示报警地点、报警位置、报警级别等信息。</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有完善的报警处理功能，包括对管理人员提供各种提示，并在无人职守的情况下，实现报警转发等功能。</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要求与传统报警控制器的连接：可以通过继电器接口提供的开关量信号由传统报警控制器的监视模块监视，实现空气采样系统与传统报警控制器的连接。</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要求为进一步的系统扩容，系统具备和传统点式报警系统进行协议连接的能力。</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选用的设备能够有效避免灰尘引起探测器误报和造成探测器污染的空气过滤装置,而且设备本身有对该过滤装置的有效性进行可靠监视的功能，且配备标准通信接口，保证相关监控数据应能够实时传输至ECC监控中心统一管理。</w:t>
      </w:r>
    </w:p>
    <w:p>
      <w:pPr>
        <w:widowControl/>
        <w:numPr>
          <w:ilvl w:val="0"/>
          <w:numId w:val="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要求产品具备国内CCC。</w:t>
      </w:r>
    </w:p>
    <w:p>
      <w:pPr>
        <w:widowControl/>
        <w:numPr>
          <w:ilvl w:val="0"/>
          <w:numId w:val="95"/>
        </w:numPr>
        <w:spacing w:line="560" w:lineRule="exact"/>
        <w:ind w:left="0" w:firstLine="0"/>
        <w:rPr>
          <w:rFonts w:hint="eastAsia" w:ascii="仿宋" w:hAnsi="仿宋" w:eastAsia="仿宋" w:cs="Times New Roman"/>
          <w:bCs/>
          <w:sz w:val="28"/>
          <w:szCs w:val="28"/>
        </w:rPr>
      </w:pPr>
      <w:r>
        <w:rPr>
          <w:rFonts w:hint="eastAsia" w:ascii="仿宋" w:hAnsi="仿宋" w:eastAsia="仿宋" w:cs="Times New Roman"/>
          <w:sz w:val="28"/>
          <w:szCs w:val="28"/>
          <w:lang w:val="zh-CN"/>
        </w:rPr>
        <w:t>具备通过国家电子消防产品检测中心的检测相关文件。</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535" w:name="_Toc25651128"/>
      <w:r>
        <w:rPr>
          <w:rFonts w:hint="eastAsia" w:ascii="仿宋" w:hAnsi="仿宋" w:eastAsia="仿宋" w:cs="Times New Roman"/>
          <w:b/>
          <w:bCs/>
          <w:kern w:val="2"/>
          <w:sz w:val="28"/>
          <w:szCs w:val="28"/>
          <w:lang w:val="en-US" w:eastAsia="zh-CN" w:bidi="ar-SA"/>
        </w:rPr>
        <w:t>施工说明</w:t>
      </w:r>
      <w:bookmarkEnd w:id="535"/>
    </w:p>
    <w:p>
      <w:pPr>
        <w:widowControl/>
        <w:numPr>
          <w:ilvl w:val="0"/>
          <w:numId w:val="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本工程中采用空气采样极早期烟雾报警系统，并在现场设置吸气式烟雾探测探测器单元和声光报警器，探测器单元通过网络线与消防中心监控机架相联组成远程监控系统。</w:t>
      </w:r>
    </w:p>
    <w:p>
      <w:pPr>
        <w:widowControl/>
        <w:numPr>
          <w:ilvl w:val="0"/>
          <w:numId w:val="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采样管采用25mm阻燃PVC管，采样管固定在顶棚或回风口，采样点间距1-5m。16mm阻燃PVC管采用T型连接管件与25mm阻燃 PVC管连接。</w:t>
      </w:r>
    </w:p>
    <w:p>
      <w:pPr>
        <w:widowControl/>
        <w:numPr>
          <w:ilvl w:val="0"/>
          <w:numId w:val="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采样管道转弯时不能采用直角弯，弯管曲率半径为40mm到200mm之间，单管弯头数量不能超过10个。</w:t>
      </w:r>
    </w:p>
    <w:p>
      <w:pPr>
        <w:widowControl/>
        <w:numPr>
          <w:ilvl w:val="0"/>
          <w:numId w:val="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空气采样报警系统电源线为NH-BYJ-2x2.5mm2和NH-BYJ-2x4.0 mm2（主干）；通讯线为RVSP-2x1.5 mm2。</w:t>
      </w:r>
    </w:p>
    <w:p>
      <w:pPr>
        <w:widowControl/>
        <w:numPr>
          <w:ilvl w:val="0"/>
          <w:numId w:val="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空气采样报警系统的网络线和电源线均穿钢管,且为防止干扰网络线使用消防桥架。</w:t>
      </w:r>
    </w:p>
    <w:p>
      <w:pPr>
        <w:widowControl/>
        <w:numPr>
          <w:ilvl w:val="0"/>
          <w:numId w:val="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系统缆线所使用的金属管须刷防火涂料。</w:t>
      </w:r>
    </w:p>
    <w:p>
      <w:pPr>
        <w:widowControl/>
        <w:numPr>
          <w:ilvl w:val="0"/>
          <w:numId w:val="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空气采样探测器工作电压为 24V直流电压，配备吸气式烟雾探测专用电源供电。</w:t>
      </w:r>
    </w:p>
    <w:p>
      <w:pPr>
        <w:widowControl/>
        <w:numPr>
          <w:ilvl w:val="0"/>
          <w:numId w:val="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利用吸气式烟雾探测的继电器可以向传统报警主机提供相应的吸气式烟雾探测报警及故障的开关量信号，再由传统报警主机的监视模块检测后送至传统报警主机。</w:t>
      </w:r>
    </w:p>
    <w:p>
      <w:pPr>
        <w:widowControl/>
        <w:numPr>
          <w:ilvl w:val="0"/>
          <w:numId w:val="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系统的设备和金属管均应相互连接并良好接地。</w:t>
      </w:r>
    </w:p>
    <w:p>
      <w:pPr>
        <w:widowControl/>
        <w:numPr>
          <w:ilvl w:val="0"/>
          <w:numId w:val="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管道接口处应密封，用PVC胶或其它方法密封。</w:t>
      </w:r>
    </w:p>
    <w:p>
      <w:pPr>
        <w:widowControl/>
        <w:numPr>
          <w:ilvl w:val="0"/>
          <w:numId w:val="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改变管道系统方向时用圆弧型弯头。</w:t>
      </w:r>
    </w:p>
    <w:p>
      <w:pPr>
        <w:widowControl/>
        <w:numPr>
          <w:ilvl w:val="0"/>
          <w:numId w:val="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每隔1.5m或更短距离应固定管道。</w:t>
      </w:r>
    </w:p>
    <w:p>
      <w:pPr>
        <w:widowControl/>
        <w:numPr>
          <w:ilvl w:val="0"/>
          <w:numId w:val="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具体施工及做法参阅《空气采样早期烟雾探测系统图集》03X502。</w:t>
      </w:r>
    </w:p>
    <w:bookmarkEnd w:id="532"/>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bookmarkStart w:id="536" w:name="_Toc297808867"/>
      <w:r>
        <w:rPr>
          <w:rFonts w:hint="eastAsia" w:ascii="仿宋" w:hAnsi="仿宋" w:eastAsia="仿宋" w:cs="仿宋"/>
          <w:b/>
          <w:kern w:val="2"/>
          <w:sz w:val="28"/>
          <w:szCs w:val="28"/>
          <w:lang w:val="en-US" w:eastAsia="zh-CN" w:bidi="ar-SA"/>
        </w:rPr>
        <w:t>报警监控系统</w:t>
      </w:r>
      <w:bookmarkEnd w:id="536"/>
    </w:p>
    <w:p>
      <w:pPr>
        <w:widowControl/>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极早期烟雾报警系统须提供标准开关量信号接入消防监控主机，发出声光报警。同时采用RS485或TCP/IP网络接入监控软件显示平台。</w:t>
      </w:r>
      <w:bookmarkEnd w:id="533"/>
      <w:bookmarkStart w:id="537" w:name="_Toc252834735"/>
      <w:bookmarkEnd w:id="537"/>
      <w:r>
        <w:rPr>
          <w:rFonts w:hint="eastAsia" w:ascii="仿宋" w:hAnsi="仿宋" w:eastAsia="仿宋" w:cs="仿宋"/>
          <w:kern w:val="0"/>
          <w:sz w:val="28"/>
          <w:szCs w:val="28"/>
        </w:rPr>
        <w:t xml:space="preserve">    </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空气采样探测报警器</w:t>
      </w:r>
    </w:p>
    <w:p>
      <w:pPr>
        <w:widowControl/>
        <w:numPr>
          <w:ilvl w:val="0"/>
          <w:numId w:val="9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要求设备为智能型探测处理系统，并具有可靠的故障判断系统，且布线简单，集中度高，操作方便，安全可靠等特点。</w:t>
      </w:r>
    </w:p>
    <w:p>
      <w:pPr>
        <w:widowControl/>
        <w:numPr>
          <w:ilvl w:val="0"/>
          <w:numId w:val="9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要求产品基本技术指标符合《火灾自动报警系统设计规范》GB50116、《火灾报警控制器》 GB4717 、《消防联动控制系统》GB16806规范要求。</w:t>
      </w:r>
    </w:p>
    <w:p>
      <w:pPr>
        <w:widowControl/>
        <w:numPr>
          <w:ilvl w:val="0"/>
          <w:numId w:val="9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其系统主要技术指标：</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供电电压：24V±6V。</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电源功耗：按产品。</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电源消耗：按产品。</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环境温度：探测器环境温度0～39℃。保护区环境温度-20～60℃。</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相对湿度：10～95%（无凝露）。</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灵敏度：范围0.001%～20%OBS/m。</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报警级别:可根据保护区环境状况进行编程，设置四级报警阈值。</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保护面积：最大不小于2000m2。</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管网长度：采样管单根最长不小于100m，双管总长不小于200m。</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采样的吸气管安装应横平竖直，不允许产生波浪状，相关的变形应符合路由实际的度数需求。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信号输出：信号联动，7或12个可编程继电器，触电容量30V DC, 2A 。</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通信网络：RS485 协议，TCP/IP等。</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事件记录：自动记录事件，包括时间、性质、操作等。</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其他</w:t>
      </w:r>
      <w:r>
        <w:rPr>
          <w:rFonts w:hint="eastAsia" w:ascii="仿宋" w:hAnsi="仿宋" w:eastAsia="仿宋" w:cs="仿宋"/>
          <w:b/>
          <w:kern w:val="2"/>
          <w:sz w:val="28"/>
          <w:szCs w:val="28"/>
          <w:lang w:val="en-US" w:eastAsia="zh-CN" w:bidi="ar-SA"/>
        </w:rPr>
        <w:t>要求</w:t>
      </w:r>
    </w:p>
    <w:p>
      <w:pPr>
        <w:widowControl/>
        <w:numPr>
          <w:ilvl w:val="0"/>
          <w:numId w:val="9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每一探测器应具有实时地探测和显示被保护区内的烟雾浓度的绝对值，便于使用方的消防管理人员分析和管理，并可由管理人员根据需要可随时调整探测器灵敏度报警阈值。</w:t>
      </w:r>
    </w:p>
    <w:p>
      <w:pPr>
        <w:widowControl/>
        <w:numPr>
          <w:ilvl w:val="0"/>
          <w:numId w:val="9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主机可对采样管网采样孔堵塞的情况实时监控，当采样孔部分堵塞时在不能及时地清洗管网状态下，主机应能继续正常工作，尤其是不影响对火警的监测。</w:t>
      </w:r>
    </w:p>
    <w:p>
      <w:pPr>
        <w:widowControl/>
        <w:numPr>
          <w:ilvl w:val="0"/>
          <w:numId w:val="9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探测器应提供通讯接口（如RS232、485、TCP/IP、USB等），使能够执行编程参数的下载及上传、元器件的远端诊断及故障查询，并能取得探测器记忆体内的历史烟雾浓度数据及事件记录。</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538" w:name="_Toc6877"/>
      <w:r>
        <w:rPr>
          <w:rFonts w:hint="eastAsia" w:ascii="楷体" w:hAnsi="楷体" w:eastAsia="仿宋" w:cs="Times New Roman"/>
          <w:b/>
          <w:kern w:val="2"/>
          <w:sz w:val="28"/>
          <w:lang w:val="en-US" w:eastAsia="zh-CN" w:bidi="ar-SA"/>
        </w:rPr>
        <w:t>气体灭火系统（应满足但不应低于以下要求）</w:t>
      </w:r>
      <w:bookmarkEnd w:id="538"/>
    </w:p>
    <w:p>
      <w:pPr>
        <w:widowControl/>
        <w:spacing w:line="560" w:lineRule="exact"/>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根据建筑本身的特点及要求，设置FM200有管网全淹没组合分配系统,对所需气体灭火的相关功能间提供保护。  </w:t>
      </w:r>
    </w:p>
    <w:p>
      <w:pPr>
        <w:numPr>
          <w:ilvl w:val="3"/>
          <w:numId w:val="2"/>
        </w:numPr>
        <w:spacing w:before="190" w:beforeLines="50" w:after="190" w:afterLines="50"/>
        <w:ind w:left="0" w:firstLine="0"/>
        <w:jc w:val="both"/>
        <w:outlineLvl w:val="3"/>
        <w:rPr>
          <w:rFonts w:hint="eastAsia" w:ascii="楷体" w:hAnsi="楷体" w:eastAsia="仿宋" w:cs="Times New Roman"/>
          <w:b/>
          <w:kern w:val="2"/>
          <w:sz w:val="28"/>
          <w:szCs w:val="24"/>
          <w:lang w:val="zh-CN" w:eastAsia="zh-CN" w:bidi="ar-SA"/>
        </w:rPr>
      </w:pPr>
      <w:r>
        <w:rPr>
          <w:rFonts w:hint="eastAsia" w:ascii="楷体" w:hAnsi="楷体" w:eastAsia="仿宋" w:cs="Times New Roman"/>
          <w:b/>
          <w:kern w:val="2"/>
          <w:sz w:val="28"/>
          <w:szCs w:val="24"/>
          <w:lang w:val="zh-CN" w:eastAsia="zh-CN" w:bidi="ar-SA"/>
        </w:rPr>
        <w:t>防护区要求</w:t>
      </w:r>
    </w:p>
    <w:p>
      <w:pPr>
        <w:widowControl/>
        <w:numPr>
          <w:ilvl w:val="0"/>
          <w:numId w:val="9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护区宜以单个封闭空间划分；同一区间吊顶层和地板层下需同时保护时，可合为一个防护区。为保证防护区能够满足气体灭火要求，防护区与相邻房间或相邻防护区之间的吊顶和地板必须隔断，应保证防护区是一个密闭的空间。</w:t>
      </w:r>
    </w:p>
    <w:p>
      <w:pPr>
        <w:widowControl/>
        <w:numPr>
          <w:ilvl w:val="0"/>
          <w:numId w:val="9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防护区的围护结构及门窗的耐火极限应满足相关规范；围护结构承受内压的允许压强不宜低于1.2KPa;</w:t>
      </w:r>
    </w:p>
    <w:p>
      <w:pPr>
        <w:widowControl/>
        <w:numPr>
          <w:ilvl w:val="0"/>
          <w:numId w:val="9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防护区应设置泄压口，气体灭火系统的泄压口应位于防护区净高的2/3以上，宜设在外墙上，若防护区不存在外墙，可考虑设在与走廊相隔的内墙上，喷放灭火剂前，防护区除泄压口外的开口应能自行关闭。</w:t>
      </w:r>
    </w:p>
    <w:p>
      <w:pPr>
        <w:widowControl/>
        <w:numPr>
          <w:ilvl w:val="0"/>
          <w:numId w:val="9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钢瓶室要求：管网灭火系统的储存装置宜设在专用储瓶间内。储瓶间宜靠近防护区，并应符合建筑物耐火等级不低于二级的有关规定及有关压力容器存放的规定，且应有直接通向室外或疏散走道的出口。储瓶间和设置预制灭火系统的防护区的环境温度应为-10℃至50℃。</w:t>
      </w:r>
    </w:p>
    <w:p>
      <w:pPr>
        <w:widowControl/>
        <w:numPr>
          <w:ilvl w:val="0"/>
          <w:numId w:val="9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储存装置的布置，应便于操作、维修及避免阳光照射。操作面距墙面或两操作面之间的距离，不宜小于1.0m，且不应小于储存容器外径的1.5倍。</w:t>
      </w:r>
    </w:p>
    <w:p>
      <w:pPr>
        <w:numPr>
          <w:ilvl w:val="3"/>
          <w:numId w:val="2"/>
        </w:numPr>
        <w:spacing w:before="190" w:beforeLines="50" w:after="190" w:afterLines="50"/>
        <w:ind w:left="0" w:firstLine="0"/>
        <w:jc w:val="both"/>
        <w:outlineLvl w:val="3"/>
        <w:rPr>
          <w:rFonts w:hint="eastAsia" w:ascii="楷体" w:hAnsi="楷体" w:eastAsia="仿宋" w:cs="Times New Roman"/>
          <w:b/>
          <w:kern w:val="2"/>
          <w:sz w:val="28"/>
          <w:szCs w:val="24"/>
          <w:lang w:val="zh-CN" w:eastAsia="zh-CN" w:bidi="ar-SA"/>
        </w:rPr>
      </w:pPr>
      <w:r>
        <w:rPr>
          <w:rFonts w:hint="eastAsia" w:ascii="楷体" w:hAnsi="楷体" w:eastAsia="仿宋" w:cs="Times New Roman"/>
          <w:b/>
          <w:kern w:val="2"/>
          <w:sz w:val="28"/>
          <w:szCs w:val="24"/>
          <w:lang w:val="zh-CN" w:eastAsia="zh-CN" w:bidi="ar-SA"/>
        </w:rPr>
        <w:t>系统要求</w:t>
      </w:r>
    </w:p>
    <w:p>
      <w:pPr>
        <w:widowControl/>
        <w:numPr>
          <w:ilvl w:val="0"/>
          <w:numId w:val="10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储存容器或容器阀上，应设安全泄压装置和压力表。组合分配系统的集流管，应设安全泄压装置。安全泄压装置的动作压力，应符合相应气体灭火系统的设计规定。</w:t>
      </w:r>
    </w:p>
    <w:p>
      <w:pPr>
        <w:widowControl/>
        <w:numPr>
          <w:ilvl w:val="0"/>
          <w:numId w:val="10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为保证灭火的可靠性，在灭火系统释放灭火剂前或同时，应保证必要的联动操作，即灭火系统在发出灭火指令时，由控制系统发出联动指令，切断电源、关闭或停止一切影响灭火效果的设备。</w:t>
      </w:r>
    </w:p>
    <w:p>
      <w:pPr>
        <w:widowControl/>
        <w:numPr>
          <w:ilvl w:val="0"/>
          <w:numId w:val="10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两个或两个以上的防护区采用组合分配系统时，一个组合分配系统所保护的防护区不应超过8个。组合分配系统的灭火剂储存量，应按储存量最大防护区确定。</w:t>
      </w:r>
    </w:p>
    <w:p>
      <w:pPr>
        <w:widowControl/>
        <w:numPr>
          <w:ilvl w:val="0"/>
          <w:numId w:val="10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灭火系统的储存装置72小时内不能重新充装恢复工作的，应按系统原储存量的100%设置备用量。</w:t>
      </w:r>
    </w:p>
    <w:p>
      <w:pPr>
        <w:numPr>
          <w:ilvl w:val="3"/>
          <w:numId w:val="2"/>
        </w:numPr>
        <w:spacing w:before="190" w:beforeLines="50" w:after="190" w:afterLines="50"/>
        <w:ind w:left="0" w:firstLine="0"/>
        <w:jc w:val="both"/>
        <w:outlineLvl w:val="3"/>
        <w:rPr>
          <w:rFonts w:hint="eastAsia" w:ascii="楷体" w:hAnsi="楷体" w:eastAsia="仿宋" w:cs="Times New Roman"/>
          <w:b/>
          <w:kern w:val="2"/>
          <w:sz w:val="28"/>
          <w:szCs w:val="24"/>
          <w:lang w:val="zh-CN" w:eastAsia="zh-CN" w:bidi="ar-SA"/>
        </w:rPr>
      </w:pPr>
      <w:r>
        <w:rPr>
          <w:rFonts w:hint="eastAsia" w:ascii="楷体" w:hAnsi="楷体" w:eastAsia="仿宋" w:cs="Times New Roman"/>
          <w:b/>
          <w:kern w:val="2"/>
          <w:sz w:val="28"/>
          <w:szCs w:val="24"/>
          <w:lang w:val="zh-CN" w:eastAsia="zh-CN" w:bidi="ar-SA"/>
        </w:rPr>
        <w:t>安全要求</w:t>
      </w:r>
    </w:p>
    <w:p>
      <w:pPr>
        <w:widowControl/>
        <w:spacing w:line="560" w:lineRule="exact"/>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防护区应有保证人员在30s内疏散完毕的通道和出口，防护区的门应向疏散方向开启，并能自行关闭；用于疏散的门必须能从防护区内打开。灭火后的防护区应通风换气，地下防护区和无窗或设固定窗扇的地上保护区，应设置机械排风装置，排风口宜设在防护区的下部，并应直通室外。设有气体灭火系统的场所，需设计配置空气呼吸器。经过有爆炸危险和变电、配电场所的管网以及布设在以上场所的金属箱体等，应设防静电接地。</w:t>
      </w:r>
    </w:p>
    <w:p>
      <w:pPr>
        <w:numPr>
          <w:ilvl w:val="3"/>
          <w:numId w:val="2"/>
        </w:numPr>
        <w:spacing w:before="190" w:beforeLines="50" w:after="190" w:afterLines="50"/>
        <w:ind w:left="0" w:firstLine="0"/>
        <w:jc w:val="both"/>
        <w:outlineLvl w:val="3"/>
        <w:rPr>
          <w:rFonts w:hint="eastAsia" w:ascii="楷体" w:hAnsi="楷体" w:eastAsia="仿宋" w:cs="Times New Roman"/>
          <w:b/>
          <w:kern w:val="2"/>
          <w:sz w:val="28"/>
          <w:szCs w:val="24"/>
          <w:lang w:val="zh-CN" w:eastAsia="zh-CN" w:bidi="ar-SA"/>
        </w:rPr>
      </w:pPr>
      <w:r>
        <w:rPr>
          <w:rFonts w:hint="eastAsia" w:ascii="楷体" w:hAnsi="楷体" w:eastAsia="仿宋" w:cs="Times New Roman"/>
          <w:b/>
          <w:kern w:val="2"/>
          <w:sz w:val="28"/>
          <w:szCs w:val="24"/>
          <w:lang w:val="zh-CN" w:eastAsia="zh-CN" w:bidi="ar-SA"/>
        </w:rPr>
        <w:t>施工及验收</w:t>
      </w:r>
    </w:p>
    <w:p>
      <w:pPr>
        <w:widowControl/>
        <w:numPr>
          <w:ilvl w:val="0"/>
          <w:numId w:val="101"/>
        </w:numPr>
        <w:spacing w:line="560" w:lineRule="exact"/>
        <w:ind w:left="0" w:firstLine="0"/>
        <w:rPr>
          <w:rFonts w:hint="eastAsia" w:ascii="仿宋" w:hAnsi="仿宋" w:eastAsia="仿宋" w:cs="Times New Roman"/>
          <w:sz w:val="28"/>
          <w:szCs w:val="28"/>
          <w:lang w:val="zh-CN"/>
        </w:rPr>
      </w:pPr>
      <w:r>
        <w:rPr>
          <w:rFonts w:hint="eastAsia" w:ascii="仿宋" w:hAnsi="仿宋" w:eastAsia="仿宋" w:cs="仿宋"/>
          <w:sz w:val="28"/>
          <w:szCs w:val="28"/>
        </w:rPr>
        <w:t xml:space="preserve"> </w:t>
      </w:r>
      <w:r>
        <w:rPr>
          <w:rFonts w:hint="eastAsia" w:ascii="仿宋" w:hAnsi="仿宋" w:eastAsia="仿宋" w:cs="Times New Roman"/>
          <w:sz w:val="28"/>
          <w:szCs w:val="28"/>
          <w:lang w:val="zh-CN"/>
        </w:rPr>
        <w:t>本系统应严格按GB50370-2005《气体灭火系统设计规范》、GB50263-2007《气体灭火系统施工及验收规范》、GB50166-2007《火灾自动报警系统施工及验收规范》和经</w:t>
      </w:r>
      <w:r>
        <w:rPr>
          <w:rFonts w:hint="eastAsia" w:ascii="仿宋" w:hAnsi="仿宋" w:eastAsia="仿宋" w:cs="Times New Roman"/>
          <w:b/>
          <w:bCs/>
          <w:sz w:val="28"/>
          <w:szCs w:val="28"/>
          <w:lang w:val="zh-CN"/>
        </w:rPr>
        <w:t>消防主管部门</w:t>
      </w:r>
      <w:r>
        <w:rPr>
          <w:rFonts w:hint="eastAsia" w:ascii="仿宋" w:hAnsi="仿宋" w:eastAsia="仿宋" w:cs="Times New Roman"/>
          <w:sz w:val="28"/>
          <w:szCs w:val="28"/>
          <w:lang w:val="zh-CN"/>
        </w:rPr>
        <w:t>认可的设计和施工图施工及验收。</w:t>
      </w:r>
    </w:p>
    <w:p>
      <w:pPr>
        <w:widowControl/>
        <w:numPr>
          <w:ilvl w:val="0"/>
          <w:numId w:val="1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管道应符合GB/T8163《输送流体用无缝钢管》的要求，并应进行内外镀锌处理，小于等于DN80的管径宜采用螺纹连接，大于DN80的管径宜采用法兰连接。 DN50以上的主管道，垂直方向和水平方向至少应安装一个固定支架，当穿过建筑物楼层时，每层应设一个固定支架，当水平管道改变方向时应设固定支架。管道系统安装完毕后应进行水压强度（气压）试验，试验压力10MPa ，进行水压强度试验时，以不大于 0.5MPa/s 的升压速率缓慢升压至试验压力保压10分钟，检查管道各处无渗漏、无变形为合格。当水压强度试验条件不具备时，可采用气压强度试验代替，试验压力为7.7MPa。试验前必须用加压介质进行预试验，预试验压力宜为0.2MPa，加压介质可采用空气或氮气，试验时应逐步缓慢增加压力，当压力升至试验压力时，如未发现异状或泄漏，继续按试验压力的10%逐级升压，每级稳压3分钟，直至试验压力。保压检查管道各处无变形、无泄漏为合格。水压强度试验后或气压严密性试验前管道要进行吹扫，吹扫管道可采用压缩空气或氮气，吹扫时，管道末端的气体流速不应小于20m/s，采用白布检查，直至无铁锈、尘土、水渍及其它异物出现。</w:t>
      </w:r>
    </w:p>
    <w:p>
      <w:pPr>
        <w:widowControl/>
        <w:numPr>
          <w:ilvl w:val="0"/>
          <w:numId w:val="101"/>
        </w:numPr>
        <w:spacing w:line="560" w:lineRule="exact"/>
        <w:ind w:left="0" w:firstLine="0"/>
        <w:rPr>
          <w:rFonts w:hint="eastAsia" w:ascii="仿宋" w:hAnsi="仿宋" w:eastAsia="仿宋" w:cs="仿宋"/>
          <w:sz w:val="28"/>
          <w:szCs w:val="28"/>
        </w:rPr>
      </w:pPr>
      <w:r>
        <w:rPr>
          <w:rFonts w:hint="eastAsia" w:ascii="仿宋" w:hAnsi="仿宋" w:eastAsia="仿宋" w:cs="Times New Roman"/>
          <w:sz w:val="28"/>
          <w:szCs w:val="28"/>
          <w:lang w:val="zh-CN"/>
        </w:rPr>
        <w:t>灭火剂输送管道经水压强度试验合格后还应进</w:t>
      </w:r>
      <w:bookmarkStart w:id="539" w:name="_Toc14154"/>
      <w:bookmarkStart w:id="540" w:name="_Toc262680230"/>
      <w:bookmarkStart w:id="541" w:name="_Toc19587"/>
      <w:bookmarkStart w:id="542" w:name="_Toc10148"/>
      <w:bookmarkStart w:id="543" w:name="_Toc262678022"/>
      <w:bookmarkStart w:id="544" w:name="_Toc262678230"/>
      <w:bookmarkStart w:id="545" w:name="_Toc31423"/>
      <w:r>
        <w:rPr>
          <w:rFonts w:hint="eastAsia" w:ascii="仿宋" w:hAnsi="仿宋" w:eastAsia="仿宋" w:cs="Times New Roman"/>
          <w:sz w:val="28"/>
          <w:szCs w:val="28"/>
          <w:lang w:val="zh-CN"/>
        </w:rPr>
        <w:t>行气密性试验，经气压强度试验合格且</w:t>
      </w:r>
      <w:bookmarkEnd w:id="539"/>
      <w:bookmarkEnd w:id="540"/>
      <w:bookmarkEnd w:id="541"/>
      <w:bookmarkEnd w:id="542"/>
      <w:bookmarkEnd w:id="543"/>
      <w:bookmarkEnd w:id="544"/>
      <w:bookmarkEnd w:id="545"/>
      <w:r>
        <w:rPr>
          <w:rFonts w:hint="eastAsia" w:ascii="仿宋" w:hAnsi="仿宋" w:eastAsia="仿宋" w:cs="Times New Roman"/>
          <w:sz w:val="28"/>
          <w:szCs w:val="28"/>
          <w:lang w:val="zh-CN"/>
        </w:rPr>
        <w:t>试验后未拆卸过的管道可不进行气密性试验。试验介质为氮气或压缩空气，对灭火剂输送管道，试验压力为6.7MPa。对气动管道，应取6.0MPa。进行气密性试验时，应以不大于0.5MPa/s的升压速率缓慢升压至试验压力，关断试验气源3分钟内压力降不超过试验压力的10%为合格。气压强度试验和气密性试验必须采取有效的安全措施。气动管道试验时应采取防止误喷射的措施。</w:t>
      </w:r>
    </w:p>
    <w:p>
      <w:pPr>
        <w:numPr>
          <w:ilvl w:val="3"/>
          <w:numId w:val="2"/>
        </w:numPr>
        <w:spacing w:before="190" w:beforeLines="50" w:after="190" w:afterLines="50"/>
        <w:ind w:left="0" w:firstLine="0"/>
        <w:jc w:val="both"/>
        <w:outlineLvl w:val="3"/>
        <w:rPr>
          <w:rFonts w:hint="eastAsia" w:ascii="楷体" w:hAnsi="楷体" w:eastAsia="仿宋" w:cs="Times New Roman"/>
          <w:b/>
          <w:kern w:val="2"/>
          <w:sz w:val="28"/>
          <w:szCs w:val="24"/>
          <w:lang w:val="zh-CN" w:eastAsia="zh-CN" w:bidi="ar-SA"/>
        </w:rPr>
      </w:pPr>
      <w:r>
        <w:rPr>
          <w:rFonts w:hint="eastAsia" w:ascii="楷体" w:hAnsi="楷体" w:eastAsia="仿宋" w:cs="Times New Roman"/>
          <w:b/>
          <w:kern w:val="2"/>
          <w:sz w:val="28"/>
          <w:szCs w:val="24"/>
          <w:lang w:val="zh-CN" w:eastAsia="zh-CN" w:bidi="ar-SA"/>
        </w:rPr>
        <w:t>标志:</w:t>
      </w:r>
    </w:p>
    <w:p>
      <w:pPr>
        <w:widowControl/>
        <w:numPr>
          <w:ilvl w:val="0"/>
          <w:numId w:val="1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在防护区附近，应设置警告牌，警告牌上包括以下内容：“在报警时或释放灭火剂时，应立即撤离该区”，“在未彻底通风前，不要进入该区”。</w:t>
      </w:r>
    </w:p>
    <w:p>
      <w:pPr>
        <w:widowControl/>
        <w:numPr>
          <w:ilvl w:val="0"/>
          <w:numId w:val="1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在气体防护区配置专用空气呼吸器或氧气呼吸器。</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546" w:name="_Toc11617"/>
      <w:r>
        <w:rPr>
          <w:rFonts w:hint="eastAsia" w:ascii="楷体" w:hAnsi="楷体" w:eastAsia="仿宋" w:cs="Times New Roman"/>
          <w:b/>
          <w:kern w:val="2"/>
          <w:sz w:val="28"/>
          <w:lang w:val="en-US" w:eastAsia="zh-CN" w:bidi="ar-SA"/>
        </w:rPr>
        <w:t>主要功能间消防灭火形式说明</w:t>
      </w:r>
      <w:bookmarkEnd w:id="546"/>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50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5"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序号</w:t>
            </w:r>
          </w:p>
        </w:tc>
        <w:tc>
          <w:tcPr>
            <w:tcW w:w="2503"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房间名称</w:t>
            </w:r>
          </w:p>
        </w:tc>
        <w:tc>
          <w:tcPr>
            <w:tcW w:w="4981"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消防灭火形式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5"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1</w:t>
            </w:r>
          </w:p>
        </w:tc>
        <w:tc>
          <w:tcPr>
            <w:tcW w:w="2503"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走廊</w:t>
            </w:r>
          </w:p>
        </w:tc>
        <w:tc>
          <w:tcPr>
            <w:tcW w:w="4981"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水喷淋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5"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2</w:t>
            </w:r>
          </w:p>
        </w:tc>
        <w:tc>
          <w:tcPr>
            <w:tcW w:w="2503"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监控中心</w:t>
            </w:r>
          </w:p>
        </w:tc>
        <w:tc>
          <w:tcPr>
            <w:tcW w:w="4981"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水喷淋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5"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3</w:t>
            </w:r>
          </w:p>
        </w:tc>
        <w:tc>
          <w:tcPr>
            <w:tcW w:w="2503"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新风室</w:t>
            </w:r>
          </w:p>
        </w:tc>
        <w:tc>
          <w:tcPr>
            <w:tcW w:w="4981"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水喷淋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5"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4</w:t>
            </w:r>
          </w:p>
        </w:tc>
        <w:tc>
          <w:tcPr>
            <w:tcW w:w="2503"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机房模块</w:t>
            </w:r>
          </w:p>
        </w:tc>
        <w:tc>
          <w:tcPr>
            <w:tcW w:w="4981"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5"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5</w:t>
            </w:r>
          </w:p>
        </w:tc>
        <w:tc>
          <w:tcPr>
            <w:tcW w:w="2503"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UPS配电室</w:t>
            </w:r>
          </w:p>
        </w:tc>
        <w:tc>
          <w:tcPr>
            <w:tcW w:w="4981"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5"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6</w:t>
            </w:r>
          </w:p>
        </w:tc>
        <w:tc>
          <w:tcPr>
            <w:tcW w:w="2503"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电池室</w:t>
            </w:r>
          </w:p>
        </w:tc>
        <w:tc>
          <w:tcPr>
            <w:tcW w:w="4981" w:type="dxa"/>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气体</w:t>
            </w:r>
          </w:p>
        </w:tc>
      </w:tr>
    </w:tbl>
    <w:p>
      <w:pPr>
        <w:widowControl/>
        <w:tabs>
          <w:tab w:val="left" w:pos="840"/>
          <w:tab w:val="left" w:pos="1060"/>
        </w:tabs>
        <w:spacing w:line="560" w:lineRule="exact"/>
        <w:jc w:val="left"/>
        <w:textAlignment w:val="baseline"/>
        <w:rPr>
          <w:rFonts w:hint="eastAsia" w:ascii="仿宋" w:hAnsi="仿宋" w:eastAsia="仿宋" w:cs="仿宋"/>
          <w:sz w:val="28"/>
          <w:szCs w:val="28"/>
        </w:rPr>
      </w:pPr>
      <w:r>
        <w:rPr>
          <w:rFonts w:hint="eastAsia" w:ascii="仿宋" w:hAnsi="仿宋" w:eastAsia="仿宋" w:cs="仿宋"/>
          <w:sz w:val="28"/>
          <w:szCs w:val="28"/>
        </w:rPr>
        <w:t xml:space="preserve">    备注:本项目应根据平面规划设置不同的消防系统和早期烟雾报警系统，以上列表为招标参考，具体需中标方根据相关规范和招标人的需求进行设计与施工，并应满足现行国家有关消防标准规范，最终需通过当地消防主管部门的验收及发出的</w:t>
      </w:r>
      <w:r>
        <w:rPr>
          <w:rFonts w:hint="eastAsia" w:ascii="仿宋" w:hAnsi="仿宋" w:eastAsia="仿宋" w:cs="仿宋"/>
          <w:sz w:val="28"/>
          <w:szCs w:val="28"/>
          <w:lang w:eastAsia="zh-CN"/>
        </w:rPr>
        <w:t>消防验收合格证等</w:t>
      </w:r>
      <w:r>
        <w:rPr>
          <w:rFonts w:hint="eastAsia" w:ascii="仿宋" w:hAnsi="仿宋" w:eastAsia="仿宋" w:cs="仿宋"/>
          <w:sz w:val="28"/>
          <w:szCs w:val="28"/>
        </w:rPr>
        <w:t>有效</w:t>
      </w:r>
      <w:r>
        <w:rPr>
          <w:rFonts w:hint="eastAsia" w:ascii="仿宋" w:hAnsi="仿宋" w:eastAsia="仿宋" w:cs="仿宋"/>
          <w:sz w:val="28"/>
          <w:szCs w:val="28"/>
          <w:lang w:eastAsia="zh-CN"/>
        </w:rPr>
        <w:t>证明</w:t>
      </w:r>
      <w:r>
        <w:rPr>
          <w:rFonts w:hint="eastAsia" w:ascii="仿宋" w:hAnsi="仿宋" w:eastAsia="仿宋" w:cs="仿宋"/>
          <w:sz w:val="28"/>
          <w:szCs w:val="28"/>
        </w:rPr>
        <w:t>文件。</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547" w:name="_Toc5149"/>
      <w:r>
        <w:rPr>
          <w:rFonts w:hint="eastAsia" w:ascii="楷体" w:hAnsi="楷体" w:eastAsia="仿宋" w:cs="Times New Roman"/>
          <w:b/>
          <w:kern w:val="2"/>
          <w:sz w:val="28"/>
          <w:lang w:val="en-US" w:eastAsia="zh-CN" w:bidi="ar-SA"/>
        </w:rPr>
        <w:t>对消防整体配合机房的特别需求</w:t>
      </w:r>
      <w:bookmarkEnd w:id="547"/>
    </w:p>
    <w:p>
      <w:pPr>
        <w:widowControl/>
        <w:numPr>
          <w:ilvl w:val="0"/>
          <w:numId w:val="10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消防系统所有关的管道均需安装在联合吊挂系统上。</w:t>
      </w:r>
    </w:p>
    <w:p>
      <w:pPr>
        <w:widowControl/>
        <w:numPr>
          <w:ilvl w:val="0"/>
          <w:numId w:val="103"/>
        </w:numPr>
        <w:spacing w:line="560" w:lineRule="exact"/>
        <w:ind w:left="0" w:firstLine="0"/>
        <w:rPr>
          <w:rFonts w:ascii="仿宋" w:hAnsi="仿宋" w:eastAsia="仿宋" w:cs="Times New Roman"/>
          <w:sz w:val="28"/>
          <w:szCs w:val="28"/>
          <w:lang w:val="zh-CN"/>
        </w:rPr>
      </w:pPr>
      <w:r>
        <w:rPr>
          <w:rFonts w:hint="eastAsia" w:ascii="仿宋" w:hAnsi="仿宋" w:eastAsia="仿宋" w:cs="Times New Roman"/>
          <w:sz w:val="28"/>
          <w:szCs w:val="28"/>
          <w:lang w:val="zh-CN"/>
        </w:rPr>
        <w:t>消防系统所有的消火栓箱、气体喷头、烟感、温感等设备安装需横平竖直，并配合整体装修效果。</w:t>
      </w:r>
      <w:bookmarkEnd w:id="184"/>
    </w:p>
    <w:p>
      <w:pPr>
        <w:widowControl/>
        <w:numPr>
          <w:ilvl w:val="0"/>
          <w:numId w:val="103"/>
        </w:numPr>
        <w:spacing w:line="560" w:lineRule="exact"/>
        <w:ind w:left="0" w:firstLine="0"/>
        <w:rPr>
          <w:rFonts w:hint="eastAsia" w:ascii="仿宋" w:hAnsi="仿宋" w:eastAsia="仿宋" w:cs="仿宋"/>
          <w:sz w:val="28"/>
          <w:szCs w:val="28"/>
        </w:rPr>
      </w:pPr>
      <w:r>
        <w:rPr>
          <w:rFonts w:hint="eastAsia" w:ascii="仿宋" w:hAnsi="仿宋" w:eastAsia="仿宋" w:cs="Times New Roman"/>
          <w:sz w:val="28"/>
          <w:szCs w:val="28"/>
          <w:lang w:val="zh-CN"/>
        </w:rPr>
        <w:t>将消防报警信号（包括极早期消防报警信号）接入至值班休息室</w:t>
      </w:r>
    </w:p>
    <w:p>
      <w:pPr>
        <w:widowControl/>
        <w:spacing w:after="120" w:afterLines="0" w:line="560" w:lineRule="exact"/>
        <w:ind w:left="0"/>
        <w:jc w:val="left"/>
        <w:rPr>
          <w:rFonts w:hint="eastAsia" w:ascii="仿宋" w:hAnsi="仿宋" w:eastAsia="仿宋" w:cs="仿宋"/>
          <w:kern w:val="0"/>
          <w:sz w:val="28"/>
          <w:szCs w:val="28"/>
          <w:lang w:val="en-US" w:eastAsia="zh-CN" w:bidi="ar-SA"/>
        </w:rPr>
      </w:pPr>
      <w:bookmarkStart w:id="548" w:name="_Toc25651337"/>
      <w:r>
        <w:rPr>
          <w:rFonts w:hint="eastAsia" w:ascii="仿宋" w:hAnsi="仿宋" w:eastAsia="仿宋" w:cs="Times New Roman"/>
          <w:b/>
          <w:bCs/>
          <w:kern w:val="0"/>
          <w:sz w:val="28"/>
          <w:szCs w:val="28"/>
          <w:lang w:val="en-US" w:eastAsia="zh-CN" w:bidi="ar-SA"/>
        </w:rPr>
        <w:t>注：</w:t>
      </w:r>
      <w:r>
        <w:rPr>
          <w:rFonts w:hint="eastAsia" w:ascii="仿宋" w:hAnsi="仿宋" w:eastAsia="仿宋" w:cs="Times New Roman"/>
          <w:kern w:val="0"/>
          <w:sz w:val="28"/>
          <w:szCs w:val="28"/>
          <w:lang w:val="en-US" w:eastAsia="zh-CN" w:bidi="ar-SA"/>
        </w:rPr>
        <w:t>上述</w:t>
      </w:r>
      <w:r>
        <w:rPr>
          <w:rFonts w:hint="eastAsia" w:ascii="仿宋" w:hAnsi="仿宋" w:eastAsia="仿宋" w:cs="仿宋"/>
          <w:kern w:val="0"/>
          <w:sz w:val="28"/>
          <w:szCs w:val="28"/>
          <w:lang w:val="en-US" w:eastAsia="zh-CN" w:bidi="ar-SA"/>
        </w:rPr>
        <w:t>如存在未提及的内容，但结合本项目是实际需要的，均应包含在本次设计和施工一体化的范围内。</w:t>
      </w: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br w:type="page"/>
      </w:r>
      <w:bookmarkStart w:id="549" w:name="_Toc4801"/>
      <w:r>
        <w:rPr>
          <w:rFonts w:hint="eastAsia" w:ascii="仿宋" w:hAnsi="仿宋" w:eastAsia="仿宋" w:cs="仿宋"/>
          <w:b/>
          <w:bCs/>
          <w:kern w:val="2"/>
          <w:sz w:val="28"/>
          <w:szCs w:val="28"/>
          <w:lang w:val="en-US" w:eastAsia="zh-CN" w:bidi="ar-SA"/>
        </w:rPr>
        <w:t>其他工程</w:t>
      </w:r>
      <w:bookmarkEnd w:id="548"/>
      <w:bookmarkEnd w:id="549"/>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550" w:name="_Toc25651338"/>
      <w:bookmarkStart w:id="551" w:name="_Toc5436"/>
      <w:r>
        <w:rPr>
          <w:rFonts w:hint="eastAsia" w:ascii="楷体" w:hAnsi="楷体" w:eastAsia="仿宋" w:cs="Times New Roman"/>
          <w:b/>
          <w:kern w:val="2"/>
          <w:sz w:val="28"/>
          <w:lang w:val="en-US" w:eastAsia="zh-CN" w:bidi="ar-SA"/>
        </w:rPr>
        <w:t>标识系统</w:t>
      </w:r>
      <w:bookmarkEnd w:id="550"/>
      <w:bookmarkEnd w:id="551"/>
    </w:p>
    <w:p>
      <w:pPr>
        <w:widowControl/>
        <w:numPr>
          <w:ilvl w:val="0"/>
          <w:numId w:val="10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数据中心采用统一的标识，在标识的分类、材质、环境要求（如阻燃、 防油污、耐用性）等方面，充分参考国际、国标相关标准规范的引用。其中，消防标识参照国标执行，不得擅自改动；国标标识图案，在保留图案要求的同时，增加符合本项目要求的 LOGO或色彩；国际标识标准，为符合数据中心的整体水平要求，数据中心标识在范围、规格、分类、材质、环境要求等方面应参考国际标准要求。</w:t>
      </w:r>
    </w:p>
    <w:p>
      <w:pPr>
        <w:widowControl/>
        <w:numPr>
          <w:ilvl w:val="0"/>
          <w:numId w:val="10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标识系统订货及实施前，须提交具体标识系统方案（含编号原则、标签材质、尺寸规格、色标等）供招标人最终确认，已有专项要求的标识按其要求进行实施</w:t>
      </w:r>
      <w:bookmarkStart w:id="552" w:name="_Toc11896"/>
      <w:bookmarkStart w:id="553" w:name="_Toc16217"/>
      <w:bookmarkStart w:id="554" w:name="_Toc15857"/>
      <w:bookmarkStart w:id="555" w:name="_Toc12771"/>
      <w:bookmarkStart w:id="556" w:name="_Toc27315"/>
      <w:bookmarkStart w:id="557" w:name="_Toc293893020"/>
      <w:bookmarkStart w:id="558" w:name="_Toc305230742"/>
      <w:r>
        <w:rPr>
          <w:rFonts w:hint="eastAsia" w:ascii="仿宋" w:hAnsi="仿宋" w:eastAsia="仿宋" w:cs="Times New Roman"/>
          <w:sz w:val="28"/>
          <w:szCs w:val="28"/>
          <w:lang w:val="zh-CN"/>
        </w:rPr>
        <w:t>。</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559" w:name="_Toc25651339"/>
      <w:bookmarkStart w:id="560" w:name="_Toc17624869"/>
      <w:r>
        <w:rPr>
          <w:rFonts w:hint="eastAsia" w:ascii="仿宋" w:hAnsi="仿宋" w:eastAsia="仿宋" w:cs="Times New Roman"/>
          <w:b/>
          <w:bCs/>
          <w:kern w:val="2"/>
          <w:sz w:val="28"/>
          <w:szCs w:val="28"/>
          <w:lang w:val="en-US" w:eastAsia="zh-CN" w:bidi="ar-SA"/>
        </w:rPr>
        <w:t>设备标识</w:t>
      </w:r>
      <w:bookmarkEnd w:id="559"/>
      <w:bookmarkEnd w:id="560"/>
    </w:p>
    <w:p>
      <w:pPr>
        <w:widowControl/>
        <w:numPr>
          <w:ilvl w:val="0"/>
          <w:numId w:val="1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设备标识用于：网络、安全、主机、供电、制冷、机柜等设备。</w:t>
      </w:r>
    </w:p>
    <w:p>
      <w:pPr>
        <w:widowControl/>
        <w:numPr>
          <w:ilvl w:val="0"/>
          <w:numId w:val="1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粘贴式：</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材质：基材为聚酯类材料，背胶采用永久性丙烯酸类乳胶，室内使用10-15 年。</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规格：70mm×50mm，小圆角（可根据实际定制）。</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标准色彩：C100 M5 Y50 K40 PANTONE 3292C。</w:t>
      </w:r>
    </w:p>
    <w:p>
      <w:pPr>
        <w:widowControl/>
        <w:numPr>
          <w:ilvl w:val="0"/>
          <w:numId w:val="1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悬挂式：</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材质：基材为聚烯烃类材料，室内使用10-15 年。</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规格：70mm×50mm（可根据实际定制）。</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标准色彩：C100 M5 Y50 K40 PANTONE 3292C。</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8"/>
          <w:lang w:val="en-US" w:eastAsia="zh-CN" w:bidi="ar-SA"/>
        </w:rPr>
      </w:pPr>
      <w:bookmarkStart w:id="561" w:name="_Toc17624870"/>
      <w:bookmarkStart w:id="562" w:name="_Toc25651340"/>
      <w:r>
        <w:rPr>
          <w:rFonts w:hint="eastAsia" w:ascii="仿宋" w:hAnsi="仿宋" w:eastAsia="仿宋" w:cs="仿宋"/>
          <w:b w:val="0"/>
          <w:bCs w:val="0"/>
          <w:kern w:val="2"/>
          <w:sz w:val="28"/>
          <w:szCs w:val="28"/>
          <w:lang w:val="en-US" w:eastAsia="zh-CN" w:bidi="ar-SA"/>
        </w:rPr>
        <w:t>双绞线标签</w:t>
      </w:r>
      <w:bookmarkEnd w:id="561"/>
      <w:bookmarkEnd w:id="562"/>
    </w:p>
    <w:p>
      <w:pPr>
        <w:widowControl/>
        <w:spacing w:line="560" w:lineRule="exact"/>
        <w:ind w:firstLine="560" w:firstLineChars="200"/>
        <w:rPr>
          <w:rFonts w:hint="eastAsia" w:ascii="仿宋" w:hAnsi="仿宋" w:eastAsia="仿宋" w:cs="Times New Roman"/>
          <w:sz w:val="28"/>
          <w:szCs w:val="28"/>
          <w:lang w:val="zh-CN"/>
        </w:rPr>
      </w:pPr>
      <w:bookmarkStart w:id="563" w:name="_Toc25651341"/>
      <w:r>
        <w:rPr>
          <w:rFonts w:hint="eastAsia" w:ascii="仿宋" w:hAnsi="仿宋" w:eastAsia="仿宋" w:cs="Times New Roman"/>
          <w:sz w:val="28"/>
          <w:szCs w:val="28"/>
          <w:lang w:val="zh-CN"/>
        </w:rPr>
        <w:t>旗形签：</w:t>
      </w:r>
      <w:bookmarkEnd w:id="563"/>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形式：旗形签，双面标注起始端、终止端、跳转路径信息，粘贴于线缆头部5cm 左右处。</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材质：基材为乙烯或聚酯类材料，背胶采用永久性丙烯酸类乳胶，室内使用10-15 年。</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规格：P 型/T 型，推荐40mm×32mm+40mm（可调）。用于配线架或设备的跳线标识。</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标准色彩：白色、绿色、蓝色、红色。</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备注：红色常用于强电标识。</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8"/>
          <w:lang w:val="en-US" w:eastAsia="zh-CN" w:bidi="ar-SA"/>
        </w:rPr>
      </w:pPr>
      <w:bookmarkStart w:id="564" w:name="_Toc25651342"/>
      <w:r>
        <w:rPr>
          <w:rFonts w:hint="eastAsia" w:ascii="仿宋" w:hAnsi="仿宋" w:eastAsia="仿宋" w:cs="仿宋"/>
          <w:b w:val="0"/>
          <w:bCs w:val="0"/>
          <w:kern w:val="2"/>
          <w:sz w:val="28"/>
          <w:szCs w:val="28"/>
          <w:lang w:val="en-US" w:eastAsia="zh-CN" w:bidi="ar-SA"/>
        </w:rPr>
        <w:t>覆盖保护膜标签：</w:t>
      </w:r>
      <w:bookmarkEnd w:id="564"/>
    </w:p>
    <w:p>
      <w:pPr>
        <w:widowControl/>
        <w:numPr>
          <w:ilvl w:val="0"/>
          <w:numId w:val="10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材质：基材为乙烯类材料，背胶采用永久性丙烯酸类乳胶，室内使用10-15 年。</w:t>
      </w:r>
    </w:p>
    <w:p>
      <w:pPr>
        <w:widowControl/>
        <w:numPr>
          <w:ilvl w:val="0"/>
          <w:numId w:val="10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规格：35mm×43mm+14mm（可根据实际定制）。</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8"/>
          <w:lang w:val="en-US" w:eastAsia="zh-CN" w:bidi="ar-SA"/>
        </w:rPr>
      </w:pPr>
      <w:bookmarkStart w:id="565" w:name="_Toc25651343"/>
      <w:bookmarkStart w:id="566" w:name="_Toc17624871"/>
      <w:r>
        <w:rPr>
          <w:rFonts w:hint="eastAsia" w:ascii="仿宋" w:hAnsi="仿宋" w:eastAsia="仿宋" w:cs="仿宋"/>
          <w:b w:val="0"/>
          <w:bCs w:val="0"/>
          <w:kern w:val="2"/>
          <w:sz w:val="28"/>
          <w:szCs w:val="28"/>
          <w:lang w:val="en-US" w:eastAsia="zh-CN" w:bidi="ar-SA"/>
        </w:rPr>
        <w:t>光纤标签</w:t>
      </w:r>
      <w:bookmarkEnd w:id="565"/>
      <w:bookmarkEnd w:id="566"/>
    </w:p>
    <w:p>
      <w:pPr>
        <w:widowControl/>
        <w:numPr>
          <w:ilvl w:val="0"/>
          <w:numId w:val="10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形式：旗形签，双面标注起始端、终止端、跳转路径信息，粘贴于线缆头部5cm 左右处。</w:t>
      </w:r>
    </w:p>
    <w:p>
      <w:pPr>
        <w:widowControl/>
        <w:numPr>
          <w:ilvl w:val="0"/>
          <w:numId w:val="10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材质：基材为乙烯或聚酯类材料，背胶采用永久性丙烯酸类乳胶，室内使用10-15 年。</w:t>
      </w:r>
    </w:p>
    <w:p>
      <w:pPr>
        <w:widowControl/>
        <w:numPr>
          <w:ilvl w:val="0"/>
          <w:numId w:val="10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规格：蓝色，P 型/T 型，推荐35mm×24mm+20mm（可根据实际定制）。</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Times New Roman"/>
          <w:b w:val="0"/>
          <w:bCs/>
          <w:kern w:val="2"/>
          <w:sz w:val="28"/>
          <w:szCs w:val="28"/>
          <w:lang w:val="en-US" w:eastAsia="zh-CN" w:bidi="ar-SA"/>
        </w:rPr>
      </w:pPr>
      <w:bookmarkStart w:id="567" w:name="_Toc17624872"/>
      <w:bookmarkStart w:id="568" w:name="_Toc25651344"/>
      <w:r>
        <w:rPr>
          <w:rFonts w:hint="eastAsia" w:ascii="仿宋" w:hAnsi="仿宋" w:eastAsia="仿宋" w:cs="Times New Roman"/>
          <w:b w:val="0"/>
          <w:bCs/>
          <w:kern w:val="2"/>
          <w:sz w:val="28"/>
          <w:szCs w:val="28"/>
          <w:lang w:val="en-US" w:eastAsia="zh-CN" w:bidi="ar-SA"/>
        </w:rPr>
        <w:t>电源</w:t>
      </w:r>
      <w:r>
        <w:rPr>
          <w:rFonts w:hint="eastAsia" w:ascii="仿宋" w:hAnsi="仿宋" w:eastAsia="仿宋" w:cs="仿宋"/>
          <w:b w:val="0"/>
          <w:bCs/>
          <w:kern w:val="2"/>
          <w:sz w:val="28"/>
          <w:szCs w:val="24"/>
          <w:lang w:val="en-US" w:eastAsia="zh-CN" w:bidi="ar-SA"/>
        </w:rPr>
        <w:t>电缆</w:t>
      </w:r>
      <w:r>
        <w:rPr>
          <w:rFonts w:hint="eastAsia" w:ascii="仿宋" w:hAnsi="仿宋" w:eastAsia="仿宋" w:cs="Times New Roman"/>
          <w:b w:val="0"/>
          <w:bCs/>
          <w:kern w:val="2"/>
          <w:sz w:val="28"/>
          <w:szCs w:val="28"/>
          <w:lang w:val="en-US" w:eastAsia="zh-CN" w:bidi="ar-SA"/>
        </w:rPr>
        <w:t>标签</w:t>
      </w:r>
      <w:bookmarkEnd w:id="567"/>
      <w:bookmarkEnd w:id="568"/>
    </w:p>
    <w:p>
      <w:pPr>
        <w:widowControl/>
        <w:numPr>
          <w:ilvl w:val="0"/>
          <w:numId w:val="10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旗形签：</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形式：旗形签，双面标注起始端、终止端、跳转路径信息，粘贴于线缆头部5cm 左右处材质：基材为乙烯或聚酯类材料，背胶采用永久性丙烯酸类乳胶，室内使用10-15 年。</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规格：红色，P 型/T 型，推荐40mm×32mm+40mm（可根据实际定制）。</w:t>
      </w:r>
    </w:p>
    <w:p>
      <w:pPr>
        <w:widowControl/>
        <w:numPr>
          <w:ilvl w:val="0"/>
          <w:numId w:val="10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悬挂式：</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材质：基材为聚烯烃类材料，室内使用10-15 年。</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规格：70mm×50mm（可根据实际定制）。</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569" w:name="_Toc25651345"/>
      <w:bookmarkStart w:id="570" w:name="_Toc17624873"/>
      <w:r>
        <w:rPr>
          <w:rFonts w:hint="eastAsia" w:ascii="仿宋" w:hAnsi="仿宋" w:eastAsia="仿宋" w:cs="Times New Roman"/>
          <w:b/>
          <w:bCs/>
          <w:kern w:val="2"/>
          <w:sz w:val="28"/>
          <w:szCs w:val="28"/>
          <w:lang w:val="en-US" w:eastAsia="zh-CN" w:bidi="ar-SA"/>
        </w:rPr>
        <w:t>走线架标识</w:t>
      </w:r>
      <w:bookmarkEnd w:id="569"/>
      <w:bookmarkEnd w:id="570"/>
    </w:p>
    <w:p>
      <w:pPr>
        <w:keepNext/>
        <w:keepLines/>
        <w:numPr>
          <w:ilvl w:val="4"/>
          <w:numId w:val="2"/>
        </w:numPr>
        <w:spacing w:before="190" w:beforeLines="50" w:after="190" w:afterLines="50" w:line="240" w:lineRule="auto"/>
        <w:ind w:left="0" w:firstLine="0"/>
        <w:jc w:val="both"/>
        <w:outlineLvl w:val="4"/>
        <w:rPr>
          <w:rFonts w:hint="eastAsia" w:ascii="Calibri" w:hAnsi="Calibri" w:eastAsia="仿宋" w:cs="Times New Roman"/>
          <w:b w:val="0"/>
          <w:bCs w:val="0"/>
          <w:kern w:val="2"/>
          <w:sz w:val="28"/>
          <w:szCs w:val="28"/>
          <w:lang w:val="en-US" w:eastAsia="zh-CN" w:bidi="ar-SA"/>
        </w:rPr>
      </w:pPr>
      <w:r>
        <w:rPr>
          <w:rFonts w:hint="eastAsia" w:ascii="Calibri" w:hAnsi="Calibri" w:eastAsia="仿宋" w:cs="Times New Roman"/>
          <w:b w:val="0"/>
          <w:bCs w:val="0"/>
          <w:kern w:val="2"/>
          <w:sz w:val="28"/>
          <w:szCs w:val="28"/>
          <w:lang w:val="en-US" w:eastAsia="zh-CN" w:bidi="ar-SA"/>
        </w:rPr>
        <w:t>弱电标签：</w:t>
      </w:r>
    </w:p>
    <w:p>
      <w:pPr>
        <w:widowControl/>
        <w:numPr>
          <w:ilvl w:val="0"/>
          <w:numId w:val="10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材质：基材为乙烯类材料，背胶采用永久性丙烯酸类乳胶，室内使用10-15 年。</w:t>
      </w:r>
    </w:p>
    <w:p>
      <w:pPr>
        <w:widowControl/>
        <w:numPr>
          <w:ilvl w:val="0"/>
          <w:numId w:val="10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规格：200mm×40mm（可根据实际定制）。</w:t>
      </w:r>
    </w:p>
    <w:p>
      <w:pPr>
        <w:widowControl/>
        <w:numPr>
          <w:ilvl w:val="0"/>
          <w:numId w:val="10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强电标签：</w:t>
      </w:r>
    </w:p>
    <w:p>
      <w:pPr>
        <w:widowControl/>
        <w:numPr>
          <w:ilvl w:val="0"/>
          <w:numId w:val="10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材质：基材为乙烯类材料，背胶采用永久性丙烯酸类乳胶，室内使用10-15 年。</w:t>
      </w:r>
    </w:p>
    <w:p>
      <w:pPr>
        <w:widowControl/>
        <w:numPr>
          <w:ilvl w:val="0"/>
          <w:numId w:val="10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规格：200mm×40mm（可根据实际定制）。</w:t>
      </w:r>
    </w:p>
    <w:p>
      <w:pPr>
        <w:keepNext/>
        <w:keepLines/>
        <w:numPr>
          <w:ilvl w:val="4"/>
          <w:numId w:val="2"/>
        </w:numPr>
        <w:spacing w:before="190" w:beforeLines="50" w:after="190" w:afterLines="50" w:line="240" w:lineRule="auto"/>
        <w:ind w:left="0" w:firstLine="0"/>
        <w:jc w:val="both"/>
        <w:outlineLvl w:val="4"/>
        <w:rPr>
          <w:rFonts w:hint="eastAsia" w:ascii="Calibri" w:hAnsi="Calibri" w:eastAsia="仿宋" w:cs="Times New Roman"/>
          <w:b w:val="0"/>
          <w:bCs w:val="0"/>
          <w:kern w:val="2"/>
          <w:sz w:val="28"/>
          <w:szCs w:val="28"/>
          <w:lang w:val="en-US" w:eastAsia="zh-CN" w:bidi="ar-SA"/>
        </w:rPr>
      </w:pPr>
      <w:bookmarkStart w:id="571" w:name="_Toc17624874"/>
      <w:bookmarkStart w:id="572" w:name="_Toc25651346"/>
      <w:r>
        <w:rPr>
          <w:rFonts w:hint="eastAsia" w:ascii="Calibri" w:hAnsi="Calibri" w:eastAsia="仿宋" w:cs="Times New Roman"/>
          <w:b w:val="0"/>
          <w:bCs w:val="0"/>
          <w:kern w:val="2"/>
          <w:sz w:val="28"/>
          <w:szCs w:val="28"/>
          <w:lang w:val="en-US" w:eastAsia="zh-CN" w:bidi="ar-SA"/>
        </w:rPr>
        <w:t>机柜号标签</w:t>
      </w:r>
      <w:bookmarkEnd w:id="571"/>
      <w:bookmarkEnd w:id="572"/>
    </w:p>
    <w:p>
      <w:pPr>
        <w:widowControl/>
        <w:numPr>
          <w:ilvl w:val="0"/>
          <w:numId w:val="11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材质：基材为乙烯、聚酯或聚酯复合类材料，背胶采用永久性丙烯酸类乳胶，室内使用10-15 年。</w:t>
      </w:r>
    </w:p>
    <w:p>
      <w:pPr>
        <w:widowControl/>
        <w:numPr>
          <w:ilvl w:val="0"/>
          <w:numId w:val="11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规格：根据实际位置定制。</w:t>
      </w:r>
    </w:p>
    <w:p>
      <w:pPr>
        <w:widowControl/>
        <w:numPr>
          <w:ilvl w:val="0"/>
          <w:numId w:val="11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标准色彩：C100 M5 Y50 K40 PANTONE 3292C，透明度60%。</w:t>
      </w:r>
    </w:p>
    <w:p>
      <w:pPr>
        <w:keepNext/>
        <w:keepLines/>
        <w:numPr>
          <w:ilvl w:val="4"/>
          <w:numId w:val="2"/>
        </w:numPr>
        <w:spacing w:before="190" w:beforeLines="50" w:after="190" w:afterLines="50" w:line="240" w:lineRule="auto"/>
        <w:ind w:left="0" w:firstLine="0"/>
        <w:jc w:val="both"/>
        <w:outlineLvl w:val="4"/>
        <w:rPr>
          <w:rFonts w:hint="eastAsia" w:ascii="Calibri" w:hAnsi="Calibri" w:eastAsia="仿宋" w:cs="Times New Roman"/>
          <w:b w:val="0"/>
          <w:bCs w:val="0"/>
          <w:kern w:val="2"/>
          <w:sz w:val="28"/>
          <w:szCs w:val="28"/>
          <w:lang w:val="en-US" w:eastAsia="zh-CN" w:bidi="ar-SA"/>
        </w:rPr>
      </w:pPr>
      <w:bookmarkStart w:id="573" w:name="_Toc17624875"/>
      <w:bookmarkStart w:id="574" w:name="_Toc25651347"/>
      <w:r>
        <w:rPr>
          <w:rFonts w:hint="eastAsia" w:ascii="Calibri" w:hAnsi="Calibri" w:eastAsia="仿宋" w:cs="Times New Roman"/>
          <w:b w:val="0"/>
          <w:bCs w:val="0"/>
          <w:kern w:val="2"/>
          <w:sz w:val="28"/>
          <w:szCs w:val="28"/>
          <w:lang w:val="en-US" w:eastAsia="zh-CN" w:bidi="ar-SA"/>
        </w:rPr>
        <w:t>配线架标识</w:t>
      </w:r>
      <w:bookmarkEnd w:id="573"/>
      <w:bookmarkEnd w:id="574"/>
    </w:p>
    <w:p>
      <w:pPr>
        <w:widowControl/>
        <w:numPr>
          <w:ilvl w:val="0"/>
          <w:numId w:val="1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形式：连续端口，可单独替换。</w:t>
      </w:r>
    </w:p>
    <w:p>
      <w:pPr>
        <w:widowControl/>
        <w:numPr>
          <w:ilvl w:val="0"/>
          <w:numId w:val="1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材质：基材为乙烯、聚酯类材料，背胶采用永久性丙烯酸类乳胶，室内使用10-15 年。</w:t>
      </w:r>
    </w:p>
    <w:p>
      <w:pPr>
        <w:widowControl/>
        <w:numPr>
          <w:ilvl w:val="0"/>
          <w:numId w:val="1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规格：连续端口，中间以虚刀相连接。</w:t>
      </w:r>
    </w:p>
    <w:p>
      <w:pPr>
        <w:widowControl/>
        <w:numPr>
          <w:ilvl w:val="0"/>
          <w:numId w:val="1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备注：标识内容自定义。</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575" w:name="_Toc17624876"/>
      <w:bookmarkStart w:id="576" w:name="_Toc25651348"/>
      <w:r>
        <w:rPr>
          <w:rFonts w:hint="eastAsia" w:ascii="仿宋" w:hAnsi="仿宋" w:eastAsia="仿宋" w:cs="Times New Roman"/>
          <w:b/>
          <w:bCs/>
          <w:kern w:val="2"/>
          <w:sz w:val="28"/>
          <w:szCs w:val="28"/>
          <w:lang w:val="en-US" w:eastAsia="zh-CN" w:bidi="ar-SA"/>
        </w:rPr>
        <w:t>空间环境标识</w:t>
      </w:r>
      <w:bookmarkEnd w:id="575"/>
      <w:bookmarkEnd w:id="576"/>
    </w:p>
    <w:p>
      <w:pPr>
        <w:widowControl/>
        <w:numPr>
          <w:ilvl w:val="0"/>
          <w:numId w:val="11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形式：粘贴于机房相应位置。</w:t>
      </w:r>
    </w:p>
    <w:p>
      <w:pPr>
        <w:widowControl/>
        <w:numPr>
          <w:ilvl w:val="0"/>
          <w:numId w:val="11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材质：基材为聚酯类材料，背胶采用永久性丙烯酸类乳胶，室内使用10-15 年。</w:t>
      </w:r>
    </w:p>
    <w:p>
      <w:pPr>
        <w:widowControl/>
        <w:numPr>
          <w:ilvl w:val="0"/>
          <w:numId w:val="11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规格：根据实际位置定制。</w:t>
      </w:r>
    </w:p>
    <w:p>
      <w:pPr>
        <w:widowControl/>
        <w:numPr>
          <w:ilvl w:val="0"/>
          <w:numId w:val="11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备注：空间标识供选择性使用，但安全出口、灭火器警示为必须使用。</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577" w:name="_Toc17624877"/>
      <w:bookmarkStart w:id="578" w:name="_Toc25651349"/>
      <w:r>
        <w:rPr>
          <w:rFonts w:hint="eastAsia" w:ascii="仿宋" w:hAnsi="仿宋" w:eastAsia="仿宋" w:cs="Times New Roman"/>
          <w:b/>
          <w:bCs/>
          <w:kern w:val="2"/>
          <w:sz w:val="28"/>
          <w:szCs w:val="28"/>
          <w:lang w:val="en-US" w:eastAsia="zh-CN" w:bidi="ar-SA"/>
        </w:rPr>
        <w:t>色彩管理</w:t>
      </w:r>
      <w:bookmarkEnd w:id="577"/>
      <w:bookmarkEnd w:id="578"/>
    </w:p>
    <w:p>
      <w:pPr>
        <w:widowControl/>
        <w:spacing w:line="560" w:lineRule="exact"/>
        <w:ind w:firstLine="280" w:firstLineChars="100"/>
        <w:textAlignment w:val="center"/>
        <w:rPr>
          <w:rFonts w:hint="eastAsia" w:ascii="仿宋" w:hAnsi="仿宋" w:eastAsia="仿宋" w:cs="Times New Roman"/>
          <w:bCs/>
          <w:sz w:val="28"/>
          <w:szCs w:val="28"/>
        </w:rPr>
      </w:pPr>
      <w:r>
        <w:rPr>
          <w:rFonts w:hint="eastAsia" w:ascii="仿宋" w:hAnsi="仿宋" w:eastAsia="仿宋" w:cs="Times New Roman"/>
          <w:bCs/>
          <w:sz w:val="28"/>
          <w:szCs w:val="28"/>
        </w:rPr>
        <w:t>★重点提示：招标阶段仅供参考，后续以项目实际情况和招标人实际需求现场确定。</w:t>
      </w:r>
    </w:p>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r>
        <w:rPr>
          <w:rFonts w:hint="eastAsia" w:ascii="Calibri" w:hAnsi="Calibri" w:eastAsia="仿宋" w:cs="Times New Roman"/>
          <w:b w:val="0"/>
          <w:bCs w:val="0"/>
          <w:kern w:val="2"/>
          <w:sz w:val="28"/>
          <w:szCs w:val="28"/>
          <w:lang w:val="en-US" w:eastAsia="zh-CN" w:bidi="ar-SA"/>
        </w:rPr>
        <w:t>空调系统</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
        <w:gridCol w:w="1916"/>
        <w:gridCol w:w="1779"/>
        <w:gridCol w:w="2236"/>
        <w:gridCol w:w="20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b/>
                <w:color w:val="000000"/>
                <w:sz w:val="24"/>
                <w:szCs w:val="24"/>
              </w:rPr>
            </w:pPr>
            <w:r>
              <w:rPr>
                <w:rFonts w:hint="eastAsia" w:ascii="仿宋" w:hAnsi="仿宋" w:eastAsia="仿宋" w:cs="Arial"/>
                <w:b/>
                <w:color w:val="000000"/>
                <w:sz w:val="24"/>
                <w:szCs w:val="24"/>
              </w:rPr>
              <w:t>序号</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b/>
                <w:color w:val="000000"/>
                <w:sz w:val="24"/>
                <w:szCs w:val="24"/>
              </w:rPr>
            </w:pPr>
            <w:r>
              <w:rPr>
                <w:rFonts w:hint="eastAsia" w:ascii="仿宋" w:hAnsi="仿宋" w:eastAsia="仿宋" w:cs="Arial"/>
                <w:b/>
                <w:color w:val="000000"/>
                <w:sz w:val="24"/>
                <w:szCs w:val="24"/>
              </w:rPr>
              <w:t>管线类型</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b/>
                <w:color w:val="000000"/>
                <w:sz w:val="24"/>
                <w:szCs w:val="24"/>
              </w:rPr>
            </w:pPr>
            <w:r>
              <w:rPr>
                <w:rFonts w:hint="eastAsia" w:ascii="仿宋" w:hAnsi="仿宋" w:eastAsia="仿宋" w:cs="Arial"/>
                <w:b/>
                <w:color w:val="000000"/>
                <w:sz w:val="24"/>
                <w:szCs w:val="24"/>
              </w:rPr>
              <w:t>安装方式</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b/>
                <w:color w:val="000000"/>
                <w:sz w:val="24"/>
                <w:szCs w:val="24"/>
              </w:rPr>
            </w:pPr>
            <w:r>
              <w:rPr>
                <w:rFonts w:hint="eastAsia" w:ascii="仿宋" w:hAnsi="仿宋" w:eastAsia="仿宋" w:cs="Arial"/>
                <w:b/>
                <w:color w:val="000000"/>
                <w:sz w:val="24"/>
                <w:szCs w:val="24"/>
              </w:rPr>
              <w:t>外表面保护层颜色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b/>
                <w:color w:val="000000"/>
                <w:sz w:val="24"/>
                <w:szCs w:val="24"/>
              </w:rPr>
            </w:pPr>
            <w:r>
              <w:rPr>
                <w:rFonts w:hint="eastAsia" w:ascii="仿宋" w:hAnsi="仿宋" w:eastAsia="仿宋" w:cs="Arial"/>
                <w:b/>
                <w:color w:val="000000"/>
                <w:sz w:val="24"/>
                <w:szCs w:val="24"/>
              </w:rPr>
              <w:t>标识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1</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冷媒管道</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明装、暗装</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原镀锌色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2</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给水管</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暗装</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白色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浅兰环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3</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排水管</w:t>
            </w:r>
          </w:p>
        </w:tc>
        <w:tc>
          <w:tcPr>
            <w:tcW w:w="1779" w:type="dxa"/>
            <w:noWrap w:val="0"/>
            <w:vAlign w:val="top"/>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暗装</w:t>
            </w:r>
          </w:p>
        </w:tc>
        <w:tc>
          <w:tcPr>
            <w:tcW w:w="2236" w:type="dxa"/>
            <w:noWrap w:val="0"/>
            <w:vAlign w:val="top"/>
          </w:tcPr>
          <w:p>
            <w:pPr>
              <w:widowControl/>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黑色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4</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新/排风管</w:t>
            </w:r>
          </w:p>
        </w:tc>
        <w:tc>
          <w:tcPr>
            <w:tcW w:w="1779" w:type="dxa"/>
            <w:noWrap w:val="0"/>
            <w:vAlign w:val="top"/>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明装、暗装</w:t>
            </w:r>
          </w:p>
        </w:tc>
        <w:tc>
          <w:tcPr>
            <w:tcW w:w="2236" w:type="dxa"/>
            <w:noWrap w:val="0"/>
            <w:vAlign w:val="top"/>
          </w:tcPr>
          <w:p>
            <w:pPr>
              <w:widowControl/>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原铝色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箭头+说明</w:t>
            </w:r>
          </w:p>
        </w:tc>
      </w:tr>
    </w:tbl>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r>
        <w:rPr>
          <w:rFonts w:hint="eastAsia" w:ascii="Calibri" w:hAnsi="Calibri" w:eastAsia="仿宋" w:cs="Times New Roman"/>
          <w:b w:val="0"/>
          <w:bCs w:val="0"/>
          <w:kern w:val="2"/>
          <w:sz w:val="28"/>
          <w:szCs w:val="28"/>
          <w:lang w:val="en-US" w:eastAsia="zh-CN" w:bidi="ar-SA"/>
        </w:rPr>
        <w:t>电气系统</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
        <w:gridCol w:w="1916"/>
        <w:gridCol w:w="1779"/>
        <w:gridCol w:w="2236"/>
        <w:gridCol w:w="20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b/>
                <w:color w:val="000000"/>
                <w:sz w:val="24"/>
                <w:szCs w:val="24"/>
              </w:rPr>
            </w:pPr>
            <w:r>
              <w:rPr>
                <w:rFonts w:hint="eastAsia" w:ascii="仿宋" w:hAnsi="仿宋" w:eastAsia="仿宋" w:cs="Arial"/>
                <w:b/>
                <w:color w:val="000000"/>
                <w:sz w:val="24"/>
                <w:szCs w:val="24"/>
              </w:rPr>
              <w:t>序号</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b/>
                <w:color w:val="000000"/>
                <w:sz w:val="24"/>
                <w:szCs w:val="24"/>
              </w:rPr>
            </w:pPr>
            <w:r>
              <w:rPr>
                <w:rFonts w:hint="eastAsia" w:ascii="仿宋" w:hAnsi="仿宋" w:eastAsia="仿宋" w:cs="Arial"/>
                <w:b/>
                <w:color w:val="000000"/>
                <w:sz w:val="24"/>
                <w:szCs w:val="24"/>
              </w:rPr>
              <w:t>类型</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b/>
                <w:color w:val="000000"/>
                <w:sz w:val="24"/>
                <w:szCs w:val="24"/>
              </w:rPr>
            </w:pPr>
            <w:r>
              <w:rPr>
                <w:rFonts w:hint="eastAsia" w:ascii="仿宋" w:hAnsi="仿宋" w:eastAsia="仿宋" w:cs="Arial"/>
                <w:b/>
                <w:color w:val="000000"/>
                <w:sz w:val="24"/>
                <w:szCs w:val="24"/>
              </w:rPr>
              <w:t>敷设方式</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b/>
                <w:color w:val="000000"/>
                <w:sz w:val="24"/>
                <w:szCs w:val="24"/>
              </w:rPr>
            </w:pPr>
            <w:r>
              <w:rPr>
                <w:rFonts w:hint="eastAsia" w:ascii="仿宋" w:hAnsi="仿宋" w:eastAsia="仿宋" w:cs="Arial"/>
                <w:b/>
                <w:color w:val="000000"/>
                <w:sz w:val="24"/>
                <w:szCs w:val="24"/>
              </w:rPr>
              <w:t>外表面颜色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b/>
                <w:color w:val="000000"/>
                <w:sz w:val="24"/>
                <w:szCs w:val="24"/>
              </w:rPr>
            </w:pPr>
            <w:r>
              <w:rPr>
                <w:rFonts w:hint="eastAsia" w:ascii="仿宋" w:hAnsi="仿宋" w:eastAsia="仿宋" w:cs="Arial"/>
                <w:b/>
                <w:color w:val="000000"/>
                <w:sz w:val="24"/>
                <w:szCs w:val="24"/>
              </w:rPr>
              <w:t>标识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1</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市电A路</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母线、桥架</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红色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箭头+说明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2</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市电B路</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母线、桥架</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深蓝色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箭头+说明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3</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UPS电源A路</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母线、桥架</w:t>
            </w:r>
          </w:p>
        </w:tc>
        <w:tc>
          <w:tcPr>
            <w:tcW w:w="2236" w:type="dxa"/>
            <w:noWrap w:val="0"/>
            <w:vAlign w:val="top"/>
          </w:tcPr>
          <w:p>
            <w:pPr>
              <w:widowControl/>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绿色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箭头+说明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4</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UPS电源B路</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母线、桥架</w:t>
            </w:r>
          </w:p>
        </w:tc>
        <w:tc>
          <w:tcPr>
            <w:tcW w:w="2236" w:type="dxa"/>
            <w:noWrap w:val="0"/>
            <w:vAlign w:val="top"/>
          </w:tcPr>
          <w:p>
            <w:pPr>
              <w:widowControl/>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浅蓝色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箭头+说明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5</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应急照明开关</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暗装</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金色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标签+编号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6</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普通照明开关</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暗装</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白色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标签+编号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7</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UPS电源插座</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暗装</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金色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标签+编号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8</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工作专用市电插座</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暗装</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银色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标签+编号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9</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一般维护插座</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暗装</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白色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标签+编号</w:t>
            </w:r>
          </w:p>
        </w:tc>
      </w:tr>
    </w:tbl>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r>
        <w:rPr>
          <w:rFonts w:hint="eastAsia" w:ascii="Calibri" w:hAnsi="Calibri" w:eastAsia="仿宋" w:cs="Times New Roman"/>
          <w:b w:val="0"/>
          <w:bCs w:val="0"/>
          <w:kern w:val="2"/>
          <w:sz w:val="28"/>
          <w:szCs w:val="28"/>
          <w:lang w:val="en-US" w:eastAsia="zh-CN" w:bidi="ar-SA"/>
        </w:rPr>
        <w:t>弱电系统（按实际需求确定）</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
        <w:gridCol w:w="1916"/>
        <w:gridCol w:w="1779"/>
        <w:gridCol w:w="2236"/>
        <w:gridCol w:w="20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b/>
                <w:color w:val="000000"/>
                <w:sz w:val="24"/>
                <w:szCs w:val="24"/>
              </w:rPr>
            </w:pPr>
            <w:r>
              <w:rPr>
                <w:rFonts w:hint="eastAsia" w:ascii="仿宋" w:hAnsi="仿宋" w:eastAsia="仿宋" w:cs="Arial"/>
                <w:b/>
                <w:color w:val="000000"/>
                <w:sz w:val="24"/>
                <w:szCs w:val="24"/>
              </w:rPr>
              <w:t>序号</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b/>
                <w:color w:val="000000"/>
                <w:sz w:val="24"/>
                <w:szCs w:val="24"/>
              </w:rPr>
            </w:pPr>
            <w:r>
              <w:rPr>
                <w:rFonts w:hint="eastAsia" w:ascii="仿宋" w:hAnsi="仿宋" w:eastAsia="仿宋" w:cs="Arial"/>
                <w:b/>
                <w:color w:val="000000"/>
                <w:sz w:val="24"/>
                <w:szCs w:val="24"/>
              </w:rPr>
              <w:t>类型</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b/>
                <w:color w:val="000000"/>
                <w:sz w:val="24"/>
                <w:szCs w:val="24"/>
              </w:rPr>
            </w:pPr>
            <w:r>
              <w:rPr>
                <w:rFonts w:hint="eastAsia" w:ascii="仿宋" w:hAnsi="仿宋" w:eastAsia="仿宋" w:cs="Arial"/>
                <w:b/>
                <w:color w:val="000000"/>
                <w:sz w:val="24"/>
                <w:szCs w:val="24"/>
              </w:rPr>
              <w:t>敷设方式</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b/>
                <w:color w:val="000000"/>
                <w:sz w:val="24"/>
                <w:szCs w:val="24"/>
              </w:rPr>
            </w:pPr>
            <w:r>
              <w:rPr>
                <w:rFonts w:hint="eastAsia" w:ascii="仿宋" w:hAnsi="仿宋" w:eastAsia="仿宋" w:cs="Arial"/>
                <w:b/>
                <w:color w:val="000000"/>
                <w:sz w:val="24"/>
                <w:szCs w:val="24"/>
              </w:rPr>
              <w:t>外表面颜色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b/>
                <w:color w:val="000000"/>
                <w:sz w:val="24"/>
                <w:szCs w:val="24"/>
              </w:rPr>
            </w:pPr>
            <w:r>
              <w:rPr>
                <w:rFonts w:hint="eastAsia" w:ascii="仿宋" w:hAnsi="仿宋" w:eastAsia="仿宋" w:cs="Arial"/>
                <w:b/>
                <w:color w:val="000000"/>
                <w:sz w:val="24"/>
                <w:szCs w:val="24"/>
              </w:rPr>
              <w:t>标识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1</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机柜</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黑色哑光</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标签+编号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2</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柜顶桥架</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与机柜相同颜色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3</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柜列光纤槽道</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吊装</w:t>
            </w:r>
          </w:p>
        </w:tc>
        <w:tc>
          <w:tcPr>
            <w:tcW w:w="2236" w:type="dxa"/>
            <w:noWrap w:val="0"/>
            <w:vAlign w:val="top"/>
          </w:tcPr>
          <w:p>
            <w:pPr>
              <w:widowControl/>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黄色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4</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主干光纤槽道A路</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吊装</w:t>
            </w:r>
          </w:p>
        </w:tc>
        <w:tc>
          <w:tcPr>
            <w:tcW w:w="2236" w:type="dxa"/>
            <w:noWrap w:val="0"/>
            <w:vAlign w:val="top"/>
          </w:tcPr>
          <w:p>
            <w:pPr>
              <w:widowControl/>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黄色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5</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主干光纤槽道B路</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吊装</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橙红色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6</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业务网铜缆A/B</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桥架内敷设</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蓝色/黄色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标签+编号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7</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管理网铜缆A/B</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桥架内敷设</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绿色/白色</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标签+编号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8</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业务网光缆A/B</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桥架内敷设</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捆扎带及色环：蓝/黄</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标签+编号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9</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管理网光缆A/B</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桥架内敷设</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捆扎带及色环：绿/白</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标签+编号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10</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存储网光缆A/B</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桥架内敷设</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捆扎带及色环：紫/灰</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标签+编号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dxa"/>
            <w:noWrap w:val="0"/>
            <w:vAlign w:val="bottom"/>
          </w:tcPr>
          <w:p>
            <w:pPr>
              <w:widowControl w:val="0"/>
              <w:tabs>
                <w:tab w:val="left" w:pos="-70"/>
                <w:tab w:val="left" w:pos="709"/>
                <w:tab w:val="left" w:pos="747"/>
                <w:tab w:val="left" w:pos="993"/>
                <w:tab w:val="left" w:pos="1699"/>
              </w:tabs>
              <w:spacing w:line="560" w:lineRule="exact"/>
              <w:ind w:left="-65" w:leftChars="-31" w:right="-103" w:rightChars="-49"/>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11</w:t>
            </w:r>
          </w:p>
        </w:tc>
        <w:tc>
          <w:tcPr>
            <w:tcW w:w="191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云计算光缆A/B</w:t>
            </w:r>
          </w:p>
        </w:tc>
        <w:tc>
          <w:tcPr>
            <w:tcW w:w="1779"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桥架内敷设</w:t>
            </w:r>
          </w:p>
        </w:tc>
        <w:tc>
          <w:tcPr>
            <w:tcW w:w="223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捆扎带及色环：黑/橙</w:t>
            </w:r>
          </w:p>
        </w:tc>
        <w:tc>
          <w:tcPr>
            <w:tcW w:w="2006" w:type="dxa"/>
            <w:noWrap w:val="0"/>
            <w:vAlign w:val="bottom"/>
          </w:tcPr>
          <w:p>
            <w:pPr>
              <w:widowControl w:val="0"/>
              <w:tabs>
                <w:tab w:val="left" w:pos="-144"/>
                <w:tab w:val="left" w:pos="709"/>
                <w:tab w:val="left" w:pos="747"/>
                <w:tab w:val="left" w:pos="993"/>
                <w:tab w:val="left" w:pos="1699"/>
              </w:tabs>
              <w:spacing w:line="560" w:lineRule="exact"/>
              <w:jc w:val="center"/>
              <w:textAlignment w:val="center"/>
              <w:rPr>
                <w:rFonts w:hint="eastAsia" w:ascii="仿宋" w:hAnsi="仿宋" w:eastAsia="仿宋" w:cs="Arial"/>
                <w:color w:val="000000"/>
                <w:sz w:val="24"/>
                <w:szCs w:val="24"/>
              </w:rPr>
            </w:pPr>
            <w:r>
              <w:rPr>
                <w:rFonts w:hint="eastAsia" w:ascii="仿宋" w:hAnsi="仿宋" w:eastAsia="仿宋" w:cs="Arial"/>
                <w:color w:val="000000"/>
                <w:sz w:val="24"/>
                <w:szCs w:val="24"/>
              </w:rPr>
              <w:t>标签+编号</w:t>
            </w:r>
          </w:p>
        </w:tc>
      </w:tr>
    </w:tbl>
    <w:p>
      <w:pPr>
        <w:widowControl/>
        <w:spacing w:line="560" w:lineRule="exact"/>
        <w:ind w:firstLine="560" w:firstLineChars="200"/>
        <w:textAlignment w:val="center"/>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*上述色彩管理颜色方案，中标方需进行色彩管理的深化设计，在完成设计后确定色彩方案，并经招标人最终确认后方可实施。</w:t>
      </w:r>
    </w:p>
    <w:p>
      <w:pPr>
        <w:numPr>
          <w:ilvl w:val="3"/>
          <w:numId w:val="2"/>
        </w:numPr>
        <w:spacing w:before="0" w:beforeLines="0" w:after="0" w:afterLines="0" w:line="560" w:lineRule="exact"/>
        <w:ind w:left="0" w:firstLine="0"/>
        <w:jc w:val="both"/>
        <w:outlineLvl w:val="3"/>
        <w:rPr>
          <w:rFonts w:hint="eastAsia" w:ascii="仿宋" w:hAnsi="仿宋" w:eastAsia="仿宋" w:cs="Times New Roman"/>
          <w:b/>
          <w:bCs/>
          <w:kern w:val="2"/>
          <w:sz w:val="28"/>
          <w:szCs w:val="28"/>
          <w:lang w:val="en-US" w:eastAsia="zh-CN" w:bidi="ar-SA"/>
        </w:rPr>
      </w:pPr>
      <w:bookmarkStart w:id="579" w:name="_Toc25651350"/>
      <w:bookmarkStart w:id="580" w:name="_Toc17624878"/>
      <w:r>
        <w:rPr>
          <w:rFonts w:hint="eastAsia" w:ascii="仿宋" w:hAnsi="仿宋" w:eastAsia="仿宋" w:cs="Times New Roman"/>
          <w:b/>
          <w:bCs/>
          <w:kern w:val="2"/>
          <w:sz w:val="28"/>
          <w:szCs w:val="28"/>
          <w:lang w:val="en-US" w:eastAsia="zh-CN" w:bidi="ar-SA"/>
        </w:rPr>
        <w:t>油漆及标签</w:t>
      </w:r>
      <w:bookmarkEnd w:id="579"/>
      <w:bookmarkEnd w:id="580"/>
    </w:p>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bookmarkStart w:id="581" w:name="_Toc17624879"/>
      <w:r>
        <w:rPr>
          <w:rFonts w:hint="eastAsia" w:ascii="Calibri" w:hAnsi="Calibri" w:eastAsia="仿宋" w:cs="Times New Roman"/>
          <w:b w:val="0"/>
          <w:bCs w:val="0"/>
          <w:kern w:val="2"/>
          <w:sz w:val="28"/>
          <w:szCs w:val="28"/>
          <w:lang w:val="en-US" w:eastAsia="zh-CN" w:bidi="ar-SA"/>
        </w:rPr>
        <w:t>一般要求</w:t>
      </w:r>
      <w:bookmarkEnd w:id="581"/>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所有设备须按本章内所述要求提供所需的外层保护和修饰涂漆。</w:t>
      </w:r>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所有铁件或钢件包括管道、支架、吊架、结构钢框、设备基座等都须加以涂漆作保护。而所用的螺栓、螺母及垫片等须由防锈金属材料制成。</w:t>
      </w:r>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须严格遵照防锈底漆和外层面漆生产商的指示进行涂漆。同时为确保各种油漆互相兼容，应采用同一生产商的油漆产品。</w:t>
      </w:r>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除特别注明或经招标人特许外，所有产品在制成后须在厂内一个环境清洁及干燥的室内进行保护性的处理工作。在气温低于4°C或相对温度高于90%的环境下不能进行任何油漆工作。当有关保护处理工作进行期间，须对正在受处理的产品加以保护免受外界气候环境影响，直至有关工作完成为止。</w:t>
      </w:r>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所有的油漆产品均须符合当地消防局的要求。</w:t>
      </w:r>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所有已经处理的设备，无论在运输、储存和安装期间，必须特别小心以减少在吊运安装时，保护层受损坏。如确受损坏的地方，则需重新进行彻底处理。所有已涂上最面漆的设备，更需在付运前妥为包装保护。</w:t>
      </w:r>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每一层的涂漆均须按照规定的方法或其它经招标人、监理工程师认可的方法进行施工，以确保能提供划一而均匀的油漆涂层。同时在加髹油漆涂层前须确定已涂之油漆层已干透和表面无灰尘和污物。</w:t>
      </w:r>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当安装于管槽或吊顶内的管道或设施为镀锌钢制材料、塑料件或铜时，可不涂漆。惟管道支架仍需按有关要求涂上底漆及内层漆。</w:t>
      </w:r>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涂漆工作完成，还需按本章所述要求提供色带、指示箭头和文字。</w:t>
      </w:r>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所有油漆产品的生产商必须具有不少于十年生产油漆产品的经验。</w:t>
      </w:r>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提交完整的油漆产品及标签材料的说明书。</w:t>
      </w:r>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提交有关油漆的色彩样本，供招标人、监理工程师审批。</w:t>
      </w:r>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提交由油漆厂商所提供有关于施行油漆前的表面处理步骤和油漆程序的说明书。</w:t>
      </w:r>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所有漆油须在厂商指定使用限期内使用。同时有关漆油在开启使用后，不允许再加添油或稀释剂。</w:t>
      </w:r>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涂于所有钢铁表面及金属镀层表面的总干涂漆层厚度须按照本说明书要求但最薄不能少于0.2mm。</w:t>
      </w:r>
    </w:p>
    <w:p>
      <w:pPr>
        <w:widowControl/>
        <w:numPr>
          <w:ilvl w:val="0"/>
          <w:numId w:val="1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所有油漆材料，髹刷的程序和方法均须在施工前提交招标人、监理工程师作审批。并在施工过程中，监理工程师会对已施工部分提出要求进行测检，以确保品质符合要求标准。</w:t>
      </w:r>
    </w:p>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bookmarkStart w:id="582" w:name="_Toc17624880"/>
      <w:r>
        <w:rPr>
          <w:rFonts w:hint="eastAsia" w:ascii="Calibri" w:hAnsi="Calibri" w:eastAsia="仿宋" w:cs="Times New Roman"/>
          <w:b w:val="0"/>
          <w:bCs w:val="0"/>
          <w:kern w:val="2"/>
          <w:sz w:val="28"/>
          <w:szCs w:val="28"/>
          <w:lang w:val="en-US" w:eastAsia="zh-CN" w:bidi="ar-SA"/>
        </w:rPr>
        <w:t>镀锌钢材</w:t>
      </w:r>
      <w:bookmarkEnd w:id="582"/>
    </w:p>
    <w:p>
      <w:pPr>
        <w:widowControl/>
        <w:numPr>
          <w:ilvl w:val="0"/>
          <w:numId w:val="11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须按照国家有关标准内所载的有关章节进行镀锌。在镀锌进行前须先把钢材经酸洗化学处理，并将在钢材上的所有周边及孔眼清理后，再经热烘后浸在镀锌溶液池内。以0.276kg/M2的镀锌层重量均匀地覆盖在每件制成品的各个角落和表面。监理工程师会对已施工部分提出要求进行测检，以确保品质符合要求标准。</w:t>
      </w:r>
    </w:p>
    <w:p>
      <w:pPr>
        <w:widowControl/>
        <w:numPr>
          <w:ilvl w:val="0"/>
          <w:numId w:val="11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镀锌水管、支架、镀锌电线架、吊架和用于装配件等钢材须作下列油漆处理。</w:t>
      </w:r>
    </w:p>
    <w:p>
      <w:pPr>
        <w:widowControl/>
        <w:numPr>
          <w:ilvl w:val="0"/>
          <w:numId w:val="11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底层防锈漆。含铬酸锌颜料的油质防锈漆。如ICI DULUX F500-388或其它同类认可厂商的产品。</w:t>
      </w:r>
    </w:p>
    <w:p>
      <w:pPr>
        <w:widowControl/>
        <w:numPr>
          <w:ilvl w:val="0"/>
          <w:numId w:val="11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内层涂漆。经改良的亚麻油醇颜料漆。如 ICI DULUX A543-101或其它同类认可厂商的产品。</w:t>
      </w:r>
    </w:p>
    <w:p>
      <w:pPr>
        <w:widowControl/>
        <w:numPr>
          <w:ilvl w:val="0"/>
          <w:numId w:val="11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面层涂漆。经改良的长亚麻油醇酸抗菌光漆。如ICI DULUX A365光漆或其它同类认可厂商的产品。</w:t>
      </w:r>
    </w:p>
    <w:p>
      <w:pPr>
        <w:widowControl/>
        <w:numPr>
          <w:ilvl w:val="0"/>
          <w:numId w:val="11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须提供不少于一层底漆、一层内层涂漆及两层面漆。</w:t>
      </w:r>
    </w:p>
    <w:p>
      <w:pPr>
        <w:widowControl/>
        <w:numPr>
          <w:ilvl w:val="0"/>
          <w:numId w:val="11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每涂漆层的最小干涂漆厚度须按照油漆厂商的建议提供。</w:t>
      </w:r>
    </w:p>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bookmarkStart w:id="583" w:name="_Toc17624881"/>
      <w:r>
        <w:rPr>
          <w:rFonts w:hint="eastAsia" w:ascii="Calibri" w:hAnsi="Calibri" w:eastAsia="仿宋" w:cs="Times New Roman"/>
          <w:b w:val="0"/>
          <w:bCs w:val="0"/>
          <w:kern w:val="2"/>
          <w:sz w:val="28"/>
          <w:szCs w:val="28"/>
          <w:lang w:val="en-US" w:eastAsia="zh-CN" w:bidi="ar-SA"/>
        </w:rPr>
        <w:t>非镀锌钢材</w:t>
      </w:r>
      <w:bookmarkEnd w:id="583"/>
    </w:p>
    <w:p>
      <w:pPr>
        <w:widowControl/>
        <w:spacing w:line="560" w:lineRule="exact"/>
        <w:ind w:firstLine="560" w:firstLineChars="200"/>
        <w:textAlignment w:val="center"/>
        <w:rPr>
          <w:rFonts w:hint="eastAsia" w:ascii="仿宋" w:hAnsi="仿宋" w:eastAsia="仿宋" w:cs="Arial"/>
          <w:color w:val="000000"/>
          <w:sz w:val="28"/>
          <w:szCs w:val="28"/>
        </w:rPr>
      </w:pPr>
      <w:r>
        <w:rPr>
          <w:rFonts w:hint="eastAsia" w:ascii="仿宋" w:hAnsi="仿宋" w:eastAsia="仿宋" w:cs="Arial"/>
          <w:color w:val="000000"/>
          <w:sz w:val="28"/>
          <w:szCs w:val="28"/>
        </w:rPr>
        <w:t>如有：所有钢铁制品包括钢铁水管、铸铁水管及其它钢铁类管材、吊架和用于装配的部件、钢板及钢结构、钢支架和钢框等钢材均须提供一层底漆、一层内层涂漆及两层面漆，底漆一般应为红铅漆，其余内层及面层涂漆要求同前文。</w:t>
      </w:r>
    </w:p>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bookmarkStart w:id="584" w:name="_Toc17624882"/>
      <w:r>
        <w:rPr>
          <w:rFonts w:hint="eastAsia" w:ascii="Calibri" w:hAnsi="Calibri" w:eastAsia="仿宋" w:cs="Times New Roman"/>
          <w:b w:val="0"/>
          <w:bCs w:val="0"/>
          <w:kern w:val="2"/>
          <w:sz w:val="28"/>
          <w:szCs w:val="28"/>
          <w:lang w:val="en-US" w:eastAsia="zh-CN" w:bidi="ar-SA"/>
        </w:rPr>
        <w:t>设备</w:t>
      </w:r>
      <w:bookmarkEnd w:id="584"/>
    </w:p>
    <w:p>
      <w:pPr>
        <w:widowControl/>
        <w:numPr>
          <w:ilvl w:val="0"/>
          <w:numId w:val="11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设备的外壳和金属部件须按照其拟定的用途和操作要求提供不少于一层防锈底漆、一层内层涂漆及一至两层面漆。同时在施行涂漆前，所有金属表面均须经过不同程序的预处理保护例如：化学清理、喷砂打磨、酸洗处理、热镀或电镀锌等处理。</w:t>
      </w:r>
    </w:p>
    <w:p>
      <w:pPr>
        <w:widowControl/>
        <w:numPr>
          <w:ilvl w:val="0"/>
          <w:numId w:val="11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如在设备运输、储存或安装期间，涂漆层受到损坏时，则须无条件地采用原厂提供的漆油将整个设备重新髹刷。</w:t>
      </w:r>
    </w:p>
    <w:p>
      <w:pPr>
        <w:widowControl/>
        <w:numPr>
          <w:ilvl w:val="0"/>
          <w:numId w:val="11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因不适当的油漆材料、或因低劣的施工工艺、或因在设备运输、储存或安装期间不妥当处理而引致任何设备的部件和配件产生锈蚀时，须无条件地更换所有受损的部件和配件和重髹整个设备。在重髹漆及内外面漆前，须先将旧有的油漆铲除，再经化学清理，清洗和其它必须的预处理保护。有关修补细节须提交设计单位批准。</w:t>
      </w:r>
    </w:p>
    <w:p>
      <w:pPr>
        <w:widowControl/>
        <w:numPr>
          <w:ilvl w:val="0"/>
          <w:numId w:val="11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所有设备、机组、配件等之外露表面的面漆颜色，生产商必须遵照本章所定的色标提供。</w:t>
      </w:r>
    </w:p>
    <w:p>
      <w:pPr>
        <w:widowControl/>
        <w:numPr>
          <w:ilvl w:val="0"/>
          <w:numId w:val="11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生产商所提供的原厂标准设备面漆颜色，如不符合上述的色标表时，不一定会被接受，生产商会被要求无条件地按照本规格说明书之要求更改其面漆颜色。有关细节须提交招标人、监理工程师批准。</w:t>
      </w:r>
    </w:p>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bookmarkStart w:id="585" w:name="_Toc17624884"/>
      <w:r>
        <w:rPr>
          <w:rFonts w:hint="eastAsia" w:ascii="Calibri" w:hAnsi="Calibri" w:eastAsia="仿宋" w:cs="Times New Roman"/>
          <w:b w:val="0"/>
          <w:bCs w:val="0"/>
          <w:kern w:val="2"/>
          <w:sz w:val="28"/>
          <w:szCs w:val="28"/>
          <w:lang w:val="en-US" w:eastAsia="zh-CN" w:bidi="ar-SA"/>
        </w:rPr>
        <w:t>色标</w:t>
      </w:r>
      <w:bookmarkEnd w:id="585"/>
    </w:p>
    <w:p>
      <w:pPr>
        <w:widowControl/>
        <w:numPr>
          <w:ilvl w:val="0"/>
          <w:numId w:val="11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所有的面漆颜色须符合国家有关标准，而色标的颜色须在采用前先征得招标人的认可。</w:t>
      </w:r>
    </w:p>
    <w:p>
      <w:pPr>
        <w:widowControl/>
        <w:numPr>
          <w:ilvl w:val="0"/>
          <w:numId w:val="116"/>
        </w:numPr>
        <w:spacing w:line="560" w:lineRule="exact"/>
        <w:ind w:left="0" w:firstLine="0"/>
        <w:rPr>
          <w:rFonts w:hint="eastAsia" w:ascii="仿宋" w:hAnsi="仿宋" w:eastAsia="仿宋" w:cs="Arial"/>
          <w:color w:val="000000"/>
          <w:sz w:val="28"/>
          <w:szCs w:val="28"/>
        </w:rPr>
      </w:pPr>
      <w:r>
        <w:rPr>
          <w:rFonts w:hint="eastAsia" w:ascii="仿宋" w:hAnsi="仿宋" w:eastAsia="仿宋" w:cs="Times New Roman"/>
          <w:sz w:val="28"/>
          <w:szCs w:val="28"/>
          <w:lang w:val="zh-CN"/>
        </w:rPr>
        <w:t>颜色边带：</w:t>
      </w:r>
      <w:r>
        <w:rPr>
          <w:rFonts w:hint="eastAsia" w:ascii="仿宋" w:hAnsi="仿宋" w:eastAsia="仿宋" w:cs="Arial"/>
          <w:color w:val="000000"/>
          <w:sz w:val="28"/>
          <w:szCs w:val="28"/>
        </w:rPr>
        <w:t>每个颜色边带的间距不能超过2m，同时在管道转弯处、分支位和当经过不同的房间和区域时，仍须在两侧加上颜色边带。当两根或以上的管道平行安装时，有关色带须安排装设在各管道的同一位置。</w:t>
      </w:r>
    </w:p>
    <w:p>
      <w:pPr>
        <w:widowControl/>
        <w:numPr>
          <w:ilvl w:val="0"/>
          <w:numId w:val="11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有关设备的吊架、支架需涂上与其所属的管道同一颜色的油漆。</w:t>
      </w:r>
    </w:p>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bookmarkStart w:id="586" w:name="_Toc17624885"/>
      <w:r>
        <w:rPr>
          <w:rFonts w:hint="eastAsia" w:ascii="Calibri" w:hAnsi="Calibri" w:eastAsia="仿宋" w:cs="Times New Roman"/>
          <w:b w:val="0"/>
          <w:bCs w:val="0"/>
          <w:kern w:val="2"/>
          <w:sz w:val="28"/>
          <w:szCs w:val="28"/>
          <w:lang w:val="en-US" w:eastAsia="zh-CN" w:bidi="ar-SA"/>
        </w:rPr>
        <w:t>标签</w:t>
      </w:r>
      <w:bookmarkEnd w:id="586"/>
    </w:p>
    <w:p>
      <w:pPr>
        <w:widowControl/>
        <w:numPr>
          <w:ilvl w:val="0"/>
          <w:numId w:val="11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安装的设备须按其功能或系统以中文及英文提供标志铭牌，而有关标记须与竣工图内的设备表、示意图等互相吻合。标志铭牌一般采用背刻以红字的不碎透明塑胶片或刻以白字的黑白相间塑胶片，或按招标人所要求的材料。</w:t>
      </w:r>
    </w:p>
    <w:p>
      <w:pPr>
        <w:widowControl/>
        <w:numPr>
          <w:ilvl w:val="0"/>
          <w:numId w:val="11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整个系统内的每个阀门均须在手轮上或阀体上以铜链系上一个刻上白字和直径及厚度分别不少于50mm和1.5 mm的圆开黑白相间塑胶片作为标记。</w:t>
      </w:r>
    </w:p>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bookmarkStart w:id="587" w:name="_Toc17624886"/>
      <w:r>
        <w:rPr>
          <w:rFonts w:hint="eastAsia" w:ascii="Calibri" w:hAnsi="Calibri" w:eastAsia="仿宋" w:cs="Times New Roman"/>
          <w:b w:val="0"/>
          <w:bCs w:val="0"/>
          <w:kern w:val="2"/>
          <w:sz w:val="28"/>
          <w:szCs w:val="28"/>
          <w:lang w:val="en-US" w:eastAsia="zh-CN" w:bidi="ar-SA"/>
        </w:rPr>
        <w:t>流向指示箭头及文字标记</w:t>
      </w:r>
      <w:bookmarkEnd w:id="587"/>
    </w:p>
    <w:p>
      <w:pPr>
        <w:widowControl/>
        <w:numPr>
          <w:ilvl w:val="0"/>
          <w:numId w:val="1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提供流向指示箭头和文字标记以指示有关管道内的水流向。当管道表面为非黑色时，采用黑色箭头和文字标记，反之则采用白色箭头和文字标记。</w:t>
      </w:r>
    </w:p>
    <w:p>
      <w:pPr>
        <w:widowControl/>
        <w:numPr>
          <w:ilvl w:val="0"/>
          <w:numId w:val="1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在每隔2m的外露水管表面两旁及在各阀门和分支，均须髹上指示箭头和文字标记。</w:t>
      </w:r>
    </w:p>
    <w:bookmarkEnd w:id="552"/>
    <w:bookmarkEnd w:id="553"/>
    <w:bookmarkEnd w:id="554"/>
    <w:bookmarkEnd w:id="555"/>
    <w:bookmarkEnd w:id="556"/>
    <w:bookmarkEnd w:id="557"/>
    <w:bookmarkEnd w:id="558"/>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588" w:name="_Toc3532"/>
      <w:bookmarkStart w:id="589" w:name="_Toc25651351"/>
      <w:r>
        <w:rPr>
          <w:rFonts w:hint="eastAsia" w:ascii="楷体" w:hAnsi="楷体" w:eastAsia="仿宋" w:cs="Times New Roman"/>
          <w:b/>
          <w:kern w:val="2"/>
          <w:sz w:val="28"/>
          <w:lang w:val="en-US" w:eastAsia="zh-CN" w:bidi="ar-SA"/>
        </w:rPr>
        <w:t>防火封堵</w:t>
      </w:r>
      <w:bookmarkEnd w:id="588"/>
      <w:bookmarkEnd w:id="589"/>
      <w:bookmarkStart w:id="590" w:name="_Toc172196463"/>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bookmarkStart w:id="591" w:name="_Toc25651352"/>
      <w:r>
        <w:rPr>
          <w:rFonts w:hint="eastAsia" w:ascii="楷体" w:hAnsi="楷体" w:eastAsia="仿宋" w:cs="Times New Roman"/>
          <w:b/>
          <w:kern w:val="2"/>
          <w:sz w:val="28"/>
          <w:szCs w:val="20"/>
          <w:lang w:val="en-US" w:eastAsia="zh-CN" w:bidi="ar-SA"/>
        </w:rPr>
        <w:t>防火封堵的主要</w:t>
      </w:r>
      <w:bookmarkEnd w:id="590"/>
      <w:r>
        <w:rPr>
          <w:rFonts w:hint="eastAsia" w:ascii="楷体" w:hAnsi="楷体" w:eastAsia="仿宋" w:cs="Times New Roman"/>
          <w:b/>
          <w:kern w:val="2"/>
          <w:sz w:val="28"/>
          <w:szCs w:val="20"/>
          <w:lang w:val="en-US" w:eastAsia="zh-CN" w:bidi="ar-SA"/>
        </w:rPr>
        <w:t>功能及选</w:t>
      </w:r>
      <w:bookmarkStart w:id="592" w:name="_Toc172196464"/>
      <w:r>
        <w:rPr>
          <w:rFonts w:hint="eastAsia" w:ascii="楷体" w:hAnsi="楷体" w:eastAsia="仿宋" w:cs="Times New Roman"/>
          <w:b/>
          <w:kern w:val="2"/>
          <w:sz w:val="28"/>
          <w:szCs w:val="20"/>
          <w:lang w:val="en-US" w:eastAsia="zh-CN" w:bidi="ar-SA"/>
        </w:rPr>
        <w:t>择</w:t>
      </w:r>
      <w:bookmarkEnd w:id="591"/>
    </w:p>
    <w:p>
      <w:pPr>
        <w:widowControl/>
        <w:spacing w:line="560" w:lineRule="exact"/>
        <w:ind w:firstLine="560" w:firstLineChars="200"/>
        <w:textAlignment w:val="center"/>
        <w:rPr>
          <w:rFonts w:hint="eastAsia" w:ascii="仿宋" w:hAnsi="仿宋" w:eastAsia="仿宋" w:cs="微软雅黑"/>
          <w:bCs/>
          <w:sz w:val="28"/>
          <w:szCs w:val="28"/>
        </w:rPr>
      </w:pPr>
      <w:r>
        <w:rPr>
          <w:rFonts w:hint="eastAsia" w:ascii="仿宋" w:hAnsi="仿宋" w:eastAsia="仿宋" w:cs="Times New Roman"/>
          <w:bCs/>
          <w:sz w:val="28"/>
          <w:szCs w:val="28"/>
        </w:rPr>
        <w:t>防火封堵材料按国产优质品牌选用，</w:t>
      </w:r>
      <w:r>
        <w:rPr>
          <w:rFonts w:hint="eastAsia" w:ascii="仿宋" w:hAnsi="仿宋" w:eastAsia="仿宋" w:cs="微软雅黑"/>
          <w:bCs/>
          <w:sz w:val="28"/>
          <w:szCs w:val="28"/>
        </w:rPr>
        <w:t>防火封堵系统自身不应该腐蚀电缆，应使用无卤的防火封堵材料；出于数据机房长期使用后需要更换线路的特殊情况，为节约成本，防火封堵材料必须便于二次扩容；防火封堵的作用是防止火势及烟气的扩散和蔓延，防火封堵系统必须具备2H以上的耐火时效报告及气密性4级以上的报告；在消防救援中，防火封堵系统必须耐消防水冲刷1H以上，以保持防火封堵系统的结构稳定性。</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bookmarkStart w:id="593" w:name="_Toc25651353"/>
      <w:r>
        <w:rPr>
          <w:rFonts w:hint="eastAsia" w:ascii="楷体" w:hAnsi="楷体" w:eastAsia="仿宋" w:cs="Times New Roman"/>
          <w:b/>
          <w:kern w:val="2"/>
          <w:sz w:val="28"/>
          <w:szCs w:val="20"/>
          <w:lang w:val="en-US" w:eastAsia="zh-CN" w:bidi="ar-SA"/>
        </w:rPr>
        <w:t>防火封堵系统的</w:t>
      </w:r>
      <w:bookmarkEnd w:id="592"/>
      <w:r>
        <w:rPr>
          <w:rFonts w:hint="eastAsia" w:ascii="楷体" w:hAnsi="楷体" w:eastAsia="仿宋" w:cs="Times New Roman"/>
          <w:b/>
          <w:kern w:val="2"/>
          <w:sz w:val="28"/>
          <w:szCs w:val="20"/>
          <w:lang w:val="en-US" w:eastAsia="zh-CN" w:bidi="ar-SA"/>
        </w:rPr>
        <w:t>分类</w:t>
      </w:r>
      <w:bookmarkEnd w:id="593"/>
    </w:p>
    <w:p>
      <w:pPr>
        <w:widowControl/>
        <w:spacing w:line="560" w:lineRule="exact"/>
        <w:ind w:firstLine="560" w:firstLineChars="200"/>
        <w:textAlignment w:val="center"/>
        <w:rPr>
          <w:rFonts w:hint="eastAsia" w:ascii="仿宋" w:hAnsi="仿宋" w:eastAsia="仿宋" w:cs="微软雅黑"/>
          <w:bCs/>
          <w:sz w:val="28"/>
          <w:szCs w:val="28"/>
        </w:rPr>
      </w:pPr>
      <w:r>
        <w:rPr>
          <w:rFonts w:hint="eastAsia" w:ascii="仿宋" w:hAnsi="仿宋" w:eastAsia="仿宋" w:cs="微软雅黑"/>
          <w:bCs/>
          <w:sz w:val="28"/>
          <w:szCs w:val="28"/>
        </w:rPr>
        <w:t>机房防火封堵系统主要有以下几种类型：电缆（沟）穿墙孔洞封堵，柜盘底部封堵，电缆穿楼板孔洞封堵，电缆通柜盘孔洞封堵，电缆竖井封堵，电缆穿管管口封堵，重要部位电缆（桥架走线孔）中间接头防火保护盒，空调风管空洞封堵,建筑缝隙封堵,塑胶管道封堵。</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bookmarkStart w:id="594" w:name="_Toc25651354"/>
      <w:r>
        <w:rPr>
          <w:rFonts w:hint="eastAsia" w:ascii="楷体" w:hAnsi="楷体" w:eastAsia="仿宋" w:cs="Times New Roman"/>
          <w:b/>
          <w:kern w:val="2"/>
          <w:sz w:val="28"/>
          <w:szCs w:val="20"/>
          <w:lang w:val="en-US" w:eastAsia="zh-CN" w:bidi="ar-SA"/>
        </w:rPr>
        <w:t>施工工艺要求</w:t>
      </w:r>
      <w:bookmarkEnd w:id="594"/>
    </w:p>
    <w:p>
      <w:pPr>
        <w:widowControl/>
        <w:spacing w:line="560" w:lineRule="exact"/>
        <w:ind w:firstLine="560" w:firstLineChars="200"/>
        <w:textAlignment w:val="center"/>
        <w:rPr>
          <w:rFonts w:hint="eastAsia" w:ascii="仿宋" w:hAnsi="仿宋" w:eastAsia="仿宋" w:cs="微软雅黑"/>
          <w:bCs/>
          <w:sz w:val="28"/>
          <w:szCs w:val="28"/>
        </w:rPr>
      </w:pPr>
      <w:r>
        <w:rPr>
          <w:rFonts w:hint="eastAsia" w:ascii="仿宋" w:hAnsi="仿宋" w:eastAsia="仿宋" w:cs="微软雅黑"/>
          <w:bCs/>
          <w:sz w:val="28"/>
          <w:szCs w:val="28"/>
        </w:rPr>
        <w:t>贯穿孔口的防火封堵施工应符合下列要求：</w:t>
      </w:r>
    </w:p>
    <w:p>
      <w:pPr>
        <w:widowControl/>
        <w:numPr>
          <w:ilvl w:val="0"/>
          <w:numId w:val="1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安装前，应清除贯穿孔口处贯穿物和被贯穿物表面的灰尘、杂物、油污等，使之具备与封堵材料紧密粘接的条件。</w:t>
      </w:r>
    </w:p>
    <w:p>
      <w:pPr>
        <w:widowControl/>
        <w:numPr>
          <w:ilvl w:val="0"/>
          <w:numId w:val="1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当需对被贯穿物进行绝热处理时，应在安装前进行。</w:t>
      </w:r>
    </w:p>
    <w:p>
      <w:pPr>
        <w:widowControl/>
        <w:numPr>
          <w:ilvl w:val="0"/>
          <w:numId w:val="1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当需要辅以矿棉等填充材料时，填充材料应均匀、密实。</w:t>
      </w:r>
    </w:p>
    <w:p>
      <w:pPr>
        <w:widowControl/>
        <w:numPr>
          <w:ilvl w:val="0"/>
          <w:numId w:val="1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防火封堵材料在硬化过程中不应受到扰动。</w:t>
      </w:r>
    </w:p>
    <w:p>
      <w:pPr>
        <w:widowControl/>
        <w:numPr>
          <w:ilvl w:val="0"/>
          <w:numId w:val="1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当采用无机堵料防火灰泥进行封堵时，应在防火灰泥达到要求的硬化强度后拆模。</w:t>
      </w:r>
    </w:p>
    <w:p>
      <w:pPr>
        <w:widowControl/>
        <w:numPr>
          <w:ilvl w:val="0"/>
          <w:numId w:val="1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当采用防火板进行封堵时，宜对防火板的切割边进行钝化处理，避免损伤电缆等被贯穿物；安装必须牢固可靠，保持平整。</w:t>
      </w:r>
    </w:p>
    <w:p>
      <w:pPr>
        <w:widowControl/>
        <w:numPr>
          <w:ilvl w:val="0"/>
          <w:numId w:val="1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阻火圈或阻火带应安装牢固、不会脱落。在腐蚀性场所宜采用阻火带。</w:t>
      </w:r>
    </w:p>
    <w:p>
      <w:pPr>
        <w:widowControl/>
        <w:numPr>
          <w:ilvl w:val="0"/>
          <w:numId w:val="1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对电缆管线贯穿孔口进行防火封堵施工时，应考虑再次扩容施工的可行性。</w:t>
      </w:r>
    </w:p>
    <w:p>
      <w:pPr>
        <w:widowControl/>
        <w:numPr>
          <w:ilvl w:val="0"/>
          <w:numId w:val="1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各种不同类型的施工作业，必须严格按照各类产品相应的产品说明和施工要求进行。</w:t>
      </w:r>
    </w:p>
    <w:p>
      <w:pPr>
        <w:widowControl/>
        <w:numPr>
          <w:ilvl w:val="0"/>
          <w:numId w:val="1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防火封堵的施工应该符合设计和施工要求。</w:t>
      </w:r>
    </w:p>
    <w:p>
      <w:pPr>
        <w:widowControl/>
        <w:numPr>
          <w:ilvl w:val="0"/>
          <w:numId w:val="1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防火封堵材料应按相关规范和防火封堵材料供货商的安装说明进行施工。</w:t>
      </w:r>
    </w:p>
    <w:p>
      <w:pPr>
        <w:widowControl/>
        <w:numPr>
          <w:ilvl w:val="0"/>
          <w:numId w:val="1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施工完毕, 中标方应当在防火封堵的部位提供并负责填写《防火封堵标识牌》(以下简称《标识牌》)。并固定在防火封堵部位旁边的墙体、楼板或封堵材料等部位,保证《标识牌》不丢失和损坏。《标识牌》上须填写以下内容:</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使用单位及部门名称、具体机房部位名称。</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防火封堵产品名称、数量及耐久年限、防火封堵产品生产企业名称。</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防火封堵施工完成的日期及有效期，格式为年、月、日。</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防火封堵施工单位名称、施工人员姓名及联系电话。</w:t>
      </w:r>
    </w:p>
    <w:p>
      <w:pPr>
        <w:widowControl/>
        <w:numPr>
          <w:ilvl w:val="0"/>
          <w:numId w:val="1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防火封堵施工的现场验收，宜按各种类型防火封堵组件数量的5%进行抽查，且不宜于少于5个； 当同类型防火封堵组件少于5个时，应全部检查。</w:t>
      </w:r>
    </w:p>
    <w:p>
      <w:pPr>
        <w:widowControl/>
        <w:numPr>
          <w:ilvl w:val="0"/>
          <w:numId w:val="1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现场外观检查时，贯穿孔口和建筑缝隙的防火封堵材料表面应无明显的缺口、裂缝和脱落现象，并应保证防火封堵组件不脱落。</w:t>
      </w:r>
    </w:p>
    <w:p>
      <w:pPr>
        <w:widowControl/>
        <w:spacing w:after="120" w:afterLines="0" w:line="560" w:lineRule="exact"/>
        <w:ind w:left="0"/>
        <w:jc w:val="left"/>
        <w:rPr>
          <w:rFonts w:hint="eastAsia" w:ascii="仿宋" w:hAnsi="仿宋" w:eastAsia="仿宋" w:cs="Times New Roman"/>
          <w:b/>
          <w:bCs/>
          <w:kern w:val="0"/>
          <w:sz w:val="28"/>
          <w:szCs w:val="28"/>
          <w:lang w:val="en-US" w:eastAsia="zh-CN" w:bidi="ar-SA"/>
        </w:rPr>
      </w:pPr>
      <w:bookmarkStart w:id="595" w:name="_Toc357878128"/>
    </w:p>
    <w:p>
      <w:pPr>
        <w:widowControl/>
        <w:spacing w:after="120" w:afterLines="0" w:line="560" w:lineRule="exact"/>
        <w:ind w:left="0"/>
        <w:jc w:val="left"/>
        <w:rPr>
          <w:rFonts w:hint="eastAsia" w:ascii="仿宋" w:hAnsi="仿宋" w:eastAsia="仿宋" w:cs="仿宋"/>
          <w:kern w:val="0"/>
          <w:sz w:val="28"/>
          <w:szCs w:val="28"/>
          <w:lang w:val="en-US" w:eastAsia="zh-CN" w:bidi="ar-SA"/>
        </w:rPr>
      </w:pPr>
      <w:r>
        <w:rPr>
          <w:rFonts w:hint="eastAsia" w:ascii="仿宋" w:hAnsi="仿宋" w:eastAsia="仿宋" w:cs="Times New Roman"/>
          <w:b/>
          <w:bCs/>
          <w:kern w:val="0"/>
          <w:sz w:val="28"/>
          <w:szCs w:val="28"/>
          <w:lang w:val="en-US" w:eastAsia="zh-CN" w:bidi="ar-SA"/>
        </w:rPr>
        <w:t>注：</w:t>
      </w:r>
      <w:r>
        <w:rPr>
          <w:rFonts w:hint="eastAsia" w:ascii="仿宋" w:hAnsi="仿宋" w:eastAsia="仿宋" w:cs="Times New Roman"/>
          <w:kern w:val="0"/>
          <w:sz w:val="28"/>
          <w:szCs w:val="28"/>
          <w:lang w:val="en-US" w:eastAsia="zh-CN" w:bidi="ar-SA"/>
        </w:rPr>
        <w:t>上述</w:t>
      </w:r>
      <w:r>
        <w:rPr>
          <w:rFonts w:hint="eastAsia" w:ascii="仿宋" w:hAnsi="仿宋" w:eastAsia="仿宋" w:cs="仿宋"/>
          <w:kern w:val="0"/>
          <w:sz w:val="28"/>
          <w:szCs w:val="28"/>
          <w:lang w:val="en-US" w:eastAsia="zh-CN" w:bidi="ar-SA"/>
        </w:rPr>
        <w:t>如存在未提及的内容，但结合本项目是实际需要的，均应包含在本次设计和施工一体化的范围内。</w:t>
      </w:r>
    </w:p>
    <w:p>
      <w:pPr>
        <w:numPr>
          <w:ilvl w:val="0"/>
          <w:numId w:val="2"/>
        </w:numPr>
        <w:spacing w:line="560" w:lineRule="exact"/>
        <w:jc w:val="center"/>
        <w:textAlignment w:val="baseline"/>
        <w:outlineLvl w:val="0"/>
        <w:rPr>
          <w:rFonts w:hint="eastAsia" w:ascii="仿宋" w:hAnsi="仿宋" w:eastAsia="仿宋" w:cs="仿宋"/>
          <w:b/>
          <w:color w:val="000000"/>
          <w:kern w:val="2"/>
          <w:sz w:val="32"/>
          <w:szCs w:val="24"/>
          <w:lang w:val="en-US" w:eastAsia="zh-CN" w:bidi="ar-SA"/>
        </w:rPr>
      </w:pPr>
      <w:r>
        <w:rPr>
          <w:rFonts w:hint="eastAsia" w:ascii="仿宋" w:hAnsi="仿宋" w:eastAsia="仿宋" w:cs="仿宋"/>
          <w:b/>
          <w:color w:val="auto"/>
          <w:kern w:val="2"/>
          <w:sz w:val="28"/>
          <w:szCs w:val="28"/>
          <w:lang w:val="en-US" w:eastAsia="zh-CN" w:bidi="ar-SA"/>
        </w:rPr>
        <w:br w:type="page"/>
      </w:r>
      <w:r>
        <w:rPr>
          <w:rFonts w:hint="eastAsia" w:ascii="仿宋" w:hAnsi="仿宋" w:eastAsia="仿宋" w:cs="仿宋"/>
          <w:b/>
          <w:color w:val="000000"/>
          <w:kern w:val="2"/>
          <w:sz w:val="30"/>
          <w:szCs w:val="30"/>
          <w:lang w:val="en-US" w:eastAsia="zh-CN" w:bidi="ar-SA"/>
        </w:rPr>
        <w:t xml:space="preserve"> </w:t>
      </w:r>
      <w:bookmarkStart w:id="596" w:name="_Toc29321"/>
      <w:r>
        <w:rPr>
          <w:rFonts w:hint="eastAsia" w:ascii="仿宋" w:hAnsi="仿宋" w:eastAsia="仿宋" w:cs="仿宋"/>
          <w:b/>
          <w:color w:val="000000"/>
          <w:kern w:val="2"/>
          <w:sz w:val="30"/>
          <w:szCs w:val="30"/>
          <w:lang w:val="en-US" w:eastAsia="zh-CN" w:bidi="ar-SA"/>
        </w:rPr>
        <w:t>各专招标人主要设备材料技术要求</w:t>
      </w:r>
      <w:bookmarkEnd w:id="596"/>
    </w:p>
    <w:bookmarkEnd w:id="595"/>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597" w:name="_Toc11705"/>
      <w:r>
        <w:rPr>
          <w:rFonts w:hint="eastAsia" w:ascii="仿宋" w:hAnsi="仿宋" w:eastAsia="仿宋" w:cs="仿宋"/>
          <w:b/>
          <w:bCs/>
          <w:kern w:val="2"/>
          <w:sz w:val="28"/>
          <w:szCs w:val="28"/>
          <w:lang w:val="en-US" w:eastAsia="zh-CN" w:bidi="ar-SA"/>
        </w:rPr>
        <w:t>装饰装修系统</w:t>
      </w:r>
      <w:bookmarkEnd w:id="597"/>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598" w:name="_Toc483"/>
      <w:r>
        <w:rPr>
          <w:rFonts w:hint="eastAsia" w:ascii="楷体" w:hAnsi="楷体" w:eastAsia="仿宋" w:cs="Times New Roman"/>
          <w:b/>
          <w:kern w:val="2"/>
          <w:sz w:val="28"/>
          <w:lang w:val="en-US" w:eastAsia="zh-CN" w:bidi="ar-SA"/>
        </w:rPr>
        <w:t>总体要求</w:t>
      </w:r>
      <w:bookmarkEnd w:id="598"/>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要求装饰材料必须全部采用符合国家标准的材料，应由具备国家认可的相应资质，并由拥有多年生产经验的厂商提供。所有材料应具备环保、阻燃、无毒、防火性能好、安全耐用、不易变色、气密性好、不起尘、易清洁、吸音效果好、防静电、抗电磁干扰等性能，并在温、湿度变化作用下变形小的材料。要以自然材质为主，做到简明、淡雅、柔和，并充分考虑环保、节能等因素。</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要求数据中心装修选材应完全符合国家及地方有关消防标准及其他相关要求。</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对进场的水泥、沙、墙（地）砖、漆、板材、龙骨等材料，必须履行报验和验收程序，监理公司进行把关，严禁不合格材料进入施工现场。装修材料应选择无毒、无刺激性的材料。</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本工程机房顶部需采用的瓦楞钢板厚不小于0.8mm。</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本工程范围内所有相关的材料不能含有石棉成分。</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机房区内所有关联合吊挂安装系统、设备支架等金属构件及配件等均应为热镀锌材料。</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对工程范围内的基层所有嵌入式的铁器需采用专用油漆防锈处理；</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所用材料、品种、质量、性能应符合设计和有关规范规程规定，并附有效检验报告；</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所有装修材料燃烧性能等级选用为：机房区顶棚和墙面、隔断使用A级装饰材料，地面和其他部位应采用不低于A级装饰材料。</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砌体施工时应及时清理落地砂浆，砌筑完成后做到工完场清，不得遗留建筑材料或建筑垃圾。</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工程中有采用水泥砂浆墙面，要求水泥砂浆打底不低于20mm厚，抹面不低于6mm厚；</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在施工时应保证现场、材料和设备的清洁。隐蔽工程(如地板下、吊顶上、假墙、夹层内)在封口前必须除尘、清洁处理，暗处表层应能保持长期不起尘、不起皮和不龟裂。</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机房所有管线穿墙处的裁口必须做防尘处理，然后对缝隙必须用密封材料填堵。在其他涂复施工时，其环境条件应符合材料说明书的规定。</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管线穿楼板时，待管线安装完，用防火极限大于2小时的防火封堵材料将洞堵严后再施工面层。</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主要区域的装修，必须先做样板，经招标人、机房顾问、监理三方共同确认后方可大面积施工。</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施工完成后需做工程现场卫生清理、废弃材料的运输及处理等相关工作；</w:t>
      </w:r>
    </w:p>
    <w:p>
      <w:pPr>
        <w:widowControl/>
        <w:numPr>
          <w:ilvl w:val="0"/>
          <w:numId w:val="1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所有关材料和设备的位置时必须对缝对线，整齐一致，并严格按图施工。</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599" w:name="_Toc28266"/>
      <w:r>
        <w:rPr>
          <w:rFonts w:hint="eastAsia" w:ascii="楷体" w:hAnsi="楷体" w:eastAsia="仿宋" w:cs="Times New Roman"/>
          <w:b/>
          <w:kern w:val="2"/>
          <w:sz w:val="28"/>
          <w:lang w:val="en-US" w:eastAsia="zh-CN" w:bidi="ar-SA"/>
        </w:rPr>
        <w:t>抗静电地板技术要求</w:t>
      </w:r>
      <w:bookmarkEnd w:id="599"/>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 xml:space="preserve">概述 </w:t>
      </w:r>
    </w:p>
    <w:p>
      <w:pPr>
        <w:widowControl/>
        <w:numPr>
          <w:ilvl w:val="0"/>
          <w:numId w:val="12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所有设备处的地板支腿之间加装斜拉撑（需安装机柜钢结构支架），确保提升的地板稳定牢固。冷通道内配置带调节阀的风口地板，所有机房区域的地板必须做相应的承载测试，每区域取不低于5-10个承载测试点。 </w:t>
      </w:r>
    </w:p>
    <w:p>
      <w:pPr>
        <w:widowControl/>
        <w:numPr>
          <w:ilvl w:val="0"/>
          <w:numId w:val="12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地板施工安装要求：</w:t>
      </w:r>
    </w:p>
    <w:p>
      <w:pPr>
        <w:widowControl/>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在安装地板的过程中，地板与墙面交界处，需精确切割下料,切割边需封胶防潮处理后安装，防静电地板安装必须做到表面平整、接缝严密、对缝对线。</w:t>
      </w:r>
    </w:p>
    <w:p>
      <w:pPr>
        <w:widowControl/>
        <w:numPr>
          <w:ilvl w:val="0"/>
          <w:numId w:val="12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地板开孔要求：</w:t>
      </w:r>
    </w:p>
    <w:p>
      <w:pPr>
        <w:widowControl/>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需根据招标人要求对地板进行开孔，并在地板开孔处加装防护套件，开孔必须由厂家提供相关服务，不允许现场加工。 </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采用</w:t>
      </w:r>
      <w:r>
        <w:rPr>
          <w:rFonts w:hint="eastAsia" w:ascii="楷体" w:hAnsi="楷体" w:eastAsia="仿宋" w:cs="Times New Roman"/>
          <w:b/>
          <w:kern w:val="2"/>
          <w:sz w:val="28"/>
          <w:szCs w:val="20"/>
          <w:lang w:val="en-US" w:eastAsia="zh-CN" w:bidi="ar-SA"/>
        </w:rPr>
        <w:t>标准</w:t>
      </w:r>
    </w:p>
    <w:p>
      <w:pPr>
        <w:widowControl/>
        <w:numPr>
          <w:ilvl w:val="0"/>
          <w:numId w:val="12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SJ T10796-2001 《防静电活动地板通用规范》</w:t>
      </w:r>
    </w:p>
    <w:p>
      <w:pPr>
        <w:widowControl/>
        <w:numPr>
          <w:ilvl w:val="0"/>
          <w:numId w:val="12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SJ/T11236-2001《防静电贴面板通用规范》</w:t>
      </w:r>
    </w:p>
    <w:p>
      <w:pPr>
        <w:widowControl/>
        <w:numPr>
          <w:ilvl w:val="0"/>
          <w:numId w:val="12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GB50222-95《建筑内部装修设计防火规范》</w:t>
      </w:r>
    </w:p>
    <w:p>
      <w:pPr>
        <w:widowControl/>
        <w:numPr>
          <w:ilvl w:val="0"/>
          <w:numId w:val="12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GB8624-2006《建筑材料及制品燃烧性能分级》</w:t>
      </w:r>
    </w:p>
    <w:p>
      <w:pPr>
        <w:widowControl/>
        <w:numPr>
          <w:ilvl w:val="0"/>
          <w:numId w:val="12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GB/T2408-1996《塑料燃烧性能实验方法水平法和垂直法》</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一般要求</w:t>
      </w:r>
    </w:p>
    <w:p>
      <w:pPr>
        <w:widowControl/>
        <w:numPr>
          <w:ilvl w:val="0"/>
          <w:numId w:val="12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必须对现场环境勘测且充分了解，提供的所有产品可满足实际现场安装条件。</w:t>
      </w:r>
    </w:p>
    <w:p>
      <w:pPr>
        <w:widowControl/>
        <w:numPr>
          <w:ilvl w:val="0"/>
          <w:numId w:val="12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所提供的产品包括面板、支架及安装配件必须全部为原厂配套产品。</w:t>
      </w:r>
    </w:p>
    <w:p>
      <w:pPr>
        <w:widowControl/>
        <w:numPr>
          <w:ilvl w:val="0"/>
          <w:numId w:val="12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要求提供原厂证明、合格证及检验报告等，如提供为进口产品还需提供进口报关单。（不接受配套的地板腿及五金配件为国内产品）</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技术要求</w:t>
      </w:r>
    </w:p>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r>
        <w:rPr>
          <w:rFonts w:hint="eastAsia" w:ascii="Calibri" w:hAnsi="Calibri" w:eastAsia="仿宋" w:cs="Times New Roman"/>
          <w:b w:val="0"/>
          <w:bCs w:val="0"/>
          <w:kern w:val="2"/>
          <w:sz w:val="28"/>
          <w:szCs w:val="28"/>
          <w:lang w:val="en-US" w:eastAsia="zh-CN" w:bidi="ar-SA"/>
        </w:rPr>
        <w:t>面板性能（按重型荷载）：</w:t>
      </w:r>
    </w:p>
    <w:p>
      <w:pPr>
        <w:widowControl/>
        <w:numPr>
          <w:ilvl w:val="0"/>
          <w:numId w:val="12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集中荷载：＞5</w:t>
      </w:r>
      <w:r>
        <w:rPr>
          <w:rFonts w:ascii="仿宋" w:hAnsi="仿宋" w:eastAsia="仿宋" w:cs="Times New Roman"/>
          <w:sz w:val="28"/>
          <w:szCs w:val="28"/>
          <w:lang w:val="zh-CN"/>
        </w:rPr>
        <w:t>560</w:t>
      </w:r>
      <w:r>
        <w:rPr>
          <w:rFonts w:hint="eastAsia" w:ascii="仿宋" w:hAnsi="仿宋" w:eastAsia="仿宋" w:cs="Times New Roman"/>
          <w:sz w:val="28"/>
          <w:szCs w:val="28"/>
          <w:lang w:val="zh-CN"/>
        </w:rPr>
        <w:t>N，挠度≤2mm，永久变形≤0.25mm；面板应该可以允许在变形小于2.0mm的情况下不会损坏。</w:t>
      </w:r>
    </w:p>
    <w:p>
      <w:pPr>
        <w:widowControl/>
        <w:numPr>
          <w:ilvl w:val="0"/>
          <w:numId w:val="12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极端载荷：不小于15kN.</w:t>
      </w:r>
    </w:p>
    <w:p>
      <w:pPr>
        <w:widowControl/>
        <w:numPr>
          <w:ilvl w:val="0"/>
          <w:numId w:val="12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均布荷载：不小于</w:t>
      </w:r>
      <w:r>
        <w:rPr>
          <w:rFonts w:ascii="仿宋" w:hAnsi="仿宋" w:eastAsia="仿宋" w:cs="Times New Roman"/>
          <w:sz w:val="28"/>
          <w:szCs w:val="28"/>
          <w:lang w:val="zh-CN"/>
        </w:rPr>
        <w:t>33</w:t>
      </w:r>
      <w:r>
        <w:rPr>
          <w:rFonts w:hint="eastAsia" w:ascii="仿宋" w:hAnsi="仿宋" w:eastAsia="仿宋" w:cs="Times New Roman"/>
          <w:sz w:val="28"/>
          <w:szCs w:val="28"/>
          <w:lang w:val="zh-CN"/>
        </w:rPr>
        <w:t>000N/m2</w:t>
      </w:r>
    </w:p>
    <w:p>
      <w:pPr>
        <w:widowControl/>
        <w:numPr>
          <w:ilvl w:val="0"/>
          <w:numId w:val="12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防火性能：基材≥A级</w:t>
      </w:r>
    </w:p>
    <w:p>
      <w:pPr>
        <w:widowControl/>
        <w:numPr>
          <w:ilvl w:val="0"/>
          <w:numId w:val="12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贴面FV-1级或A级</w:t>
      </w:r>
    </w:p>
    <w:p>
      <w:pPr>
        <w:widowControl/>
        <w:numPr>
          <w:ilvl w:val="0"/>
          <w:numId w:val="12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贴面阻值：〖1×10〗^6 ~〖1×10〗^9Ω</w:t>
      </w:r>
    </w:p>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r>
        <w:rPr>
          <w:rFonts w:hint="eastAsia" w:ascii="Calibri" w:hAnsi="Calibri" w:eastAsia="仿宋" w:cs="Times New Roman"/>
          <w:b w:val="0"/>
          <w:bCs w:val="0"/>
          <w:kern w:val="2"/>
          <w:sz w:val="28"/>
          <w:szCs w:val="28"/>
          <w:lang w:val="en-US" w:eastAsia="zh-CN" w:bidi="ar-SA"/>
        </w:rPr>
        <w:t>面板组成</w:t>
      </w:r>
    </w:p>
    <w:p>
      <w:pPr>
        <w:widowControl/>
        <w:numPr>
          <w:ilvl w:val="0"/>
          <w:numId w:val="12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面板:地板板芯采用硫酸钙地板，面板底部有镀锌钢板。面板表层需在工厂内加装，面板必须有封边，用以保护面层。</w:t>
      </w:r>
    </w:p>
    <w:p>
      <w:pPr>
        <w:widowControl/>
        <w:numPr>
          <w:ilvl w:val="0"/>
          <w:numId w:val="12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面板尺寸:600 mm x600mm，厚度不小于38mm。（投标人需按产品的最高集中荷载考虑）</w:t>
      </w:r>
    </w:p>
    <w:p>
      <w:pPr>
        <w:widowControl/>
        <w:numPr>
          <w:ilvl w:val="0"/>
          <w:numId w:val="12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面板封边条应选择导电型。封边条不可使用有害的胶粘剂粘在面板上。PHL面层是在工厂加工成型的，封边条全面包覆面板（包括面层），并且是自熄材料。</w:t>
      </w:r>
    </w:p>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r>
        <w:rPr>
          <w:rFonts w:hint="eastAsia" w:ascii="Calibri" w:hAnsi="Calibri" w:eastAsia="仿宋" w:cs="Times New Roman"/>
          <w:b w:val="0"/>
          <w:bCs w:val="0"/>
          <w:kern w:val="2"/>
          <w:sz w:val="28"/>
          <w:szCs w:val="28"/>
          <w:lang w:val="en-US" w:eastAsia="zh-CN" w:bidi="ar-SA"/>
        </w:rPr>
        <w:t>支架：</w:t>
      </w:r>
    </w:p>
    <w:p>
      <w:pPr>
        <w:widowControl/>
        <w:numPr>
          <w:ilvl w:val="0"/>
          <w:numId w:val="12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轴向载荷：支架可以承受25KN的轴向载荷而不变形损坏。</w:t>
      </w:r>
    </w:p>
    <w:p>
      <w:pPr>
        <w:widowControl/>
        <w:numPr>
          <w:ilvl w:val="0"/>
          <w:numId w:val="12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倾倒力矩：支架安装应该提供平均倾倒力矩50Nm。</w:t>
      </w:r>
    </w:p>
    <w:p>
      <w:pPr>
        <w:widowControl/>
        <w:numPr>
          <w:ilvl w:val="0"/>
          <w:numId w:val="12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地板支架下部结构应配有自带静电释放接地装置的功能。</w:t>
      </w:r>
    </w:p>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r>
        <w:rPr>
          <w:rFonts w:hint="eastAsia" w:ascii="Calibri" w:hAnsi="Calibri" w:eastAsia="仿宋" w:cs="Times New Roman"/>
          <w:b w:val="0"/>
          <w:bCs w:val="0"/>
          <w:kern w:val="2"/>
          <w:sz w:val="28"/>
          <w:szCs w:val="28"/>
          <w:lang w:val="en-US" w:eastAsia="zh-CN" w:bidi="ar-SA"/>
        </w:rPr>
        <w:t>横梁:</w:t>
      </w:r>
    </w:p>
    <w:p>
      <w:pPr>
        <w:widowControl/>
        <w:numPr>
          <w:ilvl w:val="0"/>
          <w:numId w:val="12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地板铺设时，支架间需要横梁加强。</w:t>
      </w:r>
    </w:p>
    <w:p>
      <w:pPr>
        <w:widowControl/>
        <w:numPr>
          <w:ilvl w:val="0"/>
          <w:numId w:val="12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横梁支撑面板的四边。</w:t>
      </w:r>
    </w:p>
    <w:p>
      <w:pPr>
        <w:widowControl/>
        <w:numPr>
          <w:ilvl w:val="0"/>
          <w:numId w:val="12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横梁需镀锌处理。</w:t>
      </w:r>
    </w:p>
    <w:p>
      <w:pPr>
        <w:widowControl/>
        <w:numPr>
          <w:ilvl w:val="0"/>
          <w:numId w:val="12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所有横梁都被特制夹子或螺钉独立地固定在支架上，横梁和支架之间可以导电。</w:t>
      </w:r>
    </w:p>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r>
        <w:rPr>
          <w:rFonts w:hint="eastAsia" w:ascii="Calibri" w:hAnsi="Calibri" w:eastAsia="仿宋" w:cs="Times New Roman"/>
          <w:b w:val="0"/>
          <w:bCs w:val="0"/>
          <w:kern w:val="2"/>
          <w:sz w:val="28"/>
          <w:szCs w:val="28"/>
          <w:lang w:val="en-US" w:eastAsia="zh-CN" w:bidi="ar-SA"/>
        </w:rPr>
        <w:t>PHL贴面技术参数</w:t>
      </w:r>
    </w:p>
    <w:p>
      <w:pPr>
        <w:widowControl/>
        <w:numPr>
          <w:ilvl w:val="0"/>
          <w:numId w:val="12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磨耗量≤0.02g/cm2(100转) ；</w:t>
      </w:r>
    </w:p>
    <w:p>
      <w:pPr>
        <w:widowControl/>
        <w:numPr>
          <w:ilvl w:val="0"/>
          <w:numId w:val="12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耐磨强度≥3000转；</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通风板技术参数</w:t>
      </w:r>
    </w:p>
    <w:p>
      <w:pPr>
        <w:widowControl/>
        <w:numPr>
          <w:ilvl w:val="0"/>
          <w:numId w:val="12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材料：全钢或高压铸造铝合金，必须与地台板为同一品牌同一厂家。</w:t>
      </w:r>
    </w:p>
    <w:p>
      <w:pPr>
        <w:widowControl/>
        <w:numPr>
          <w:ilvl w:val="0"/>
          <w:numId w:val="12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型式：带调节器，可调节。</w:t>
      </w:r>
    </w:p>
    <w:p>
      <w:pPr>
        <w:widowControl/>
        <w:numPr>
          <w:ilvl w:val="0"/>
          <w:numId w:val="12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外形尺寸：600mm×600mm，全面开孔。</w:t>
      </w:r>
    </w:p>
    <w:p>
      <w:pPr>
        <w:widowControl/>
        <w:numPr>
          <w:ilvl w:val="0"/>
          <w:numId w:val="12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地板开孔率：不低于50%。</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00" w:name="_Toc16178"/>
      <w:r>
        <w:rPr>
          <w:rFonts w:hint="eastAsia" w:ascii="楷体" w:hAnsi="楷体" w:eastAsia="仿宋" w:cs="Times New Roman"/>
          <w:b/>
          <w:kern w:val="2"/>
          <w:sz w:val="28"/>
          <w:lang w:val="en-US" w:eastAsia="zh-CN" w:bidi="ar-SA"/>
        </w:rPr>
        <w:t>环氧自流平地面</w:t>
      </w:r>
      <w:bookmarkEnd w:id="600"/>
    </w:p>
    <w:p>
      <w:pPr>
        <w:widowControl/>
        <w:numPr>
          <w:ilvl w:val="0"/>
          <w:numId w:val="13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采用环氧树脂自流平地面，要求平整、美观，颜色现场设计确定。</w:t>
      </w:r>
    </w:p>
    <w:p>
      <w:pPr>
        <w:widowControl/>
        <w:numPr>
          <w:ilvl w:val="0"/>
          <w:numId w:val="13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找平层厚度20-30mm水泥砂浆配合比1:2.5（渗入水泥用量5%的防水剂），素水泥浆结合层一遍，40厚C25细石混凝土随打随磨光，无溶剂环氧底涂一遍、环氧中途层一道、环氧树脂自流面涂层一道。对于自流平总厚度不低于3.0mm。</w:t>
      </w:r>
    </w:p>
    <w:p>
      <w:pPr>
        <w:widowControl/>
        <w:numPr>
          <w:ilvl w:val="0"/>
          <w:numId w:val="13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应根据实际情况为不同的区域合理设计不同功能的自流平（如防腐蚀、防静电等）。</w:t>
      </w:r>
    </w:p>
    <w:p>
      <w:pPr>
        <w:widowControl/>
        <w:numPr>
          <w:ilvl w:val="0"/>
          <w:numId w:val="13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环氧地坪漆工艺：参照11ZJ001。</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01" w:name="_Toc21870"/>
      <w:r>
        <w:rPr>
          <w:rFonts w:hint="eastAsia" w:ascii="楷体" w:hAnsi="楷体" w:eastAsia="仿宋" w:cs="Times New Roman"/>
          <w:b/>
          <w:kern w:val="2"/>
          <w:sz w:val="28"/>
          <w:lang w:val="en-US" w:eastAsia="zh-CN" w:bidi="ar-SA"/>
        </w:rPr>
        <w:t>网络地板</w:t>
      </w:r>
      <w:bookmarkEnd w:id="601"/>
    </w:p>
    <w:p>
      <w:pPr>
        <w:widowControl/>
        <w:spacing w:line="560" w:lineRule="exact"/>
        <w:ind w:left="105" w:leftChars="50" w:firstLine="560" w:firstLineChars="200"/>
        <w:rPr>
          <w:rFonts w:hint="eastAsia" w:ascii="仿宋" w:hAnsi="仿宋" w:eastAsia="仿宋" w:cs="仿宋"/>
          <w:sz w:val="28"/>
          <w:szCs w:val="28"/>
        </w:rPr>
      </w:pPr>
      <w:r>
        <w:rPr>
          <w:rFonts w:hint="eastAsia" w:ascii="仿宋" w:hAnsi="仿宋" w:eastAsia="仿宋" w:cs="仿宋"/>
          <w:sz w:val="28"/>
          <w:szCs w:val="28"/>
        </w:rPr>
        <w:t>地板高度：根据实际情况确定。均布荷载：≥17000 N/m2，极限荷载：≥10000N。</w:t>
      </w:r>
      <w:r>
        <w:rPr>
          <w:rFonts w:hint="eastAsia" w:ascii="仿宋" w:hAnsi="仿宋" w:eastAsia="仿宋" w:cs="仿宋_GB2312"/>
          <w:sz w:val="28"/>
          <w:szCs w:val="28"/>
        </w:rPr>
        <w:t>无贴面优质钢地板，面层为合资或进口品牌抗静电地毯。</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02" w:name="_Toc25651100"/>
      <w:bookmarkStart w:id="603" w:name="_Toc22004"/>
      <w:r>
        <w:rPr>
          <w:rFonts w:hint="eastAsia" w:ascii="楷体" w:hAnsi="楷体" w:eastAsia="仿宋" w:cs="Times New Roman"/>
          <w:b/>
          <w:kern w:val="2"/>
          <w:sz w:val="28"/>
          <w:lang w:val="en-US" w:eastAsia="zh-CN" w:bidi="ar-SA"/>
        </w:rPr>
        <w:t>成品防火玻璃隔断</w:t>
      </w:r>
      <w:bookmarkEnd w:id="602"/>
      <w:bookmarkEnd w:id="603"/>
    </w:p>
    <w:p>
      <w:pPr>
        <w:widowControl/>
        <w:numPr>
          <w:ilvl w:val="7"/>
          <w:numId w:val="131"/>
        </w:numPr>
        <w:spacing w:line="660" w:lineRule="exact"/>
        <w:ind w:left="0" w:firstLine="0"/>
        <w:jc w:val="left"/>
        <w:textAlignment w:val="center"/>
        <w:rPr>
          <w:rFonts w:hint="eastAsia" w:ascii="仿宋_GB2312" w:hAnsi="宋体" w:eastAsia="仿宋_GB2312" w:cs="仿宋_GB2312"/>
          <w:bCs/>
          <w:sz w:val="28"/>
          <w:szCs w:val="28"/>
        </w:rPr>
      </w:pPr>
      <w:r>
        <w:rPr>
          <w:rFonts w:hint="eastAsia" w:ascii="仿宋_GB2312" w:hAnsi="宋体" w:eastAsia="仿宋_GB2312" w:cs="仿宋"/>
          <w:bCs/>
          <w:sz w:val="28"/>
          <w:szCs w:val="28"/>
        </w:rPr>
        <w:t>防火</w:t>
      </w:r>
      <w:r>
        <w:rPr>
          <w:rFonts w:hint="eastAsia" w:ascii="仿宋_GB2312" w:hAnsi="宋体" w:eastAsia="仿宋_GB2312" w:cs="仿宋_GB2312"/>
          <w:bCs/>
          <w:sz w:val="28"/>
          <w:szCs w:val="28"/>
        </w:rPr>
        <w:t>玻璃隔断应满足《防火玻璃非承重隔墙通用技术条件》GA97-1995:耐火等级I级别。</w:t>
      </w:r>
    </w:p>
    <w:p>
      <w:pPr>
        <w:widowControl/>
        <w:numPr>
          <w:ilvl w:val="7"/>
          <w:numId w:val="131"/>
        </w:numPr>
        <w:spacing w:line="660" w:lineRule="exact"/>
        <w:ind w:left="0" w:firstLine="0"/>
        <w:jc w:val="left"/>
        <w:textAlignment w:val="center"/>
        <w:rPr>
          <w:rFonts w:hint="eastAsia" w:ascii="仿宋_GB2312" w:hAnsi="宋体" w:eastAsia="仿宋_GB2312" w:cs="仿宋"/>
          <w:bCs/>
          <w:sz w:val="28"/>
          <w:szCs w:val="28"/>
        </w:rPr>
      </w:pPr>
      <w:r>
        <w:rPr>
          <w:rFonts w:hint="eastAsia" w:ascii="仿宋_GB2312" w:hAnsi="宋体" w:eastAsia="仿宋_GB2312" w:cs="仿宋_GB2312"/>
          <w:bCs/>
          <w:sz w:val="28"/>
          <w:szCs w:val="28"/>
        </w:rPr>
        <w:t>防火玻璃隔断必须为标准产品，与隔断配套，满足防火玻璃非承重隔墙通用要求，不应现场加工，满足规范至少 1.5H防火时间要求并提供给相关材料，成品玻璃隔断需要提供相应检测资料，玻璃隔断上粘贴磨砂膜，有该项目名称及LOGO，起到标识、美观及防撞的作用。</w:t>
      </w:r>
    </w:p>
    <w:p>
      <w:pPr>
        <w:widowControl/>
        <w:numPr>
          <w:ilvl w:val="7"/>
          <w:numId w:val="131"/>
        </w:numPr>
        <w:spacing w:line="660" w:lineRule="exact"/>
        <w:ind w:left="0" w:firstLine="0"/>
        <w:jc w:val="left"/>
        <w:textAlignment w:val="center"/>
        <w:rPr>
          <w:rFonts w:hint="eastAsia" w:ascii="仿宋_GB2312" w:hAnsi="宋体" w:eastAsia="仿宋_GB2312" w:cs="仿宋"/>
          <w:bCs/>
          <w:sz w:val="28"/>
          <w:szCs w:val="28"/>
        </w:rPr>
      </w:pPr>
      <w:r>
        <w:rPr>
          <w:rFonts w:hint="eastAsia" w:ascii="仿宋_GB2312" w:hAnsi="宋体" w:eastAsia="仿宋_GB2312" w:cs="仿宋"/>
          <w:bCs/>
          <w:sz w:val="28"/>
          <w:szCs w:val="28"/>
        </w:rPr>
        <w:t>防火玻璃应具备国家相关部门出具的检验报告，并符合下列技术要求：</w:t>
      </w:r>
    </w:p>
    <w:p>
      <w:pPr>
        <w:widowControl/>
        <w:numPr>
          <w:ilvl w:val="8"/>
          <w:numId w:val="131"/>
        </w:numPr>
        <w:spacing w:line="660" w:lineRule="exact"/>
        <w:ind w:left="0" w:firstLine="0"/>
        <w:jc w:val="left"/>
        <w:textAlignment w:val="center"/>
        <w:rPr>
          <w:rFonts w:hint="eastAsia" w:ascii="仿宋_GB2312" w:hAnsi="宋体" w:eastAsia="仿宋_GB2312" w:cs="宋体"/>
          <w:bCs/>
          <w:sz w:val="28"/>
          <w:szCs w:val="28"/>
        </w:rPr>
      </w:pPr>
      <w:r>
        <w:rPr>
          <w:rFonts w:hint="eastAsia" w:ascii="仿宋_GB2312" w:hAnsi="宋体" w:eastAsia="仿宋_GB2312" w:cs="仿宋_GB2312"/>
          <w:bCs/>
          <w:sz w:val="28"/>
          <w:szCs w:val="28"/>
        </w:rPr>
        <w:t>执行</w:t>
      </w:r>
      <w:r>
        <w:rPr>
          <w:rFonts w:hint="eastAsia" w:ascii="仿宋_GB2312" w:hAnsi="宋体" w:eastAsia="仿宋_GB2312" w:cs="Times New Roman"/>
          <w:bCs/>
          <w:sz w:val="28"/>
          <w:szCs w:val="28"/>
        </w:rPr>
        <w:t>标</w:t>
      </w:r>
      <w:r>
        <w:rPr>
          <w:rFonts w:hint="eastAsia" w:ascii="仿宋_GB2312" w:hAnsi="宋体" w:eastAsia="仿宋_GB2312" w:cs="宋体"/>
          <w:bCs/>
          <w:sz w:val="28"/>
          <w:szCs w:val="28"/>
        </w:rPr>
        <w:t>准：《建筑用安全玻璃  第1部分：防火玻璃》GB 15763.1-2009。</w:t>
      </w:r>
    </w:p>
    <w:p>
      <w:pPr>
        <w:widowControl/>
        <w:numPr>
          <w:ilvl w:val="8"/>
          <w:numId w:val="131"/>
        </w:numPr>
        <w:spacing w:line="660" w:lineRule="exact"/>
        <w:ind w:left="0" w:firstLine="0"/>
        <w:jc w:val="left"/>
        <w:textAlignment w:val="center"/>
        <w:rPr>
          <w:rFonts w:hint="eastAsia" w:ascii="仿宋_GB2312" w:hAnsi="宋体" w:eastAsia="仿宋_GB2312" w:cs="仿宋_GB2312"/>
          <w:bCs/>
          <w:sz w:val="28"/>
          <w:szCs w:val="28"/>
        </w:rPr>
      </w:pPr>
      <w:r>
        <w:rPr>
          <w:rFonts w:hint="eastAsia" w:ascii="仿宋_GB2312" w:hAnsi="宋体" w:eastAsia="仿宋_GB2312" w:cs="宋体"/>
          <w:bCs/>
          <w:sz w:val="28"/>
          <w:szCs w:val="28"/>
        </w:rPr>
        <w:t>产品</w:t>
      </w:r>
      <w:r>
        <w:rPr>
          <w:rFonts w:hint="eastAsia" w:ascii="仿宋_GB2312" w:hAnsi="宋体" w:eastAsia="仿宋_GB2312" w:cs="仿宋_GB2312"/>
          <w:bCs/>
          <w:sz w:val="28"/>
          <w:szCs w:val="28"/>
        </w:rPr>
        <w:t>必须通过3C认证。</w:t>
      </w:r>
    </w:p>
    <w:p>
      <w:pPr>
        <w:widowControl/>
        <w:numPr>
          <w:ilvl w:val="8"/>
          <w:numId w:val="131"/>
        </w:numPr>
        <w:spacing w:line="660" w:lineRule="exact"/>
        <w:ind w:left="0" w:firstLine="0"/>
        <w:jc w:val="left"/>
        <w:textAlignment w:val="center"/>
        <w:rPr>
          <w:rFonts w:hint="eastAsia" w:ascii="仿宋_GB2312" w:hAnsi="宋体" w:eastAsia="仿宋_GB2312" w:cs="仿宋_GB2312"/>
          <w:bCs/>
          <w:sz w:val="28"/>
          <w:szCs w:val="28"/>
        </w:rPr>
      </w:pPr>
      <w:r>
        <w:rPr>
          <w:rFonts w:hint="eastAsia" w:ascii="仿宋_GB2312" w:hAnsi="宋体" w:eastAsia="仿宋_GB2312" w:cs="仿宋_GB2312"/>
          <w:bCs/>
          <w:sz w:val="28"/>
          <w:szCs w:val="28"/>
        </w:rPr>
        <w:t>玻璃公称厚度≥12 mm,厚度允许偏差±0.3mm；长宽尺寸允许偏差±4mm。</w:t>
      </w:r>
    </w:p>
    <w:p>
      <w:pPr>
        <w:widowControl/>
        <w:numPr>
          <w:ilvl w:val="8"/>
          <w:numId w:val="131"/>
        </w:numPr>
        <w:spacing w:line="660" w:lineRule="exact"/>
        <w:ind w:left="0" w:firstLine="0"/>
        <w:jc w:val="left"/>
        <w:textAlignment w:val="center"/>
        <w:rPr>
          <w:rFonts w:hint="eastAsia" w:ascii="仿宋_GB2312" w:hAnsi="宋体" w:eastAsia="仿宋_GB2312" w:cs="仿宋_GB2312"/>
          <w:bCs/>
          <w:sz w:val="28"/>
          <w:szCs w:val="28"/>
        </w:rPr>
      </w:pPr>
      <w:r>
        <w:rPr>
          <w:rFonts w:hint="eastAsia" w:ascii="仿宋_GB2312" w:hAnsi="宋体" w:eastAsia="仿宋_GB2312" w:cs="仿宋_GB2312"/>
          <w:bCs/>
          <w:sz w:val="28"/>
          <w:szCs w:val="28"/>
        </w:rPr>
        <w:t>不允许存在裂纹、缺角、结石。</w:t>
      </w:r>
    </w:p>
    <w:p>
      <w:pPr>
        <w:widowControl/>
        <w:numPr>
          <w:ilvl w:val="8"/>
          <w:numId w:val="131"/>
        </w:numPr>
        <w:spacing w:line="660" w:lineRule="exact"/>
        <w:ind w:left="0" w:firstLine="0"/>
        <w:jc w:val="left"/>
        <w:textAlignment w:val="center"/>
        <w:rPr>
          <w:rFonts w:hint="eastAsia" w:ascii="仿宋_GB2312" w:hAnsi="宋体" w:eastAsia="仿宋_GB2312" w:cs="仿宋_GB2312"/>
          <w:bCs/>
          <w:sz w:val="28"/>
          <w:szCs w:val="28"/>
        </w:rPr>
      </w:pPr>
      <w:r>
        <w:rPr>
          <w:rFonts w:hint="eastAsia" w:ascii="仿宋_GB2312" w:hAnsi="宋体" w:eastAsia="仿宋_GB2312" w:cs="仿宋_GB2312"/>
          <w:bCs/>
          <w:sz w:val="28"/>
          <w:szCs w:val="28"/>
        </w:rPr>
        <w:t>弯曲度：防火玻璃的弓形弯曲度≤0.3%，波形弯曲度≤0.2%。</w:t>
      </w:r>
    </w:p>
    <w:p>
      <w:pPr>
        <w:widowControl/>
        <w:numPr>
          <w:ilvl w:val="8"/>
          <w:numId w:val="131"/>
        </w:numPr>
        <w:spacing w:line="660" w:lineRule="exact"/>
        <w:ind w:left="0" w:firstLine="0"/>
        <w:jc w:val="left"/>
        <w:textAlignment w:val="center"/>
        <w:rPr>
          <w:rFonts w:hint="eastAsia" w:ascii="仿宋_GB2312" w:hAnsi="宋体" w:eastAsia="仿宋_GB2312" w:cs="仿宋"/>
          <w:bCs/>
          <w:sz w:val="28"/>
          <w:szCs w:val="28"/>
        </w:rPr>
      </w:pPr>
      <w:r>
        <w:rPr>
          <w:rFonts w:hint="eastAsia" w:ascii="仿宋_GB2312" w:hAnsi="宋体" w:eastAsia="仿宋_GB2312" w:cs="仿宋_GB2312"/>
          <w:bCs/>
          <w:sz w:val="28"/>
          <w:szCs w:val="28"/>
        </w:rPr>
        <w:t>可见光透射比：允许偏差最</w:t>
      </w:r>
      <w:r>
        <w:rPr>
          <w:rFonts w:hint="eastAsia" w:ascii="仿宋_GB2312" w:hAnsi="宋体" w:eastAsia="仿宋_GB2312" w:cs="仿宋"/>
          <w:bCs/>
          <w:sz w:val="28"/>
          <w:szCs w:val="28"/>
        </w:rPr>
        <w:t>大值±3%</w:t>
      </w:r>
      <w:bookmarkStart w:id="604" w:name="_Toc409103501"/>
      <w:r>
        <w:rPr>
          <w:rFonts w:hint="eastAsia" w:ascii="仿宋_GB2312" w:hAnsi="宋体" w:eastAsia="仿宋_GB2312" w:cs="仿宋"/>
          <w:bCs/>
          <w:sz w:val="28"/>
          <w:szCs w:val="28"/>
        </w:rPr>
        <w:t>。</w:t>
      </w:r>
    </w:p>
    <w:bookmarkEnd w:id="604"/>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05" w:name="_Toc13288"/>
      <w:r>
        <w:rPr>
          <w:rFonts w:hint="eastAsia" w:ascii="楷体" w:hAnsi="楷体" w:eastAsia="仿宋" w:cs="Times New Roman"/>
          <w:b/>
          <w:kern w:val="2"/>
          <w:sz w:val="28"/>
          <w:lang w:val="en-US" w:eastAsia="zh-CN" w:bidi="ar-SA"/>
        </w:rPr>
        <w:t>钢制防火门</w:t>
      </w:r>
      <w:bookmarkEnd w:id="605"/>
    </w:p>
    <w:p>
      <w:pPr>
        <w:widowControl/>
        <w:numPr>
          <w:ilvl w:val="0"/>
          <w:numId w:val="13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钢制防火门、门框应与彩钢板或铝挂板保证颜色一致。</w:t>
      </w:r>
    </w:p>
    <w:p>
      <w:pPr>
        <w:widowControl/>
        <w:numPr>
          <w:ilvl w:val="0"/>
          <w:numId w:val="13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钢制防火门：通过消防部门认证的知名品牌防火门，产品应符合《钢制防火门通用技术条件》GB12955－91标准，其耐火极应能满足《建筑设计防火规范》（GB50016-2014)。</w:t>
      </w:r>
    </w:p>
    <w:p>
      <w:pPr>
        <w:widowControl/>
        <w:numPr>
          <w:ilvl w:val="0"/>
          <w:numId w:val="13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防火门及楼梯间的门均加闭门器。</w:t>
      </w:r>
    </w:p>
    <w:p>
      <w:pPr>
        <w:widowControl/>
        <w:numPr>
          <w:ilvl w:val="0"/>
          <w:numId w:val="13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火门要求其外观品貌与内墙体装饰协调一致，要求采用优质冷轧钢板，防火材料，门框榫接结构，门扇整体咬合良好。其饰面材料的色泽、样式应经招标人、监理检验后方可安装使用。置闭门器，要求闭门器符合国家相关标准，具有可靠，高安全性能。安装简单，外形美观，与墙面彩钢板或铝挂板饰面配套。</w:t>
      </w:r>
    </w:p>
    <w:p>
      <w:pPr>
        <w:widowControl/>
        <w:numPr>
          <w:ilvl w:val="0"/>
          <w:numId w:val="13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门体应包括门楣、门五金、门锁、闭门器等以及所必需的配件等全部工作内容。</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06" w:name="_Toc16360"/>
      <w:r>
        <w:rPr>
          <w:rFonts w:hint="eastAsia" w:ascii="楷体" w:hAnsi="楷体" w:eastAsia="仿宋" w:cs="Times New Roman"/>
          <w:b/>
          <w:kern w:val="2"/>
          <w:sz w:val="28"/>
          <w:lang w:val="en-US" w:eastAsia="zh-CN" w:bidi="ar-SA"/>
        </w:rPr>
        <w:t>防火玻璃门</w:t>
      </w:r>
      <w:bookmarkEnd w:id="606"/>
    </w:p>
    <w:p>
      <w:pPr>
        <w:widowControl/>
        <w:spacing w:before="156" w:after="156"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应有相关部门的认证证书，其耐火极限应能满足《建筑设计防火规范》GB50016-2014。</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07" w:name="_Toc7424"/>
      <w:r>
        <w:rPr>
          <w:rFonts w:hint="eastAsia" w:ascii="楷体" w:hAnsi="楷体" w:eastAsia="仿宋" w:cs="Times New Roman"/>
          <w:b/>
          <w:kern w:val="2"/>
          <w:sz w:val="28"/>
          <w:lang w:val="en-US" w:eastAsia="zh-CN" w:bidi="ar-SA"/>
        </w:rPr>
        <w:t>防尘地毯</w:t>
      </w:r>
      <w:bookmarkEnd w:id="607"/>
    </w:p>
    <w:p>
      <w:pPr>
        <w:widowControl/>
        <w:tabs>
          <w:tab w:val="left" w:pos="719"/>
        </w:tabs>
        <w:autoSpaceDE w:val="0"/>
        <w:autoSpaceDN w:val="0"/>
        <w:spacing w:before="190" w:beforeLines="50" w:after="190" w:afterLines="5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防尘地毯采用铝合金框架，配以连续挤出的热塑性弹性刮尘条（或化纤织物条等）组合而成，具有良好的除尘防滑之功能，可阻止泥沙、尘土重复带入室内；产品埋在地下，表面与地面平齐，不会绊倒行人；方便推拉门，推车通行；其承重力在标准滚动下可达 1000KG/m</w:t>
      </w:r>
      <w:r>
        <w:rPr>
          <w:rFonts w:hint="eastAsia" w:ascii="仿宋" w:hAnsi="仿宋" w:eastAsia="仿宋" w:cs="仿宋"/>
          <w:sz w:val="28"/>
          <w:szCs w:val="28"/>
          <w:vertAlign w:val="superscript"/>
        </w:rPr>
        <w:t>2</w:t>
      </w:r>
      <w:r>
        <w:rPr>
          <w:rFonts w:hint="eastAsia" w:ascii="仿宋" w:hAnsi="仿宋" w:eastAsia="仿宋" w:cs="仿宋"/>
          <w:sz w:val="28"/>
          <w:szCs w:val="28"/>
        </w:rPr>
        <w:t xml:space="preserve"> 不变形；安装稳固，不会因重物的经过而容易产生滑动，变成波浪形状。铝条寿命很长，耐磨表面（毯面及橡胶）损坏可以单独更换、拆装方便、易清洁，降低了维修费用。具体基本参数如下：</w:t>
      </w:r>
    </w:p>
    <w:p>
      <w:pPr>
        <w:widowControl/>
        <w:numPr>
          <w:ilvl w:val="0"/>
          <w:numId w:val="13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铝合金材质：铝镁合金底座</w:t>
      </w:r>
    </w:p>
    <w:p>
      <w:pPr>
        <w:widowControl/>
        <w:numPr>
          <w:ilvl w:val="0"/>
          <w:numId w:val="13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毯面：专用除尘地毯</w:t>
      </w:r>
    </w:p>
    <w:p>
      <w:pPr>
        <w:widowControl/>
        <w:numPr>
          <w:ilvl w:val="0"/>
          <w:numId w:val="13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颜色：灰色\黑色</w:t>
      </w:r>
    </w:p>
    <w:p>
      <w:pPr>
        <w:widowControl/>
        <w:numPr>
          <w:ilvl w:val="0"/>
          <w:numId w:val="13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铝合金壁厚：大于1.2mm </w:t>
      </w:r>
    </w:p>
    <w:p>
      <w:pPr>
        <w:widowControl/>
        <w:numPr>
          <w:ilvl w:val="0"/>
          <w:numId w:val="13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承重力：承受力需满足1000KG/m2含以上的要求，不变形，去污力、出垢清除率需达到95</w:t>
      </w:r>
      <w:bookmarkStart w:id="608" w:name="_Toc14842"/>
      <w:bookmarkStart w:id="609" w:name="_Toc1099"/>
      <w:bookmarkStart w:id="610" w:name="_Toc25486"/>
      <w:r>
        <w:rPr>
          <w:rFonts w:hint="eastAsia" w:ascii="仿宋" w:hAnsi="仿宋" w:eastAsia="仿宋" w:cs="Times New Roman"/>
          <w:sz w:val="28"/>
          <w:szCs w:val="28"/>
          <w:lang w:val="zh-CN"/>
        </w:rPr>
        <w:t>%以上。</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11" w:name="_Toc27230"/>
      <w:r>
        <w:rPr>
          <w:rFonts w:hint="eastAsia" w:ascii="楷体" w:hAnsi="楷体" w:eastAsia="仿宋" w:cs="Times New Roman"/>
          <w:b/>
          <w:kern w:val="2"/>
          <w:sz w:val="28"/>
          <w:lang w:val="en-US" w:eastAsia="zh-CN" w:bidi="ar-SA"/>
        </w:rPr>
        <w:t>顶部联合吊挂支架系统</w:t>
      </w:r>
      <w:bookmarkEnd w:id="611"/>
    </w:p>
    <w:p>
      <w:pPr>
        <w:widowControl/>
        <w:numPr>
          <w:ilvl w:val="0"/>
          <w:numId w:val="13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设置规格为41mm*25mm*2.5mm带钢镀锌的C型钢联合吊挂支架系统，网格状设置，等间距1200mm覆盖满铺整个机房模块区不中断，所有管线设备固定在联合支吊架上（除消防主管外），顶棚不允许另外钻孔，实现装配式及无尘化施工，满足将来数据中心改造及扩容。 </w:t>
      </w:r>
    </w:p>
    <w:p>
      <w:pPr>
        <w:widowControl/>
        <w:numPr>
          <w:ilvl w:val="0"/>
          <w:numId w:val="13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联合支架需要求做吊挂测试处理，测试采用在吊挂支架上悬挂重物的方法，系统的每个吊杆要能单独承受大于100KG的重物。</w:t>
      </w:r>
    </w:p>
    <w:p>
      <w:pPr>
        <w:widowControl/>
        <w:numPr>
          <w:ilvl w:val="0"/>
          <w:numId w:val="13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工艺要求：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材质：基材为冷轧钢，凹槽内带防滑锯齿，可提供壁厚2.5mm、长度3m／6m不同组合型号。</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C型钢的厚度不小于2.5mm，其他配套连接件的壁厚不低于5mm以保证连接强度。</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表面处理：带钢镀锌，锌层厚度≧20μm，镀锌层防腐性能满足DIN EN ISO 12944标准要求。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耐火性能及其他：具有良好的耐火性能，依据DIN 4102-12，主体及配件耐火性满足E90要求。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型钢卷边处为防滑锯齿形边缘，更好的保证机械组件之间的冷咬合，同时增强槽钢的防滑、抗剪、抗冲击、抗震等性能。</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槽钢三面均带有椭圆的条形孔，依不同使用环境，可极大的提高槽钢的可组合性与灵活性。</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 xml:space="preserve">C型钢主体具有高承载性能。 </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C型钢主体及所有配件均为原厂生产，以确保全线产品满足严格、统一的质量标准。</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要求配置专业、完整的全套配件系统，包括各种管道专用固定件、C型钢锤头螺栓固定件、增强型连接系统等。</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12" w:name="_Toc23687"/>
      <w:r>
        <w:rPr>
          <w:rFonts w:hint="eastAsia" w:ascii="楷体" w:hAnsi="楷体" w:eastAsia="仿宋" w:cs="Times New Roman"/>
          <w:b/>
          <w:kern w:val="2"/>
          <w:sz w:val="28"/>
          <w:lang w:val="en-US" w:eastAsia="zh-CN" w:bidi="ar-SA"/>
        </w:rPr>
        <w:t>天花及彩钢</w:t>
      </w:r>
      <w:bookmarkEnd w:id="608"/>
      <w:bookmarkEnd w:id="609"/>
      <w:bookmarkEnd w:id="610"/>
      <w:r>
        <w:rPr>
          <w:rFonts w:hint="eastAsia" w:ascii="楷体" w:hAnsi="楷体" w:eastAsia="仿宋" w:cs="Times New Roman"/>
          <w:b/>
          <w:kern w:val="2"/>
          <w:sz w:val="28"/>
          <w:lang w:val="en-US" w:eastAsia="zh-CN" w:bidi="ar-SA"/>
        </w:rPr>
        <w:t>板产品要求</w:t>
      </w:r>
      <w:bookmarkEnd w:id="612"/>
    </w:p>
    <w:p>
      <w:pPr>
        <w:widowControl/>
        <w:spacing w:line="560" w:lineRule="exact"/>
        <w:ind w:firstLine="480"/>
        <w:rPr>
          <w:rFonts w:hint="eastAsia" w:ascii="仿宋" w:hAnsi="仿宋" w:eastAsia="仿宋" w:cs="仿宋"/>
          <w:bCs/>
          <w:sz w:val="28"/>
          <w:szCs w:val="28"/>
        </w:rPr>
      </w:pPr>
      <w:r>
        <w:rPr>
          <w:rFonts w:hint="eastAsia" w:ascii="仿宋" w:hAnsi="仿宋" w:eastAsia="仿宋" w:cs="仿宋"/>
          <w:sz w:val="28"/>
          <w:szCs w:val="28"/>
        </w:rPr>
        <w:t>天花、彩钢板及铝挂板产品应具备国家相关部门出具的检验报告，并符合下列技术</w:t>
      </w:r>
      <w:bookmarkStart w:id="613" w:name="_Toc28976"/>
      <w:bookmarkStart w:id="614" w:name="_Toc16323"/>
      <w:r>
        <w:rPr>
          <w:rFonts w:hint="eastAsia" w:ascii="仿宋" w:hAnsi="仿宋" w:eastAsia="仿宋" w:cs="仿宋"/>
          <w:sz w:val="28"/>
          <w:szCs w:val="28"/>
        </w:rPr>
        <w:t>要求：</w:t>
      </w:r>
      <w:r>
        <w:rPr>
          <w:rFonts w:hint="eastAsia" w:ascii="仿宋" w:hAnsi="仿宋" w:eastAsia="仿宋" w:cs="仿宋"/>
          <w:bCs/>
          <w:sz w:val="28"/>
          <w:szCs w:val="28"/>
        </w:rPr>
        <w:t xml:space="preserve"> </w:t>
      </w:r>
    </w:p>
    <w:bookmarkEnd w:id="613"/>
    <w:bookmarkEnd w:id="614"/>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bookmarkStart w:id="615" w:name="_Toc912"/>
      <w:bookmarkStart w:id="616" w:name="_Toc17109"/>
      <w:r>
        <w:rPr>
          <w:rFonts w:hint="eastAsia" w:ascii="楷体" w:hAnsi="楷体" w:eastAsia="仿宋" w:cs="Times New Roman"/>
          <w:b w:val="0"/>
          <w:bCs/>
          <w:kern w:val="2"/>
          <w:sz w:val="28"/>
          <w:szCs w:val="20"/>
          <w:lang w:val="en-US" w:eastAsia="zh-CN" w:bidi="ar-SA"/>
        </w:rPr>
        <w:t>天花</w:t>
      </w:r>
    </w:p>
    <w:bookmarkEnd w:id="615"/>
    <w:p>
      <w:pPr>
        <w:widowControl/>
        <w:numPr>
          <w:ilvl w:val="0"/>
          <w:numId w:val="135"/>
        </w:numPr>
        <w:spacing w:line="560" w:lineRule="exact"/>
        <w:ind w:left="0" w:firstLine="0"/>
        <w:rPr>
          <w:rFonts w:hint="eastAsia" w:ascii="仿宋" w:hAnsi="仿宋" w:eastAsia="仿宋" w:cs="Times New Roman"/>
          <w:sz w:val="28"/>
          <w:szCs w:val="28"/>
          <w:lang w:val="zh-CN"/>
        </w:rPr>
      </w:pPr>
      <w:bookmarkStart w:id="617" w:name="_Toc29092"/>
      <w:r>
        <w:rPr>
          <w:rFonts w:hint="eastAsia" w:ascii="仿宋" w:hAnsi="仿宋" w:eastAsia="仿宋" w:cs="Times New Roman"/>
          <w:sz w:val="28"/>
          <w:szCs w:val="28"/>
          <w:lang w:val="zh-CN"/>
        </w:rPr>
        <w:t>铝合金材料。</w:t>
      </w:r>
    </w:p>
    <w:p>
      <w:pPr>
        <w:widowControl/>
        <w:numPr>
          <w:ilvl w:val="0"/>
          <w:numId w:val="13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天花须为三涂</w:t>
      </w:r>
      <w:bookmarkEnd w:id="617"/>
      <w:r>
        <w:rPr>
          <w:rFonts w:hint="eastAsia" w:ascii="仿宋" w:hAnsi="仿宋" w:eastAsia="仿宋" w:cs="Times New Roman"/>
          <w:sz w:val="28"/>
          <w:szCs w:val="28"/>
          <w:lang w:val="zh-CN"/>
        </w:rPr>
        <w:t>氟碳涂层。</w:t>
      </w:r>
    </w:p>
    <w:p>
      <w:pPr>
        <w:widowControl/>
        <w:numPr>
          <w:ilvl w:val="0"/>
          <w:numId w:val="13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氟碳涂层质量标准按JG/T133-2000 B 15763.1-</w:t>
      </w:r>
      <w:bookmarkStart w:id="618" w:name="_Toc13332"/>
      <w:r>
        <w:rPr>
          <w:rFonts w:hint="eastAsia" w:ascii="仿宋" w:hAnsi="仿宋" w:eastAsia="仿宋" w:cs="Times New Roman"/>
          <w:sz w:val="28"/>
          <w:szCs w:val="28"/>
          <w:lang w:val="zh-CN"/>
        </w:rPr>
        <w:t>2009</w:t>
      </w:r>
    </w:p>
    <w:p>
      <w:pPr>
        <w:widowControl/>
        <w:numPr>
          <w:ilvl w:val="0"/>
          <w:numId w:val="13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现场施工时，须保持颜色一致，应结合图纸在现场测量清楚，有必要时需原大放样；吊顶各种结构结合处，均应做到整齐、流畅，无物件或</w:t>
      </w:r>
      <w:bookmarkEnd w:id="618"/>
      <w:r>
        <w:rPr>
          <w:rFonts w:hint="eastAsia" w:ascii="仿宋" w:hAnsi="仿宋" w:eastAsia="仿宋" w:cs="Times New Roman"/>
          <w:sz w:val="28"/>
          <w:szCs w:val="28"/>
          <w:lang w:val="zh-CN"/>
        </w:rPr>
        <w:t>裁边外露。</w:t>
      </w:r>
    </w:p>
    <w:bookmarkEnd w:id="616"/>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彩</w:t>
      </w:r>
      <w:bookmarkStart w:id="619" w:name="_Toc25345"/>
      <w:r>
        <w:rPr>
          <w:rFonts w:hint="eastAsia" w:ascii="仿宋" w:hAnsi="仿宋" w:eastAsia="仿宋" w:cs="仿宋"/>
          <w:b/>
          <w:kern w:val="2"/>
          <w:sz w:val="28"/>
          <w:szCs w:val="28"/>
          <w:lang w:val="en-US" w:eastAsia="zh-CN" w:bidi="ar-SA"/>
        </w:rPr>
        <w:t>钢板材料</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必须为A级</w:t>
      </w:r>
      <w:bookmarkEnd w:id="619"/>
      <w:r>
        <w:rPr>
          <w:rFonts w:hint="eastAsia" w:ascii="仿宋" w:hAnsi="仿宋" w:eastAsia="仿宋" w:cs="Times New Roman"/>
          <w:sz w:val="28"/>
          <w:szCs w:val="28"/>
          <w:lang w:val="zh-CN"/>
        </w:rPr>
        <w:t>不</w:t>
      </w:r>
      <w:bookmarkStart w:id="620" w:name="_Toc29462"/>
      <w:r>
        <w:rPr>
          <w:rFonts w:hint="eastAsia" w:ascii="仿宋" w:hAnsi="仿宋" w:eastAsia="仿宋" w:cs="Times New Roman"/>
          <w:sz w:val="28"/>
          <w:szCs w:val="28"/>
          <w:lang w:val="zh-CN"/>
        </w:rPr>
        <w:t>燃材料。</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彩钢板复合饰面为0.</w:t>
      </w:r>
      <w:r>
        <w:rPr>
          <w:rFonts w:ascii="仿宋" w:hAnsi="仿宋" w:eastAsia="仿宋" w:cs="Times New Roman"/>
          <w:sz w:val="28"/>
          <w:szCs w:val="28"/>
          <w:lang w:val="zh-CN"/>
        </w:rPr>
        <w:t>6</w:t>
      </w:r>
      <w:r>
        <w:rPr>
          <w:rFonts w:hint="eastAsia" w:ascii="仿宋" w:hAnsi="仿宋" w:eastAsia="仿宋" w:cs="Times New Roman"/>
          <w:sz w:val="28"/>
          <w:szCs w:val="28"/>
          <w:lang w:val="zh-CN"/>
        </w:rPr>
        <w:t>mm厚镀锌烤漆钢板+12mm厚石膏板压制成型的一体式装饰材料，该材料符合相应国家标准，具有防尘、防静电、</w:t>
      </w:r>
      <w:bookmarkEnd w:id="620"/>
      <w:r>
        <w:rPr>
          <w:rFonts w:hint="eastAsia" w:ascii="仿宋" w:hAnsi="仿宋" w:eastAsia="仿宋" w:cs="Times New Roman"/>
          <w:sz w:val="28"/>
          <w:szCs w:val="28"/>
          <w:lang w:val="zh-CN"/>
        </w:rPr>
        <w:t>环</w:t>
      </w:r>
      <w:bookmarkStart w:id="621" w:name="_Toc7417"/>
      <w:r>
        <w:rPr>
          <w:rFonts w:hint="eastAsia" w:ascii="仿宋" w:hAnsi="仿宋" w:eastAsia="仿宋" w:cs="Times New Roman"/>
          <w:sz w:val="28"/>
          <w:szCs w:val="28"/>
          <w:lang w:val="zh-CN"/>
        </w:rPr>
        <w:t>保性能。</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规格：1200×3000（以现场实际为准）×1</w:t>
      </w:r>
      <w:bookmarkEnd w:id="621"/>
      <w:r>
        <w:rPr>
          <w:rFonts w:hint="eastAsia" w:ascii="仿宋" w:hAnsi="仿宋" w:eastAsia="仿宋" w:cs="Times New Roman"/>
          <w:sz w:val="28"/>
          <w:szCs w:val="28"/>
          <w:lang w:val="zh-CN"/>
        </w:rPr>
        <w:t>2</w:t>
      </w:r>
      <w:bookmarkStart w:id="622" w:name="_Toc19739"/>
      <w:r>
        <w:rPr>
          <w:rFonts w:hint="eastAsia" w:ascii="仿宋" w:hAnsi="仿宋" w:eastAsia="仿宋" w:cs="Times New Roman"/>
          <w:sz w:val="28"/>
          <w:szCs w:val="28"/>
          <w:lang w:val="zh-CN"/>
        </w:rPr>
        <w:t>.6mm</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表面：EBC处理的</w:t>
      </w:r>
      <w:bookmarkEnd w:id="622"/>
      <w:r>
        <w:rPr>
          <w:rFonts w:hint="eastAsia" w:ascii="仿宋" w:hAnsi="仿宋" w:eastAsia="仿宋" w:cs="Times New Roman"/>
          <w:sz w:val="28"/>
          <w:szCs w:val="28"/>
          <w:lang w:val="zh-CN"/>
        </w:rPr>
        <w:t>聚</w:t>
      </w:r>
      <w:bookmarkStart w:id="623" w:name="_Toc16065"/>
      <w:r>
        <w:rPr>
          <w:rFonts w:hint="eastAsia" w:ascii="仿宋" w:hAnsi="仿宋" w:eastAsia="仿宋" w:cs="Times New Roman"/>
          <w:sz w:val="28"/>
          <w:szCs w:val="28"/>
          <w:lang w:val="zh-CN"/>
        </w:rPr>
        <w:t>丙烯酸脂</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面层：0.</w:t>
      </w:r>
      <w:r>
        <w:rPr>
          <w:rFonts w:ascii="仿宋" w:hAnsi="仿宋" w:eastAsia="仿宋" w:cs="Times New Roman"/>
          <w:sz w:val="28"/>
          <w:szCs w:val="28"/>
          <w:lang w:val="zh-CN"/>
        </w:rPr>
        <w:t>6</w:t>
      </w:r>
      <w:r>
        <w:rPr>
          <w:rFonts w:hint="eastAsia" w:ascii="仿宋" w:hAnsi="仿宋" w:eastAsia="仿宋" w:cs="Times New Roman"/>
          <w:sz w:val="28"/>
          <w:szCs w:val="28"/>
          <w:lang w:val="zh-CN"/>
        </w:rPr>
        <w:t>mm厚镀</w:t>
      </w:r>
      <w:bookmarkEnd w:id="623"/>
      <w:r>
        <w:rPr>
          <w:rFonts w:hint="eastAsia" w:ascii="仿宋" w:hAnsi="仿宋" w:eastAsia="仿宋" w:cs="Times New Roman"/>
          <w:sz w:val="28"/>
          <w:szCs w:val="28"/>
          <w:lang w:val="zh-CN"/>
        </w:rPr>
        <w:t>锌</w:t>
      </w:r>
      <w:bookmarkStart w:id="624" w:name="_Toc348"/>
      <w:r>
        <w:rPr>
          <w:rFonts w:hint="eastAsia" w:ascii="仿宋" w:hAnsi="仿宋" w:eastAsia="仿宋" w:cs="Times New Roman"/>
          <w:sz w:val="28"/>
          <w:szCs w:val="28"/>
          <w:lang w:val="zh-CN"/>
        </w:rPr>
        <w:t>烤漆钢板</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基层：1</w:t>
      </w:r>
      <w:bookmarkEnd w:id="624"/>
      <w:r>
        <w:rPr>
          <w:rFonts w:hint="eastAsia" w:ascii="仿宋" w:hAnsi="仿宋" w:eastAsia="仿宋" w:cs="Times New Roman"/>
          <w:sz w:val="28"/>
          <w:szCs w:val="28"/>
          <w:lang w:val="zh-CN"/>
        </w:rPr>
        <w:t>2</w:t>
      </w:r>
      <w:bookmarkStart w:id="625" w:name="_Toc22997"/>
      <w:r>
        <w:rPr>
          <w:rFonts w:hint="eastAsia" w:ascii="仿宋" w:hAnsi="仿宋" w:eastAsia="仿宋" w:cs="Times New Roman"/>
          <w:sz w:val="28"/>
          <w:szCs w:val="28"/>
          <w:lang w:val="zh-CN"/>
        </w:rPr>
        <w:t>mm厚石膏板</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颜色</w:t>
      </w:r>
      <w:bookmarkEnd w:id="625"/>
      <w:r>
        <w:rPr>
          <w:rFonts w:hint="eastAsia" w:ascii="仿宋" w:hAnsi="仿宋" w:eastAsia="仿宋" w:cs="Times New Roman"/>
          <w:sz w:val="28"/>
          <w:szCs w:val="28"/>
          <w:lang w:val="zh-CN"/>
        </w:rPr>
        <w:t>：</w:t>
      </w:r>
      <w:bookmarkStart w:id="626" w:name="_Toc31422"/>
      <w:r>
        <w:rPr>
          <w:rFonts w:hint="eastAsia" w:ascii="仿宋" w:hAnsi="仿宋" w:eastAsia="仿宋" w:cs="Times New Roman"/>
          <w:sz w:val="28"/>
          <w:szCs w:val="28"/>
          <w:lang w:val="zh-CN"/>
        </w:rPr>
        <w:t>哑光浅色（需招标人最终确认）</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防火</w:t>
      </w:r>
      <w:bookmarkEnd w:id="626"/>
      <w:r>
        <w:rPr>
          <w:rFonts w:hint="eastAsia" w:ascii="仿宋" w:hAnsi="仿宋" w:eastAsia="仿宋" w:cs="Times New Roman"/>
          <w:sz w:val="28"/>
          <w:szCs w:val="28"/>
          <w:lang w:val="zh-CN"/>
        </w:rPr>
        <w:t>等</w:t>
      </w:r>
      <w:bookmarkStart w:id="627" w:name="_Toc14198"/>
      <w:r>
        <w:rPr>
          <w:rFonts w:hint="eastAsia" w:ascii="仿宋" w:hAnsi="仿宋" w:eastAsia="仿宋" w:cs="Times New Roman"/>
          <w:sz w:val="28"/>
          <w:szCs w:val="28"/>
          <w:lang w:val="zh-CN"/>
        </w:rPr>
        <w:t>级：A级</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尺寸偏差：≤2.5 </w:t>
      </w:r>
      <w:bookmarkEnd w:id="627"/>
      <w:r>
        <w:rPr>
          <w:rFonts w:hint="eastAsia" w:ascii="仿宋" w:hAnsi="仿宋" w:eastAsia="仿宋" w:cs="Times New Roman"/>
          <w:sz w:val="28"/>
          <w:szCs w:val="28"/>
          <w:lang w:val="zh-CN"/>
        </w:rPr>
        <w:t>m</w:t>
      </w:r>
      <w:bookmarkStart w:id="628" w:name="_Toc1961"/>
      <w:r>
        <w:rPr>
          <w:rFonts w:hint="eastAsia" w:ascii="仿宋" w:hAnsi="仿宋" w:eastAsia="仿宋" w:cs="Times New Roman"/>
          <w:sz w:val="28"/>
          <w:szCs w:val="28"/>
          <w:lang w:val="zh-CN"/>
        </w:rPr>
        <w:t>m /㎡</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吸水率</w:t>
      </w:r>
      <w:bookmarkEnd w:id="628"/>
      <w:r>
        <w:rPr>
          <w:rFonts w:hint="eastAsia" w:ascii="仿宋" w:hAnsi="仿宋" w:eastAsia="仿宋" w:cs="Times New Roman"/>
          <w:sz w:val="28"/>
          <w:szCs w:val="28"/>
          <w:lang w:val="zh-CN"/>
        </w:rPr>
        <w:t>≤</w:t>
      </w:r>
      <w:bookmarkStart w:id="629" w:name="_Toc5611"/>
      <w:r>
        <w:rPr>
          <w:rFonts w:hint="eastAsia" w:ascii="仿宋" w:hAnsi="仿宋" w:eastAsia="仿宋" w:cs="Times New Roman"/>
          <w:sz w:val="28"/>
          <w:szCs w:val="28"/>
          <w:lang w:val="zh-CN"/>
        </w:rPr>
        <w:t>1.0%</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弹性模量：8000</w:t>
      </w:r>
      <w:bookmarkEnd w:id="629"/>
      <w:r>
        <w:rPr>
          <w:rFonts w:hint="eastAsia" w:ascii="仿宋" w:hAnsi="仿宋" w:eastAsia="仿宋" w:cs="Times New Roman"/>
          <w:sz w:val="28"/>
          <w:szCs w:val="28"/>
          <w:lang w:val="zh-CN"/>
        </w:rPr>
        <w:t>N</w:t>
      </w:r>
      <w:bookmarkStart w:id="630" w:name="_Toc30911"/>
      <w:r>
        <w:rPr>
          <w:rFonts w:hint="eastAsia" w:ascii="仿宋" w:hAnsi="仿宋" w:eastAsia="仿宋" w:cs="Times New Roman"/>
          <w:sz w:val="28"/>
          <w:szCs w:val="28"/>
          <w:lang w:val="zh-CN"/>
        </w:rPr>
        <w:t>/mm2</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抗拉强度：9</w:t>
      </w:r>
      <w:bookmarkEnd w:id="630"/>
      <w:r>
        <w:rPr>
          <w:rFonts w:hint="eastAsia" w:ascii="仿宋" w:hAnsi="仿宋" w:eastAsia="仿宋" w:cs="Times New Roman"/>
          <w:sz w:val="28"/>
          <w:szCs w:val="28"/>
          <w:lang w:val="zh-CN"/>
        </w:rPr>
        <w:t>0</w:t>
      </w:r>
      <w:bookmarkStart w:id="631" w:name="_Toc18663"/>
      <w:r>
        <w:rPr>
          <w:rFonts w:hint="eastAsia" w:ascii="仿宋" w:hAnsi="仿宋" w:eastAsia="仿宋" w:cs="Times New Roman"/>
          <w:sz w:val="28"/>
          <w:szCs w:val="28"/>
          <w:lang w:val="zh-CN"/>
        </w:rPr>
        <w:t>N/m㎡</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抗弯强度：11</w:t>
      </w:r>
      <w:bookmarkEnd w:id="631"/>
      <w:r>
        <w:rPr>
          <w:rFonts w:hint="eastAsia" w:ascii="仿宋" w:hAnsi="仿宋" w:eastAsia="仿宋" w:cs="Times New Roman"/>
          <w:sz w:val="28"/>
          <w:szCs w:val="28"/>
          <w:lang w:val="zh-CN"/>
        </w:rPr>
        <w:t>0</w:t>
      </w:r>
      <w:bookmarkStart w:id="632" w:name="_Toc18997"/>
      <w:r>
        <w:rPr>
          <w:rFonts w:hint="eastAsia" w:ascii="仿宋" w:hAnsi="仿宋" w:eastAsia="仿宋" w:cs="Times New Roman"/>
          <w:sz w:val="28"/>
          <w:szCs w:val="28"/>
          <w:lang w:val="zh-CN"/>
        </w:rPr>
        <w:t>N/m㎡</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表面抗击强度</w:t>
      </w:r>
      <w:bookmarkEnd w:id="632"/>
      <w:r>
        <w:rPr>
          <w:rFonts w:hint="eastAsia" w:ascii="仿宋" w:hAnsi="仿宋" w:eastAsia="仿宋" w:cs="Times New Roman"/>
          <w:sz w:val="28"/>
          <w:szCs w:val="28"/>
          <w:lang w:val="zh-CN"/>
        </w:rPr>
        <w:t>：</w:t>
      </w:r>
      <w:bookmarkStart w:id="633" w:name="_Toc7657"/>
      <w:r>
        <w:rPr>
          <w:rFonts w:hint="eastAsia" w:ascii="仿宋" w:hAnsi="仿宋" w:eastAsia="仿宋" w:cs="Times New Roman"/>
          <w:sz w:val="28"/>
          <w:szCs w:val="28"/>
          <w:lang w:val="zh-CN"/>
        </w:rPr>
        <w:t>≥40N</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耐刮强度：</w:t>
      </w:r>
      <w:bookmarkEnd w:id="633"/>
      <w:r>
        <w:rPr>
          <w:rFonts w:hint="eastAsia" w:ascii="仿宋" w:hAnsi="仿宋" w:eastAsia="仿宋" w:cs="Times New Roman"/>
          <w:sz w:val="28"/>
          <w:szCs w:val="28"/>
          <w:lang w:val="zh-CN"/>
        </w:rPr>
        <w:t>≥3.5N</w:t>
      </w:r>
    </w:p>
    <w:p>
      <w:pPr>
        <w:widowControl/>
        <w:numPr>
          <w:ilvl w:val="0"/>
          <w:numId w:val="1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导热性：±0.3W/mK</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34" w:name="_Toc31634"/>
      <w:bookmarkStart w:id="635" w:name="_Toc20863"/>
      <w:bookmarkStart w:id="636" w:name="_Toc29579"/>
      <w:bookmarkStart w:id="637" w:name="_Toc7859"/>
      <w:r>
        <w:rPr>
          <w:rFonts w:hint="eastAsia" w:ascii="楷体" w:hAnsi="楷体" w:eastAsia="仿宋" w:cs="Times New Roman"/>
          <w:b/>
          <w:kern w:val="2"/>
          <w:sz w:val="28"/>
          <w:lang w:val="en-US" w:eastAsia="zh-CN" w:bidi="ar-SA"/>
        </w:rPr>
        <w:t>轻钢龙骨</w:t>
      </w:r>
      <w:bookmarkEnd w:id="634"/>
      <w:bookmarkEnd w:id="635"/>
      <w:bookmarkEnd w:id="636"/>
      <w:bookmarkEnd w:id="637"/>
    </w:p>
    <w:p>
      <w:pPr>
        <w:widowControl/>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机房的隔墙龙骨采用优质冷轧连续热镀锌钢带为原料精制而成，要求材质均匀、强度高、韧性好，具有高质量的双面镀锌层，抗锈蚀性好、尺寸精确、直线度好。</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38" w:name="_Toc18339"/>
      <w:bookmarkStart w:id="639" w:name="_Toc5185"/>
      <w:bookmarkStart w:id="640" w:name="_Toc30967"/>
      <w:bookmarkStart w:id="641" w:name="_Toc22506"/>
      <w:r>
        <w:rPr>
          <w:rFonts w:hint="eastAsia" w:ascii="楷体" w:hAnsi="楷体" w:eastAsia="仿宋" w:cs="Times New Roman"/>
          <w:b/>
          <w:kern w:val="2"/>
          <w:sz w:val="28"/>
          <w:lang w:val="en-US" w:eastAsia="zh-CN" w:bidi="ar-SA"/>
        </w:rPr>
        <w:t>硅酸钙板及硅酸钙板隔墙</w:t>
      </w:r>
      <w:bookmarkEnd w:id="638"/>
      <w:bookmarkEnd w:id="639"/>
      <w:bookmarkEnd w:id="640"/>
      <w:bookmarkEnd w:id="641"/>
    </w:p>
    <w:p>
      <w:pPr>
        <w:widowControl/>
        <w:numPr>
          <w:ilvl w:val="0"/>
          <w:numId w:val="1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轻钢龙骨硅酸钙板隔墙，以轻钢龙骨为骨架，以硅酸钙板为墙面板，通过螺钉固定硅酸钙板而成的轻质墙体，其中普通隔墙是以 C型龙骨作为竖向龙骨、U型龙骨作为横向天地龙骨、加以硅酸钙板、自攻螺钉、贯通龙骨组合而成的隔断墙体，要满足空间的隔断需求，同时提供良好隔声以及防火性能，隔墙中的轻钢龙骨的排列为单排。</w:t>
      </w:r>
    </w:p>
    <w:p>
      <w:pPr>
        <w:widowControl/>
        <w:numPr>
          <w:ilvl w:val="0"/>
          <w:numId w:val="1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硅酸钙板隔墙以100系列轻钢龙骨配以12mm硅酸钙板组成，隔声要求大于45dB；硅酸钙板湿胀率小于0.015％。</w:t>
      </w:r>
    </w:p>
    <w:p>
      <w:pPr>
        <w:widowControl/>
        <w:numPr>
          <w:ilvl w:val="0"/>
          <w:numId w:val="1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紧固材料：射钉、膨胀螺栓、镀锌自攻螺丝（12mm厚硅钙板用25mm长螺丝，两层12mm厚硅钙板用35mm长螺丝）等。</w:t>
      </w:r>
    </w:p>
    <w:p>
      <w:pPr>
        <w:widowControl/>
        <w:numPr>
          <w:ilvl w:val="0"/>
          <w:numId w:val="1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填充材料：厚度（配合相关墙体）超细玻璃棉保温层（带铝箔）。</w:t>
      </w:r>
    </w:p>
    <w:p>
      <w:pPr>
        <w:widowControl/>
        <w:numPr>
          <w:ilvl w:val="0"/>
          <w:numId w:val="1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硅钙板：硅钙板应有产品合格证；</w:t>
      </w:r>
    </w:p>
    <w:p>
      <w:pPr>
        <w:widowControl/>
        <w:numPr>
          <w:ilvl w:val="0"/>
          <w:numId w:val="1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一般规格如下：宽度：1200mm、900mm；厚度：12mm防火硅酸钙板。</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42" w:name="_Toc4097"/>
      <w:r>
        <w:rPr>
          <w:rFonts w:hint="eastAsia" w:ascii="楷体" w:hAnsi="楷体" w:eastAsia="仿宋" w:cs="Times New Roman"/>
          <w:b/>
          <w:kern w:val="2"/>
          <w:sz w:val="28"/>
          <w:lang w:val="en-US" w:eastAsia="zh-CN" w:bidi="ar-SA"/>
        </w:rPr>
        <w:t>监控台</w:t>
      </w:r>
      <w:bookmarkEnd w:id="642"/>
    </w:p>
    <w:p>
      <w:pPr>
        <w:widowControl/>
        <w:numPr>
          <w:ilvl w:val="0"/>
          <w:numId w:val="1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监控中心需设置9个专用工位。</w:t>
      </w:r>
    </w:p>
    <w:p>
      <w:pPr>
        <w:widowControl/>
        <w:numPr>
          <w:ilvl w:val="0"/>
          <w:numId w:val="1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控制台配置必须依照监控中心的实际面积、尺寸以及空间布局的合理性进行设计与施工，并且应考虑到与整个监控中心环境的协调性。要求符合国家环保标准、无毒无味。</w:t>
      </w:r>
    </w:p>
    <w:p>
      <w:pPr>
        <w:widowControl/>
        <w:numPr>
          <w:ilvl w:val="0"/>
          <w:numId w:val="1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监控台应满足工作站环境中的功能性、人体工程学和美学的要求，同时还应符合目视距离、角度、键盘高度和膝位空间等相关人体工程学和人性因素设计的要求。</w:t>
      </w:r>
    </w:p>
    <w:p>
      <w:pPr>
        <w:widowControl/>
        <w:numPr>
          <w:ilvl w:val="0"/>
          <w:numId w:val="1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监控台的桌面距地面水平要求高度根据现场实际情况合理化设定，并需保证屏幕、桌面显示器与桌面这三大视野范围互不影响或干扰，方便操作员的使用，以达到提高工作效率的目的。主要考虑值班人员经常使用设备的位置可以合理打开，同时可以很轻松拿到相应物品，桌面显示器位置可以很灵活移动并可以根据使用人员需要调整视角方向；人与人之间工作互相不干扰，前后排之间走路通过的时候不影响坐着工作的人员正常工作。</w:t>
      </w:r>
    </w:p>
    <w:p>
      <w:pPr>
        <w:widowControl/>
        <w:numPr>
          <w:ilvl w:val="0"/>
          <w:numId w:val="1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应采用控制台模块化的结构体系支持控制室整个范围的布局和配置，从整排连续布局到单个的操作员工作站可以最有效的利用有限的空间。监控台应是标准化设计，同时还必须易于进行更新和结构变形，允许为增加操作者的生产力、舒适性和安全性而加强监控台基本模块，不需对结构和外部构造进行大规模的改变。</w:t>
      </w:r>
    </w:p>
    <w:p>
      <w:pPr>
        <w:widowControl/>
        <w:numPr>
          <w:ilvl w:val="0"/>
          <w:numId w:val="1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监控台应提供给用户最大的设备布置便利度。应能对多屏幕显示环境、系统操作和诸如显示屏幕间的距离要最小、不同尺寸的计算机主机等其他设备带来极大的方便。</w:t>
      </w:r>
    </w:p>
    <w:p>
      <w:pPr>
        <w:widowControl/>
        <w:numPr>
          <w:ilvl w:val="0"/>
          <w:numId w:val="1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监控台即使在安装完成以后，其截面尺寸可以变换放大以响应某些极为特殊的应用需求，在安装以后只要更换极少的部件就能适应将来技术发展，保护用户的前期投资。</w:t>
      </w:r>
    </w:p>
    <w:p>
      <w:pPr>
        <w:widowControl/>
        <w:numPr>
          <w:ilvl w:val="0"/>
          <w:numId w:val="1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监控台的外观制造应使用现代型材，同时保持其耐用性和功能性达到一个较高的水平，可以满足7*24小时工作需要。</w:t>
      </w:r>
    </w:p>
    <w:p>
      <w:pPr>
        <w:widowControl/>
        <w:numPr>
          <w:ilvl w:val="0"/>
          <w:numId w:val="1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应为维护操作者提供最佳的设备可接近性，同时保持最大的观看和沟通空间。较低部位的面板均安装有铰链或可取下，保证提供最佳的可接近性，便于内部设备（计算机、各类终端面板、电源插座、线缆等）的安装和维护。</w:t>
      </w:r>
    </w:p>
    <w:p>
      <w:pPr>
        <w:widowControl/>
        <w:numPr>
          <w:ilvl w:val="0"/>
          <w:numId w:val="1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监控台前后均需配有通过铰链连接的面板，容易打开，方便内部设备的维护；</w:t>
      </w:r>
    </w:p>
    <w:p>
      <w:pPr>
        <w:widowControl/>
        <w:numPr>
          <w:ilvl w:val="0"/>
          <w:numId w:val="1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监控台内部需配有专业的固定键盘托盘；监控台所使用的材质应附合国家环保要求，并且需提供环保证明材料。</w:t>
      </w:r>
    </w:p>
    <w:p>
      <w:pPr>
        <w:widowControl/>
        <w:numPr>
          <w:ilvl w:val="0"/>
          <w:numId w:val="1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监控台工艺要求：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仿宋" w:hAnsi="仿宋" w:eastAsia="仿宋" w:cs="仿宋"/>
          <w:sz w:val="28"/>
          <w:szCs w:val="28"/>
        </w:rPr>
        <w:t>（</w:t>
      </w:r>
      <w:r>
        <w:rPr>
          <w:rFonts w:hint="eastAsia" w:ascii="Calibri" w:hAnsi="Calibri" w:eastAsia="仿宋" w:cs="Times New Roman"/>
          <w:sz w:val="28"/>
          <w:szCs w:val="22"/>
        </w:rPr>
        <w:t>监控台应考虑足够合理的自然散热条件，要求各门盖用料合理，可拆，刚性好，质量轻，打开不摇晃。</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（应有合理走线安排，配专业扎线槽，分电源线和信号线，所有走线口要求有护线边保护，不能裸露利口边。要求提供样件验证。</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（所有门拉手要求质量好，开启轻巧，类似汽车门拉手，但装在门上要协调，尺寸合适，要求提供样件验证。</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所有连接处牢固且质量好，在薄型材料上制作螺纹孔的工艺要好，精度高，要求用专业压铆螺母或特制螺母制作，避免利口批锋。要求提供样件评估。</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涂饰加工后的产品不允许存在以下缺陷：整件产品或成套产品有明显的色差；产品表面涂层存在漆膜皱皮、发黏和漏漆；漆膜涂层有明显雾光、白楞、白点、油白、流挂、缩孔、刷毛、积粉、杂渣 、划伤、鼓泡和脱皮；软、硬质覆面材料表面存在凹陷、麻点、划伤、裂痕、崩角和刃口。</w:t>
      </w:r>
    </w:p>
    <w:p>
      <w:pPr>
        <w:widowControl/>
        <w:numPr>
          <w:ilvl w:val="0"/>
          <w:numId w:val="1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监控台的材质要求：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内部为高强度板材，表面及下部必须有高压覆盖层。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密度：不小于45 磅/英尺</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线性膨胀：在 90% 相对温度下不高于0.39%</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静态负荷：不小于50 磅每线性英尺。</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监控台侧面使用为30mm厚高压中密度板。</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前后门、框架及铁质部分材料：使用2.0或1.5mm厚冷扎镀锌钢板。</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每个工位配置两个LCD挂架，挂架铁器部分为拉铝，球形连接头。</w:t>
      </w:r>
    </w:p>
    <w:p>
      <w:pPr>
        <w:widowControl/>
        <w:numPr>
          <w:ilvl w:val="0"/>
          <w:numId w:val="1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尺寸要求（具体尺寸以现场为准）：</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控制台宽度和坐席长度根据图纸和现场考虑，底柜有19”分隔间；每列坐席两头各放置一个角柜。保证每个座席的位置能有放置PC主机的空间。</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每席控制台上能放置两面显示器，显示器经过显示器伸缩支臂悬挂在控制台金属背板上，显示器后背板高度暂定为120mm。</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款式、颜色：艺术侧板式，颜色暂定为灰色（最终颜色需招标人确认）。</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其它配件：每个席位配置2条4位的PDU电源条。（UPS电源）</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监控台的选定需最终通过招标人同意认可。</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需采用专业型的监控台，不接受采用一般的办公桌代替。</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43" w:name="_Toc21430"/>
      <w:r>
        <w:rPr>
          <w:rFonts w:hint="eastAsia" w:ascii="楷体" w:hAnsi="楷体" w:eastAsia="仿宋" w:cs="Times New Roman"/>
          <w:b/>
          <w:kern w:val="2"/>
          <w:sz w:val="28"/>
          <w:lang w:val="en-US" w:eastAsia="zh-CN" w:bidi="ar-SA"/>
        </w:rPr>
        <w:t>吊装口</w:t>
      </w:r>
      <w:bookmarkEnd w:id="643"/>
    </w:p>
    <w:p>
      <w:pPr>
        <w:widowControl/>
        <w:spacing w:line="560" w:lineRule="exact"/>
        <w:ind w:firstLine="435"/>
        <w:rPr>
          <w:rFonts w:hint="eastAsia" w:ascii="仿宋" w:hAnsi="仿宋" w:eastAsia="仿宋" w:cs="仿宋"/>
          <w:bCs/>
          <w:sz w:val="28"/>
          <w:szCs w:val="28"/>
        </w:rPr>
      </w:pPr>
      <w:r>
        <w:rPr>
          <w:rFonts w:hint="eastAsia" w:ascii="仿宋" w:hAnsi="仿宋" w:eastAsia="仿宋" w:cs="仿宋"/>
          <w:bCs/>
          <w:sz w:val="28"/>
          <w:szCs w:val="28"/>
        </w:rPr>
        <w:t>如货梯不满足三层有部分设备及材料的运输条件，需自行考虑运输路由，但如需对外墙开孔进行吊装，则必须自行原貌修复。</w:t>
      </w:r>
    </w:p>
    <w:p>
      <w:pPr>
        <w:spacing w:line="560" w:lineRule="exact"/>
        <w:ind w:firstLine="435"/>
        <w:rPr>
          <w:rFonts w:hint="eastAsia" w:ascii="仿宋" w:hAnsi="仿宋" w:cs="仿宋"/>
          <w:bCs/>
          <w:szCs w:val="28"/>
        </w:rPr>
        <w:sectPr>
          <w:pgSz w:w="11906" w:h="16838"/>
          <w:pgMar w:top="1440" w:right="1800" w:bottom="1440" w:left="1800" w:header="851" w:footer="992" w:gutter="0"/>
          <w:pgNumType w:fmt="decimal"/>
          <w:cols w:space="720" w:num="1"/>
          <w:titlePg/>
          <w:docGrid w:type="lines" w:linePitch="381" w:charSpace="0"/>
        </w:sectPr>
      </w:pP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644" w:name="_Toc16148"/>
      <w:r>
        <w:rPr>
          <w:rFonts w:hint="eastAsia" w:ascii="仿宋" w:hAnsi="仿宋" w:eastAsia="仿宋" w:cs="仿宋"/>
          <w:b/>
          <w:bCs/>
          <w:kern w:val="2"/>
          <w:sz w:val="28"/>
          <w:szCs w:val="28"/>
          <w:lang w:val="en-US" w:eastAsia="zh-CN" w:bidi="ar-SA"/>
        </w:rPr>
        <w:t>电气系统</w:t>
      </w:r>
      <w:bookmarkEnd w:id="644"/>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45" w:name="_Toc10805"/>
      <w:r>
        <w:rPr>
          <w:rFonts w:hint="eastAsia" w:ascii="楷体" w:hAnsi="楷体" w:eastAsia="仿宋" w:cs="Times New Roman"/>
          <w:b/>
          <w:kern w:val="2"/>
          <w:sz w:val="28"/>
          <w:lang w:val="en-US" w:eastAsia="zh-CN" w:bidi="ar-SA"/>
        </w:rPr>
        <w:t>低压配电柜</w:t>
      </w:r>
      <w:bookmarkEnd w:id="645"/>
    </w:p>
    <w:p>
      <w:pPr>
        <w:widowControl/>
        <w:numPr>
          <w:ilvl w:val="0"/>
          <w:numId w:val="13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本工程中的低压配电柜要求采用知名品牌的成熟产品，要求为机房常用一流品牌授权指定盘柜厂生产可靠性高的成套柜。</w:t>
      </w:r>
    </w:p>
    <w:p>
      <w:pPr>
        <w:widowControl/>
        <w:numPr>
          <w:ilvl w:val="0"/>
          <w:numId w:val="13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低压配电柜必须是通过中国国家级低压电器质量监督检验机构的型式试验的产品（TTA），并通过3C认证的产品</w:t>
      </w:r>
      <w:r>
        <w:rPr>
          <w:rFonts w:hint="eastAsia" w:ascii="仿宋" w:hAnsi="仿宋" w:eastAsia="仿宋" w:cs="Times New Roman"/>
          <w:sz w:val="28"/>
          <w:szCs w:val="28"/>
        </w:rPr>
        <w:t>,且</w:t>
      </w:r>
      <w:r>
        <w:rPr>
          <w:rFonts w:hint="eastAsia" w:ascii="仿宋" w:hAnsi="仿宋" w:eastAsia="仿宋" w:cs="Times New Roman"/>
          <w:sz w:val="28"/>
          <w:szCs w:val="28"/>
          <w:lang w:val="zh-CN"/>
        </w:rPr>
        <w:t>3C证书上生产商和委托单位应为同一厂家。</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低压配电系统参数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857"/>
        <w:gridCol w:w="5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pPr>
              <w:spacing w:after="120" w:afterLines="0" w:line="560" w:lineRule="exact"/>
              <w:jc w:val="center"/>
              <w:rPr>
                <w:rFonts w:hint="eastAsia" w:ascii="仿宋" w:hAnsi="仿宋" w:eastAsia="仿宋" w:cs="仿宋"/>
                <w:bCs/>
                <w:kern w:val="2"/>
                <w:sz w:val="28"/>
                <w:szCs w:val="21"/>
                <w:lang w:val="en-US" w:eastAsia="zh-CN" w:bidi="ar-SA"/>
              </w:rPr>
            </w:pPr>
            <w:r>
              <w:rPr>
                <w:rFonts w:hint="eastAsia" w:ascii="仿宋" w:hAnsi="仿宋" w:eastAsia="仿宋" w:cs="仿宋"/>
                <w:kern w:val="2"/>
                <w:sz w:val="28"/>
                <w:szCs w:val="21"/>
                <w:lang w:val="en-US" w:eastAsia="zh-CN" w:bidi="ar-SA"/>
              </w:rPr>
              <w:t>序号</w:t>
            </w:r>
          </w:p>
        </w:tc>
        <w:tc>
          <w:tcPr>
            <w:tcW w:w="2857" w:type="dxa"/>
            <w:noWrap w:val="0"/>
            <w:vAlign w:val="center"/>
          </w:tcPr>
          <w:p>
            <w:pPr>
              <w:widowControl/>
              <w:spacing w:line="560" w:lineRule="exact"/>
              <w:jc w:val="center"/>
              <w:rPr>
                <w:rFonts w:hint="eastAsia" w:ascii="仿宋" w:hAnsi="仿宋" w:eastAsia="仿宋" w:cs="仿宋"/>
                <w:bCs/>
                <w:sz w:val="28"/>
                <w:szCs w:val="21"/>
              </w:rPr>
            </w:pPr>
            <w:r>
              <w:rPr>
                <w:rFonts w:hint="eastAsia" w:ascii="仿宋" w:hAnsi="仿宋" w:eastAsia="仿宋" w:cs="仿宋"/>
                <w:bCs/>
                <w:sz w:val="28"/>
                <w:szCs w:val="21"/>
              </w:rPr>
              <w:t>项  目</w:t>
            </w:r>
          </w:p>
        </w:tc>
        <w:tc>
          <w:tcPr>
            <w:tcW w:w="5206" w:type="dxa"/>
            <w:noWrap w:val="0"/>
            <w:vAlign w:val="center"/>
          </w:tcPr>
          <w:p>
            <w:pPr>
              <w:widowControl/>
              <w:spacing w:line="560" w:lineRule="exact"/>
              <w:jc w:val="center"/>
              <w:rPr>
                <w:rFonts w:hint="eastAsia" w:ascii="仿宋" w:hAnsi="仿宋" w:eastAsia="仿宋" w:cs="仿宋"/>
                <w:bCs/>
                <w:sz w:val="28"/>
                <w:szCs w:val="21"/>
              </w:rPr>
            </w:pPr>
            <w:r>
              <w:rPr>
                <w:rFonts w:hint="eastAsia" w:ascii="仿宋" w:hAnsi="仿宋" w:eastAsia="仿宋" w:cs="仿宋"/>
                <w:bCs/>
                <w:sz w:val="28"/>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pPr>
              <w:spacing w:after="120" w:afterLines="0" w:line="560" w:lineRule="exact"/>
              <w:jc w:val="center"/>
              <w:rPr>
                <w:rFonts w:hint="eastAsia" w:ascii="仿宋" w:hAnsi="仿宋" w:eastAsia="仿宋" w:cs="仿宋"/>
                <w:kern w:val="2"/>
                <w:sz w:val="28"/>
                <w:szCs w:val="21"/>
                <w:lang w:val="en-US" w:eastAsia="zh-CN" w:bidi="ar-SA"/>
              </w:rPr>
            </w:pPr>
            <w:r>
              <w:rPr>
                <w:rFonts w:hint="eastAsia" w:ascii="仿宋" w:hAnsi="仿宋" w:eastAsia="仿宋" w:cs="仿宋"/>
                <w:kern w:val="2"/>
                <w:sz w:val="28"/>
                <w:szCs w:val="21"/>
                <w:lang w:val="en-US" w:eastAsia="zh-CN" w:bidi="ar-SA"/>
              </w:rPr>
              <w:t>1</w:t>
            </w:r>
          </w:p>
        </w:tc>
        <w:tc>
          <w:tcPr>
            <w:tcW w:w="2857" w:type="dxa"/>
            <w:noWrap w:val="0"/>
            <w:vAlign w:val="center"/>
          </w:tcPr>
          <w:p>
            <w:pPr>
              <w:widowControl/>
              <w:spacing w:line="560" w:lineRule="exact"/>
              <w:jc w:val="center"/>
              <w:rPr>
                <w:rFonts w:hint="eastAsia" w:ascii="仿宋" w:hAnsi="仿宋" w:eastAsia="仿宋" w:cs="仿宋"/>
                <w:bCs/>
                <w:sz w:val="28"/>
                <w:szCs w:val="21"/>
              </w:rPr>
            </w:pPr>
            <w:r>
              <w:rPr>
                <w:rFonts w:hint="eastAsia" w:ascii="仿宋" w:hAnsi="仿宋" w:eastAsia="仿宋" w:cs="仿宋"/>
                <w:bCs/>
                <w:sz w:val="28"/>
                <w:szCs w:val="21"/>
              </w:rPr>
              <w:t>配电系统方式</w:t>
            </w:r>
          </w:p>
        </w:tc>
        <w:tc>
          <w:tcPr>
            <w:tcW w:w="5206" w:type="dxa"/>
            <w:noWrap w:val="0"/>
            <w:vAlign w:val="center"/>
          </w:tcPr>
          <w:p>
            <w:pPr>
              <w:widowControl/>
              <w:spacing w:line="560" w:lineRule="exact"/>
              <w:jc w:val="center"/>
              <w:rPr>
                <w:rFonts w:hint="eastAsia" w:ascii="仿宋" w:hAnsi="仿宋" w:eastAsia="仿宋" w:cs="仿宋"/>
                <w:bCs/>
                <w:sz w:val="28"/>
                <w:szCs w:val="21"/>
              </w:rPr>
            </w:pPr>
            <w:r>
              <w:rPr>
                <w:rFonts w:hint="eastAsia" w:ascii="仿宋" w:hAnsi="仿宋" w:eastAsia="仿宋" w:cs="仿宋"/>
                <w:bCs/>
                <w:sz w:val="28"/>
                <w:szCs w:val="21"/>
              </w:rPr>
              <w:t>TN－S母线（独立的N线和PE线）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pPr>
              <w:spacing w:after="120" w:afterLines="0" w:line="560" w:lineRule="exact"/>
              <w:jc w:val="center"/>
              <w:rPr>
                <w:rFonts w:hint="eastAsia" w:ascii="仿宋" w:hAnsi="仿宋" w:eastAsia="仿宋" w:cs="仿宋"/>
                <w:kern w:val="2"/>
                <w:sz w:val="28"/>
                <w:szCs w:val="21"/>
                <w:lang w:val="en-US" w:eastAsia="zh-CN" w:bidi="ar-SA"/>
              </w:rPr>
            </w:pPr>
            <w:r>
              <w:rPr>
                <w:rFonts w:hint="eastAsia" w:ascii="仿宋" w:hAnsi="仿宋" w:eastAsia="仿宋" w:cs="仿宋"/>
                <w:kern w:val="2"/>
                <w:sz w:val="28"/>
                <w:szCs w:val="21"/>
                <w:lang w:val="en-US" w:eastAsia="zh-CN" w:bidi="ar-SA"/>
              </w:rPr>
              <w:t>2</w:t>
            </w:r>
          </w:p>
        </w:tc>
        <w:tc>
          <w:tcPr>
            <w:tcW w:w="2857" w:type="dxa"/>
            <w:noWrap w:val="0"/>
            <w:vAlign w:val="center"/>
          </w:tcPr>
          <w:p>
            <w:pPr>
              <w:widowControl/>
              <w:spacing w:line="560" w:lineRule="exact"/>
              <w:jc w:val="center"/>
              <w:rPr>
                <w:rFonts w:hint="eastAsia" w:ascii="仿宋" w:hAnsi="仿宋" w:eastAsia="仿宋" w:cs="仿宋"/>
                <w:bCs/>
                <w:sz w:val="28"/>
                <w:szCs w:val="21"/>
              </w:rPr>
            </w:pPr>
            <w:r>
              <w:rPr>
                <w:rFonts w:hint="eastAsia" w:ascii="仿宋" w:hAnsi="仿宋" w:eastAsia="仿宋" w:cs="仿宋"/>
                <w:bCs/>
                <w:sz w:val="28"/>
                <w:szCs w:val="21"/>
              </w:rPr>
              <w:t>母线电压</w:t>
            </w:r>
          </w:p>
        </w:tc>
        <w:tc>
          <w:tcPr>
            <w:tcW w:w="5206" w:type="dxa"/>
            <w:noWrap w:val="0"/>
            <w:vAlign w:val="center"/>
          </w:tcPr>
          <w:p>
            <w:pPr>
              <w:widowControl/>
              <w:spacing w:line="560" w:lineRule="exact"/>
              <w:jc w:val="center"/>
              <w:rPr>
                <w:rFonts w:hint="eastAsia" w:ascii="仿宋" w:hAnsi="仿宋" w:eastAsia="仿宋" w:cs="仿宋"/>
                <w:bCs/>
                <w:sz w:val="28"/>
                <w:szCs w:val="21"/>
              </w:rPr>
            </w:pPr>
            <w:r>
              <w:rPr>
                <w:rFonts w:hint="eastAsia" w:ascii="仿宋" w:hAnsi="仿宋" w:eastAsia="仿宋" w:cs="仿宋"/>
                <w:bCs/>
                <w:sz w:val="28"/>
                <w:szCs w:val="21"/>
              </w:rPr>
              <w:t>AC  0.4kV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pPr>
              <w:spacing w:after="120" w:afterLines="0" w:line="560" w:lineRule="exact"/>
              <w:jc w:val="center"/>
              <w:rPr>
                <w:rFonts w:hint="eastAsia" w:ascii="仿宋" w:hAnsi="仿宋" w:eastAsia="仿宋" w:cs="仿宋"/>
                <w:kern w:val="2"/>
                <w:sz w:val="28"/>
                <w:szCs w:val="21"/>
                <w:lang w:val="en-US" w:eastAsia="zh-CN" w:bidi="ar-SA"/>
              </w:rPr>
            </w:pPr>
            <w:r>
              <w:rPr>
                <w:rFonts w:hint="eastAsia" w:ascii="仿宋" w:hAnsi="仿宋" w:eastAsia="仿宋" w:cs="仿宋"/>
                <w:kern w:val="2"/>
                <w:sz w:val="28"/>
                <w:szCs w:val="21"/>
                <w:lang w:val="en-US" w:eastAsia="zh-CN" w:bidi="ar-SA"/>
              </w:rPr>
              <w:t>3</w:t>
            </w:r>
          </w:p>
        </w:tc>
        <w:tc>
          <w:tcPr>
            <w:tcW w:w="2857" w:type="dxa"/>
            <w:noWrap w:val="0"/>
            <w:vAlign w:val="center"/>
          </w:tcPr>
          <w:p>
            <w:pPr>
              <w:widowControl/>
              <w:spacing w:line="560" w:lineRule="exact"/>
              <w:jc w:val="center"/>
              <w:rPr>
                <w:rFonts w:hint="eastAsia" w:ascii="仿宋" w:hAnsi="仿宋" w:eastAsia="仿宋" w:cs="仿宋"/>
                <w:bCs/>
                <w:sz w:val="28"/>
                <w:szCs w:val="21"/>
              </w:rPr>
            </w:pPr>
            <w:r>
              <w:rPr>
                <w:rFonts w:hint="eastAsia" w:ascii="仿宋" w:hAnsi="仿宋" w:eastAsia="仿宋" w:cs="仿宋"/>
                <w:bCs/>
                <w:sz w:val="28"/>
                <w:szCs w:val="21"/>
              </w:rPr>
              <w:t>系统电压</w:t>
            </w:r>
          </w:p>
        </w:tc>
        <w:tc>
          <w:tcPr>
            <w:tcW w:w="5206" w:type="dxa"/>
            <w:noWrap w:val="0"/>
            <w:vAlign w:val="center"/>
          </w:tcPr>
          <w:p>
            <w:pPr>
              <w:widowControl/>
              <w:spacing w:line="560" w:lineRule="exact"/>
              <w:jc w:val="center"/>
              <w:rPr>
                <w:rFonts w:hint="eastAsia" w:ascii="仿宋" w:hAnsi="仿宋" w:eastAsia="仿宋" w:cs="仿宋"/>
                <w:bCs/>
                <w:sz w:val="28"/>
                <w:szCs w:val="21"/>
              </w:rPr>
            </w:pPr>
            <w:r>
              <w:rPr>
                <w:rFonts w:hint="eastAsia" w:ascii="仿宋" w:hAnsi="仿宋" w:eastAsia="仿宋" w:cs="仿宋"/>
                <w:bCs/>
                <w:sz w:val="28"/>
                <w:szCs w:val="21"/>
              </w:rPr>
              <w:t>AC  0.38/0.22kV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pPr>
              <w:spacing w:after="120" w:afterLines="0" w:line="560" w:lineRule="exact"/>
              <w:jc w:val="center"/>
              <w:rPr>
                <w:rFonts w:hint="eastAsia" w:ascii="仿宋" w:hAnsi="仿宋" w:eastAsia="仿宋" w:cs="仿宋"/>
                <w:kern w:val="2"/>
                <w:sz w:val="28"/>
                <w:szCs w:val="21"/>
                <w:lang w:val="en-US" w:eastAsia="zh-CN" w:bidi="ar-SA"/>
              </w:rPr>
            </w:pPr>
            <w:r>
              <w:rPr>
                <w:rFonts w:hint="eastAsia" w:ascii="仿宋" w:hAnsi="仿宋" w:eastAsia="仿宋" w:cs="仿宋"/>
                <w:kern w:val="2"/>
                <w:sz w:val="28"/>
                <w:szCs w:val="21"/>
                <w:lang w:val="en-US" w:eastAsia="zh-CN" w:bidi="ar-SA"/>
              </w:rPr>
              <w:t>4</w:t>
            </w:r>
          </w:p>
        </w:tc>
        <w:tc>
          <w:tcPr>
            <w:tcW w:w="2857" w:type="dxa"/>
            <w:noWrap w:val="0"/>
            <w:vAlign w:val="center"/>
          </w:tcPr>
          <w:p>
            <w:pPr>
              <w:widowControl/>
              <w:spacing w:line="560" w:lineRule="exact"/>
              <w:jc w:val="center"/>
              <w:rPr>
                <w:rFonts w:hint="eastAsia" w:ascii="仿宋" w:hAnsi="仿宋" w:eastAsia="仿宋" w:cs="仿宋"/>
                <w:bCs/>
                <w:sz w:val="28"/>
                <w:szCs w:val="21"/>
              </w:rPr>
            </w:pPr>
            <w:r>
              <w:rPr>
                <w:rFonts w:hint="eastAsia" w:ascii="仿宋" w:hAnsi="仿宋" w:eastAsia="仿宋" w:cs="仿宋"/>
                <w:bCs/>
                <w:sz w:val="28"/>
                <w:szCs w:val="21"/>
              </w:rPr>
              <w:t>额定频率</w:t>
            </w:r>
          </w:p>
        </w:tc>
        <w:tc>
          <w:tcPr>
            <w:tcW w:w="5206" w:type="dxa"/>
            <w:noWrap w:val="0"/>
            <w:vAlign w:val="center"/>
          </w:tcPr>
          <w:p>
            <w:pPr>
              <w:widowControl/>
              <w:spacing w:line="560" w:lineRule="exact"/>
              <w:jc w:val="center"/>
              <w:rPr>
                <w:rFonts w:hint="eastAsia" w:ascii="仿宋" w:hAnsi="仿宋" w:eastAsia="仿宋" w:cs="仿宋"/>
                <w:bCs/>
                <w:sz w:val="28"/>
                <w:szCs w:val="21"/>
              </w:rPr>
            </w:pPr>
            <w:r>
              <w:rPr>
                <w:rFonts w:hint="eastAsia" w:ascii="仿宋" w:hAnsi="仿宋" w:eastAsia="仿宋" w:cs="仿宋"/>
                <w:bCs/>
                <w:sz w:val="28"/>
                <w:szCs w:val="21"/>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pPr>
              <w:spacing w:after="120" w:afterLines="0" w:line="560" w:lineRule="exact"/>
              <w:jc w:val="center"/>
              <w:rPr>
                <w:rFonts w:hint="eastAsia" w:ascii="仿宋" w:hAnsi="仿宋" w:eastAsia="仿宋" w:cs="仿宋"/>
                <w:kern w:val="2"/>
                <w:sz w:val="28"/>
                <w:szCs w:val="21"/>
                <w:lang w:val="en-US" w:eastAsia="zh-CN" w:bidi="ar-SA"/>
              </w:rPr>
            </w:pPr>
            <w:r>
              <w:rPr>
                <w:rFonts w:hint="eastAsia" w:ascii="仿宋" w:hAnsi="仿宋" w:eastAsia="仿宋" w:cs="仿宋"/>
                <w:kern w:val="2"/>
                <w:sz w:val="28"/>
                <w:szCs w:val="21"/>
                <w:lang w:val="en-US" w:eastAsia="zh-CN" w:bidi="ar-SA"/>
              </w:rPr>
              <w:t>5</w:t>
            </w:r>
          </w:p>
        </w:tc>
        <w:tc>
          <w:tcPr>
            <w:tcW w:w="2857" w:type="dxa"/>
            <w:noWrap w:val="0"/>
            <w:vAlign w:val="center"/>
          </w:tcPr>
          <w:p>
            <w:pPr>
              <w:widowControl/>
              <w:spacing w:line="560" w:lineRule="exact"/>
              <w:jc w:val="center"/>
              <w:rPr>
                <w:rFonts w:hint="eastAsia" w:ascii="仿宋" w:hAnsi="仿宋" w:eastAsia="仿宋" w:cs="仿宋"/>
                <w:bCs/>
                <w:sz w:val="28"/>
                <w:szCs w:val="21"/>
              </w:rPr>
            </w:pPr>
            <w:r>
              <w:rPr>
                <w:rFonts w:hint="eastAsia" w:ascii="仿宋" w:hAnsi="仿宋" w:eastAsia="仿宋" w:cs="仿宋"/>
                <w:bCs/>
                <w:sz w:val="28"/>
                <w:szCs w:val="21"/>
              </w:rPr>
              <w:t>系统接地方式</w:t>
            </w:r>
          </w:p>
        </w:tc>
        <w:tc>
          <w:tcPr>
            <w:tcW w:w="5206" w:type="dxa"/>
            <w:noWrap w:val="0"/>
            <w:vAlign w:val="center"/>
          </w:tcPr>
          <w:p>
            <w:pPr>
              <w:widowControl/>
              <w:spacing w:line="560" w:lineRule="exact"/>
              <w:jc w:val="center"/>
              <w:rPr>
                <w:rFonts w:hint="eastAsia" w:ascii="仿宋" w:hAnsi="仿宋" w:eastAsia="仿宋" w:cs="仿宋"/>
                <w:bCs/>
                <w:sz w:val="28"/>
                <w:szCs w:val="21"/>
              </w:rPr>
            </w:pPr>
            <w:r>
              <w:rPr>
                <w:rFonts w:hint="eastAsia" w:ascii="仿宋" w:hAnsi="仿宋" w:eastAsia="仿宋" w:cs="仿宋"/>
                <w:bCs/>
                <w:sz w:val="28"/>
                <w:szCs w:val="21"/>
              </w:rPr>
              <w:t>中性点直接接地</w:t>
            </w:r>
          </w:p>
        </w:tc>
      </w:tr>
    </w:tbl>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开关柜基本技术参数</w:t>
      </w:r>
    </w:p>
    <w:tbl>
      <w:tblPr>
        <w:tblStyle w:val="24"/>
        <w:tblW w:w="0" w:type="auto"/>
        <w:jc w:val="center"/>
        <w:tblLayout w:type="fixed"/>
        <w:tblCellMar>
          <w:top w:w="0" w:type="dxa"/>
          <w:left w:w="108" w:type="dxa"/>
          <w:bottom w:w="0" w:type="dxa"/>
          <w:right w:w="108" w:type="dxa"/>
        </w:tblCellMar>
      </w:tblPr>
      <w:tblGrid>
        <w:gridCol w:w="1415"/>
        <w:gridCol w:w="2712"/>
        <w:gridCol w:w="4943"/>
      </w:tblGrid>
      <w:tr>
        <w:tblPrEx>
          <w:tblCellMar>
            <w:top w:w="0" w:type="dxa"/>
            <w:left w:w="108" w:type="dxa"/>
            <w:bottom w:w="0" w:type="dxa"/>
            <w:right w:w="108" w:type="dxa"/>
          </w:tblCellMar>
        </w:tblPrEx>
        <w:trPr>
          <w:cantSplit/>
          <w:trHeight w:val="400"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项 目</w:t>
            </w:r>
          </w:p>
        </w:tc>
        <w:tc>
          <w:tcPr>
            <w:tcW w:w="494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200"/>
              <w:jc w:val="center"/>
              <w:rPr>
                <w:rFonts w:hint="eastAsia" w:ascii="仿宋" w:hAnsi="仿宋" w:eastAsia="仿宋" w:cs="仿宋"/>
                <w:sz w:val="28"/>
                <w:szCs w:val="21"/>
              </w:rPr>
            </w:pPr>
            <w:r>
              <w:rPr>
                <w:rFonts w:hint="eastAsia" w:ascii="仿宋" w:hAnsi="仿宋" w:eastAsia="仿宋" w:cs="仿宋"/>
                <w:sz w:val="28"/>
                <w:szCs w:val="21"/>
              </w:rPr>
              <w:t>内      容</w:t>
            </w:r>
          </w:p>
        </w:tc>
      </w:tr>
      <w:tr>
        <w:tblPrEx>
          <w:tblCellMar>
            <w:top w:w="0" w:type="dxa"/>
            <w:left w:w="108" w:type="dxa"/>
            <w:bottom w:w="0" w:type="dxa"/>
            <w:right w:w="108" w:type="dxa"/>
          </w:tblCellMar>
        </w:tblPrEx>
        <w:trPr>
          <w:trHeight w:val="400"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污染等级</w:t>
            </w:r>
          </w:p>
        </w:tc>
        <w:tc>
          <w:tcPr>
            <w:tcW w:w="494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3</w:t>
            </w:r>
          </w:p>
        </w:tc>
      </w:tr>
      <w:tr>
        <w:tblPrEx>
          <w:tblCellMar>
            <w:top w:w="0" w:type="dxa"/>
            <w:left w:w="108" w:type="dxa"/>
            <w:bottom w:w="0" w:type="dxa"/>
            <w:right w:w="108" w:type="dxa"/>
          </w:tblCellMar>
        </w:tblPrEx>
        <w:trPr>
          <w:trHeight w:val="400"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额定冲击耐受电压</w:t>
            </w:r>
          </w:p>
        </w:tc>
        <w:tc>
          <w:tcPr>
            <w:tcW w:w="494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8KV</w:t>
            </w:r>
          </w:p>
        </w:tc>
      </w:tr>
      <w:tr>
        <w:tblPrEx>
          <w:tblCellMar>
            <w:top w:w="0" w:type="dxa"/>
            <w:left w:w="108" w:type="dxa"/>
            <w:bottom w:w="0" w:type="dxa"/>
            <w:right w:w="108" w:type="dxa"/>
          </w:tblCellMar>
        </w:tblPrEx>
        <w:trPr>
          <w:trHeight w:val="400"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过电压等级</w:t>
            </w:r>
          </w:p>
        </w:tc>
        <w:tc>
          <w:tcPr>
            <w:tcW w:w="494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III</w:t>
            </w:r>
          </w:p>
        </w:tc>
      </w:tr>
      <w:tr>
        <w:tblPrEx>
          <w:tblCellMar>
            <w:top w:w="0" w:type="dxa"/>
            <w:left w:w="108" w:type="dxa"/>
            <w:bottom w:w="0" w:type="dxa"/>
            <w:right w:w="108" w:type="dxa"/>
          </w:tblCellMar>
        </w:tblPrEx>
        <w:trPr>
          <w:trHeight w:val="400"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电气间隙</w:t>
            </w:r>
          </w:p>
        </w:tc>
        <w:tc>
          <w:tcPr>
            <w:tcW w:w="494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10 mm</w:t>
            </w:r>
          </w:p>
        </w:tc>
      </w:tr>
      <w:tr>
        <w:tblPrEx>
          <w:tblCellMar>
            <w:top w:w="0" w:type="dxa"/>
            <w:left w:w="108" w:type="dxa"/>
            <w:bottom w:w="0" w:type="dxa"/>
            <w:right w:w="108" w:type="dxa"/>
          </w:tblCellMar>
        </w:tblPrEx>
        <w:trPr>
          <w:cantSplit/>
          <w:trHeight w:val="1000"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爬电距离</w:t>
            </w:r>
          </w:p>
        </w:tc>
        <w:tc>
          <w:tcPr>
            <w:tcW w:w="494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12 mm</w:t>
            </w:r>
          </w:p>
        </w:tc>
      </w:tr>
      <w:tr>
        <w:tblPrEx>
          <w:tblCellMar>
            <w:top w:w="0" w:type="dxa"/>
            <w:left w:w="108" w:type="dxa"/>
            <w:bottom w:w="0" w:type="dxa"/>
            <w:right w:w="108" w:type="dxa"/>
          </w:tblCellMar>
        </w:tblPrEx>
        <w:trPr>
          <w:trHeight w:val="400"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隔离距离</w:t>
            </w:r>
          </w:p>
        </w:tc>
        <w:tc>
          <w:tcPr>
            <w:tcW w:w="494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200"/>
              <w:rPr>
                <w:rFonts w:hint="eastAsia" w:ascii="仿宋" w:hAnsi="仿宋" w:eastAsia="仿宋" w:cs="仿宋"/>
                <w:sz w:val="28"/>
                <w:szCs w:val="21"/>
              </w:rPr>
            </w:pPr>
            <w:r>
              <w:rPr>
                <w:rFonts w:hint="eastAsia" w:ascii="仿宋" w:hAnsi="仿宋" w:eastAsia="仿宋" w:cs="仿宋"/>
                <w:sz w:val="28"/>
                <w:szCs w:val="21"/>
              </w:rPr>
              <w:t>应符合JB4012-85《低压空气式隔离器开关、隔离开关及熔断器组合电源》的有关要求，同时考虑到制造公差和由于磨损而造成的尺寸变化。</w:t>
            </w:r>
          </w:p>
        </w:tc>
      </w:tr>
      <w:tr>
        <w:tblPrEx>
          <w:tblCellMar>
            <w:top w:w="0" w:type="dxa"/>
            <w:left w:w="108" w:type="dxa"/>
            <w:bottom w:w="0" w:type="dxa"/>
            <w:right w:w="108" w:type="dxa"/>
          </w:tblCellMar>
        </w:tblPrEx>
        <w:trPr>
          <w:trHeight w:val="400"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温升</w:t>
            </w:r>
          </w:p>
        </w:tc>
        <w:tc>
          <w:tcPr>
            <w:tcW w:w="494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符合GB 7251.1-1997中7.3的规定</w:t>
            </w:r>
          </w:p>
        </w:tc>
      </w:tr>
      <w:tr>
        <w:tblPrEx>
          <w:tblCellMar>
            <w:top w:w="0" w:type="dxa"/>
            <w:left w:w="108" w:type="dxa"/>
            <w:bottom w:w="0" w:type="dxa"/>
            <w:right w:w="108" w:type="dxa"/>
          </w:tblCellMar>
        </w:tblPrEx>
        <w:trPr>
          <w:trHeight w:val="400"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8</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外壳防护等级</w:t>
            </w:r>
          </w:p>
        </w:tc>
        <w:tc>
          <w:tcPr>
            <w:tcW w:w="494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IP40</w:t>
            </w:r>
          </w:p>
        </w:tc>
      </w:tr>
      <w:tr>
        <w:tblPrEx>
          <w:tblCellMar>
            <w:top w:w="0" w:type="dxa"/>
            <w:left w:w="108" w:type="dxa"/>
            <w:bottom w:w="0" w:type="dxa"/>
            <w:right w:w="108" w:type="dxa"/>
          </w:tblCellMar>
        </w:tblPrEx>
        <w:trPr>
          <w:trHeight w:val="400"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9</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抗震试验要求</w:t>
            </w:r>
          </w:p>
        </w:tc>
        <w:tc>
          <w:tcPr>
            <w:tcW w:w="494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200"/>
              <w:rPr>
                <w:rFonts w:hint="eastAsia" w:ascii="仿宋" w:hAnsi="仿宋" w:eastAsia="仿宋" w:cs="仿宋"/>
                <w:sz w:val="28"/>
                <w:szCs w:val="21"/>
              </w:rPr>
            </w:pPr>
            <w:r>
              <w:rPr>
                <w:rFonts w:hint="eastAsia" w:ascii="仿宋" w:hAnsi="仿宋" w:eastAsia="仿宋" w:cs="仿宋"/>
                <w:sz w:val="28"/>
                <w:szCs w:val="21"/>
              </w:rPr>
              <w:t>应符合IEC68-3-3, IEC721-2-6,IBC2000，可以抗烈度9度、里氏8级以上的地震，并提供页码完整的由相关国家权威部门出具的《检测报告》。</w:t>
            </w:r>
          </w:p>
        </w:tc>
      </w:tr>
    </w:tbl>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主要电气参数</w:t>
      </w:r>
    </w:p>
    <w:p>
      <w:pPr>
        <w:widowControl/>
        <w:spacing w:line="560" w:lineRule="exact"/>
        <w:ind w:firstLine="200"/>
        <w:jc w:val="center"/>
        <w:rPr>
          <w:rFonts w:hint="eastAsia" w:ascii="仿宋" w:hAnsi="仿宋" w:eastAsia="仿宋" w:cs="仿宋"/>
          <w:sz w:val="28"/>
          <w:szCs w:val="28"/>
        </w:rPr>
      </w:pPr>
      <w:r>
        <w:rPr>
          <w:rFonts w:hint="eastAsia" w:ascii="仿宋" w:hAnsi="仿宋" w:eastAsia="仿宋" w:cs="仿宋"/>
          <w:sz w:val="28"/>
          <w:szCs w:val="28"/>
        </w:rPr>
        <w:t>低压开关柜主要电气参数表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766"/>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486" w:type="dxa"/>
            <w:noWrap w:val="0"/>
            <w:vAlign w:val="center"/>
          </w:tcPr>
          <w:p>
            <w:pPr>
              <w:widowControl/>
              <w:spacing w:line="560" w:lineRule="exact"/>
              <w:jc w:val="center"/>
              <w:rPr>
                <w:rFonts w:hint="eastAsia" w:ascii="仿宋" w:hAnsi="仿宋" w:eastAsia="仿宋" w:cs="仿宋_GB2312"/>
                <w:sz w:val="28"/>
                <w:szCs w:val="21"/>
              </w:rPr>
            </w:pPr>
            <w:r>
              <w:rPr>
                <w:rFonts w:hint="eastAsia" w:ascii="仿宋" w:hAnsi="仿宋" w:eastAsia="仿宋" w:cs="仿宋_GB2312"/>
                <w:sz w:val="28"/>
                <w:szCs w:val="21"/>
              </w:rPr>
              <w:t>序号</w:t>
            </w:r>
          </w:p>
        </w:tc>
        <w:tc>
          <w:tcPr>
            <w:tcW w:w="3766" w:type="dxa"/>
            <w:noWrap w:val="0"/>
            <w:vAlign w:val="center"/>
          </w:tcPr>
          <w:p>
            <w:pPr>
              <w:widowControl/>
              <w:spacing w:line="560" w:lineRule="exact"/>
              <w:ind w:firstLine="200"/>
              <w:jc w:val="center"/>
              <w:rPr>
                <w:rFonts w:hint="eastAsia" w:ascii="仿宋" w:hAnsi="仿宋" w:eastAsia="仿宋" w:cs="仿宋_GB2312"/>
                <w:sz w:val="28"/>
                <w:szCs w:val="21"/>
              </w:rPr>
            </w:pPr>
            <w:r>
              <w:rPr>
                <w:rFonts w:hint="eastAsia" w:ascii="仿宋" w:hAnsi="仿宋" w:eastAsia="仿宋" w:cs="仿宋_GB2312"/>
                <w:sz w:val="28"/>
                <w:szCs w:val="21"/>
              </w:rPr>
              <w:t>项        目</w:t>
            </w:r>
          </w:p>
        </w:tc>
        <w:tc>
          <w:tcPr>
            <w:tcW w:w="3818" w:type="dxa"/>
            <w:noWrap w:val="0"/>
            <w:vAlign w:val="center"/>
          </w:tcPr>
          <w:p>
            <w:pPr>
              <w:widowControl/>
              <w:spacing w:line="560" w:lineRule="exact"/>
              <w:ind w:firstLine="200"/>
              <w:jc w:val="center"/>
              <w:rPr>
                <w:rFonts w:hint="eastAsia" w:ascii="仿宋" w:hAnsi="仿宋" w:eastAsia="仿宋" w:cs="仿宋_GB2312"/>
                <w:sz w:val="28"/>
                <w:szCs w:val="21"/>
              </w:rPr>
            </w:pPr>
            <w:r>
              <w:rPr>
                <w:rFonts w:hint="eastAsia" w:ascii="仿宋" w:hAnsi="仿宋" w:eastAsia="仿宋" w:cs="仿宋_GB2312"/>
                <w:sz w:val="28"/>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486" w:type="dxa"/>
            <w:noWrap w:val="0"/>
            <w:vAlign w:val="center"/>
          </w:tcPr>
          <w:p>
            <w:pPr>
              <w:widowControl/>
              <w:spacing w:line="560" w:lineRule="exact"/>
              <w:jc w:val="center"/>
              <w:rPr>
                <w:rFonts w:hint="eastAsia" w:ascii="仿宋" w:hAnsi="仿宋" w:eastAsia="仿宋" w:cs="仿宋_GB2312"/>
                <w:sz w:val="28"/>
                <w:szCs w:val="21"/>
              </w:rPr>
            </w:pPr>
            <w:r>
              <w:rPr>
                <w:rFonts w:hint="eastAsia" w:ascii="仿宋" w:hAnsi="仿宋" w:eastAsia="仿宋" w:cs="仿宋_GB2312"/>
                <w:sz w:val="28"/>
                <w:szCs w:val="21"/>
              </w:rPr>
              <w:t>1</w:t>
            </w:r>
          </w:p>
        </w:tc>
        <w:tc>
          <w:tcPr>
            <w:tcW w:w="3766" w:type="dxa"/>
            <w:noWrap w:val="0"/>
            <w:vAlign w:val="center"/>
          </w:tcPr>
          <w:p>
            <w:pPr>
              <w:widowControl/>
              <w:spacing w:line="560" w:lineRule="exact"/>
              <w:jc w:val="center"/>
              <w:rPr>
                <w:rFonts w:hint="eastAsia" w:ascii="仿宋" w:hAnsi="仿宋" w:eastAsia="仿宋" w:cs="仿宋_GB2312"/>
                <w:sz w:val="28"/>
                <w:szCs w:val="21"/>
              </w:rPr>
            </w:pPr>
            <w:r>
              <w:rPr>
                <w:rFonts w:hint="eastAsia" w:ascii="仿宋" w:hAnsi="仿宋" w:eastAsia="仿宋" w:cs="仿宋_GB2312"/>
                <w:sz w:val="28"/>
                <w:szCs w:val="21"/>
              </w:rPr>
              <w:t>额定电压</w:t>
            </w:r>
          </w:p>
        </w:tc>
        <w:tc>
          <w:tcPr>
            <w:tcW w:w="3818" w:type="dxa"/>
            <w:noWrap w:val="0"/>
            <w:vAlign w:val="center"/>
          </w:tcPr>
          <w:p>
            <w:pPr>
              <w:widowControl/>
              <w:spacing w:line="560" w:lineRule="exact"/>
              <w:jc w:val="center"/>
              <w:rPr>
                <w:rFonts w:hint="eastAsia" w:ascii="仿宋" w:hAnsi="仿宋" w:eastAsia="仿宋" w:cs="仿宋_GB2312"/>
                <w:sz w:val="28"/>
                <w:szCs w:val="21"/>
              </w:rPr>
            </w:pPr>
            <w:r>
              <w:rPr>
                <w:rFonts w:hint="eastAsia" w:ascii="仿宋" w:hAnsi="仿宋" w:eastAsia="仿宋" w:cs="仿宋_GB2312"/>
                <w:sz w:val="28"/>
                <w:szCs w:val="21"/>
              </w:rPr>
              <w:t>690V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6" w:type="dxa"/>
            <w:noWrap w:val="0"/>
            <w:vAlign w:val="center"/>
          </w:tcPr>
          <w:p>
            <w:pPr>
              <w:widowControl/>
              <w:spacing w:line="560" w:lineRule="exact"/>
              <w:jc w:val="center"/>
              <w:rPr>
                <w:rFonts w:hint="eastAsia" w:ascii="仿宋" w:hAnsi="仿宋" w:eastAsia="仿宋" w:cs="仿宋_GB2312"/>
                <w:sz w:val="28"/>
                <w:szCs w:val="21"/>
              </w:rPr>
            </w:pPr>
            <w:r>
              <w:rPr>
                <w:rFonts w:hint="eastAsia" w:ascii="仿宋" w:hAnsi="仿宋" w:eastAsia="仿宋" w:cs="仿宋_GB2312"/>
                <w:sz w:val="28"/>
                <w:szCs w:val="21"/>
              </w:rPr>
              <w:t>2</w:t>
            </w:r>
          </w:p>
        </w:tc>
        <w:tc>
          <w:tcPr>
            <w:tcW w:w="3766" w:type="dxa"/>
            <w:noWrap w:val="0"/>
            <w:vAlign w:val="center"/>
          </w:tcPr>
          <w:p>
            <w:pPr>
              <w:widowControl/>
              <w:spacing w:line="560" w:lineRule="exact"/>
              <w:jc w:val="center"/>
              <w:rPr>
                <w:rFonts w:hint="eastAsia" w:ascii="仿宋" w:hAnsi="仿宋" w:eastAsia="仿宋" w:cs="仿宋_GB2312"/>
                <w:sz w:val="28"/>
                <w:szCs w:val="21"/>
              </w:rPr>
            </w:pPr>
            <w:r>
              <w:rPr>
                <w:rFonts w:hint="eastAsia" w:ascii="仿宋" w:hAnsi="仿宋" w:eastAsia="仿宋" w:cs="仿宋_GB2312"/>
                <w:sz w:val="28"/>
                <w:szCs w:val="21"/>
              </w:rPr>
              <w:t>额定绝缘电压</w:t>
            </w:r>
          </w:p>
        </w:tc>
        <w:tc>
          <w:tcPr>
            <w:tcW w:w="3818" w:type="dxa"/>
            <w:noWrap w:val="0"/>
            <w:vAlign w:val="center"/>
          </w:tcPr>
          <w:p>
            <w:pPr>
              <w:widowControl/>
              <w:spacing w:line="560" w:lineRule="exact"/>
              <w:jc w:val="center"/>
              <w:rPr>
                <w:rFonts w:hint="eastAsia" w:ascii="仿宋" w:hAnsi="仿宋" w:eastAsia="仿宋" w:cs="仿宋_GB2312"/>
                <w:sz w:val="28"/>
                <w:szCs w:val="21"/>
              </w:rPr>
            </w:pPr>
            <w:r>
              <w:rPr>
                <w:rFonts w:hint="eastAsia" w:ascii="仿宋" w:hAnsi="仿宋" w:eastAsia="仿宋" w:cs="仿宋_GB2312"/>
                <w:sz w:val="28"/>
                <w:szCs w:val="21"/>
              </w:rPr>
              <w:t>1000V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6" w:type="dxa"/>
            <w:noWrap w:val="0"/>
            <w:vAlign w:val="center"/>
          </w:tcPr>
          <w:p>
            <w:pPr>
              <w:widowControl/>
              <w:spacing w:line="560" w:lineRule="exact"/>
              <w:jc w:val="center"/>
              <w:rPr>
                <w:rFonts w:hint="eastAsia" w:ascii="仿宋" w:hAnsi="仿宋" w:eastAsia="仿宋" w:cs="仿宋_GB2312"/>
                <w:sz w:val="28"/>
                <w:szCs w:val="21"/>
              </w:rPr>
            </w:pPr>
            <w:r>
              <w:rPr>
                <w:rFonts w:hint="eastAsia" w:ascii="仿宋" w:hAnsi="仿宋" w:eastAsia="仿宋" w:cs="仿宋_GB2312"/>
                <w:sz w:val="28"/>
                <w:szCs w:val="21"/>
              </w:rPr>
              <w:t>3</w:t>
            </w:r>
          </w:p>
        </w:tc>
        <w:tc>
          <w:tcPr>
            <w:tcW w:w="3766" w:type="dxa"/>
            <w:noWrap w:val="0"/>
            <w:vAlign w:val="center"/>
          </w:tcPr>
          <w:p>
            <w:pPr>
              <w:widowControl/>
              <w:spacing w:line="560" w:lineRule="exact"/>
              <w:jc w:val="center"/>
              <w:rPr>
                <w:rFonts w:hint="eastAsia" w:ascii="仿宋" w:hAnsi="仿宋" w:eastAsia="仿宋" w:cs="仿宋_GB2312"/>
                <w:sz w:val="28"/>
                <w:szCs w:val="21"/>
              </w:rPr>
            </w:pPr>
            <w:r>
              <w:rPr>
                <w:rFonts w:hint="eastAsia" w:ascii="仿宋" w:hAnsi="仿宋" w:eastAsia="仿宋" w:cs="仿宋_GB2312"/>
                <w:sz w:val="28"/>
                <w:szCs w:val="21"/>
              </w:rPr>
              <w:t>额定短时耐受电流（1s ）</w:t>
            </w:r>
          </w:p>
        </w:tc>
        <w:tc>
          <w:tcPr>
            <w:tcW w:w="3818" w:type="dxa"/>
            <w:noWrap w:val="0"/>
            <w:vAlign w:val="center"/>
          </w:tcPr>
          <w:p>
            <w:pPr>
              <w:widowControl/>
              <w:spacing w:line="560" w:lineRule="exact"/>
              <w:jc w:val="center"/>
              <w:rPr>
                <w:rFonts w:hint="eastAsia" w:ascii="仿宋" w:hAnsi="仿宋" w:eastAsia="仿宋" w:cs="仿宋_GB2312"/>
                <w:sz w:val="28"/>
                <w:szCs w:val="21"/>
              </w:rPr>
            </w:pPr>
            <w:r>
              <w:rPr>
                <w:rFonts w:hint="eastAsia" w:ascii="仿宋" w:hAnsi="仿宋" w:eastAsia="仿宋" w:cs="仿宋_GB2312"/>
                <w:sz w:val="28"/>
                <w:szCs w:val="21"/>
              </w:rPr>
              <w:t>80KA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6" w:type="dxa"/>
            <w:noWrap w:val="0"/>
            <w:vAlign w:val="center"/>
          </w:tcPr>
          <w:p>
            <w:pPr>
              <w:widowControl/>
              <w:spacing w:line="560" w:lineRule="exact"/>
              <w:jc w:val="center"/>
              <w:rPr>
                <w:rFonts w:hint="eastAsia" w:ascii="仿宋" w:hAnsi="仿宋" w:eastAsia="仿宋" w:cs="仿宋_GB2312"/>
                <w:sz w:val="28"/>
                <w:szCs w:val="21"/>
              </w:rPr>
            </w:pPr>
            <w:r>
              <w:rPr>
                <w:rFonts w:hint="eastAsia" w:ascii="仿宋" w:hAnsi="仿宋" w:eastAsia="仿宋" w:cs="仿宋_GB2312"/>
                <w:sz w:val="28"/>
                <w:szCs w:val="21"/>
              </w:rPr>
              <w:t>4</w:t>
            </w:r>
          </w:p>
        </w:tc>
        <w:tc>
          <w:tcPr>
            <w:tcW w:w="3766" w:type="dxa"/>
            <w:noWrap w:val="0"/>
            <w:vAlign w:val="center"/>
          </w:tcPr>
          <w:p>
            <w:pPr>
              <w:widowControl/>
              <w:spacing w:line="560" w:lineRule="exact"/>
              <w:jc w:val="center"/>
              <w:rPr>
                <w:rFonts w:hint="eastAsia" w:ascii="仿宋" w:hAnsi="仿宋" w:eastAsia="仿宋" w:cs="仿宋_GB2312"/>
                <w:sz w:val="28"/>
                <w:szCs w:val="21"/>
              </w:rPr>
            </w:pPr>
            <w:r>
              <w:rPr>
                <w:rFonts w:hint="eastAsia" w:ascii="仿宋" w:hAnsi="仿宋" w:eastAsia="仿宋" w:cs="仿宋_GB2312"/>
                <w:sz w:val="28"/>
                <w:szCs w:val="21"/>
              </w:rPr>
              <w:t>额定峰值耐受电流</w:t>
            </w:r>
          </w:p>
        </w:tc>
        <w:tc>
          <w:tcPr>
            <w:tcW w:w="3818" w:type="dxa"/>
            <w:noWrap w:val="0"/>
            <w:vAlign w:val="center"/>
          </w:tcPr>
          <w:p>
            <w:pPr>
              <w:widowControl/>
              <w:spacing w:line="560" w:lineRule="exact"/>
              <w:jc w:val="center"/>
              <w:rPr>
                <w:rFonts w:hint="eastAsia" w:ascii="仿宋" w:hAnsi="仿宋" w:eastAsia="仿宋" w:cs="仿宋_GB2312"/>
                <w:sz w:val="28"/>
                <w:szCs w:val="21"/>
              </w:rPr>
            </w:pPr>
            <w:r>
              <w:rPr>
                <w:rFonts w:hint="eastAsia" w:ascii="仿宋" w:hAnsi="仿宋" w:eastAsia="仿宋" w:cs="仿宋_GB2312"/>
                <w:sz w:val="28"/>
                <w:szCs w:val="21"/>
              </w:rPr>
              <w:t>160KA</w:t>
            </w:r>
          </w:p>
        </w:tc>
      </w:tr>
    </w:tbl>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所有元器件产品品质应不低于以下供参照品牌：</w:t>
      </w:r>
    </w:p>
    <w:p>
      <w:pPr>
        <w:widowControl/>
        <w:spacing w:line="560" w:lineRule="exact"/>
        <w:ind w:firstLine="200"/>
        <w:jc w:val="center"/>
        <w:rPr>
          <w:rFonts w:hint="eastAsia" w:ascii="仿宋" w:hAnsi="仿宋" w:eastAsia="仿宋" w:cs="仿宋"/>
          <w:bCs/>
          <w:sz w:val="28"/>
          <w:szCs w:val="28"/>
        </w:rPr>
      </w:pPr>
      <w:r>
        <w:rPr>
          <w:rFonts w:hint="eastAsia" w:ascii="仿宋" w:hAnsi="仿宋" w:eastAsia="仿宋" w:cs="仿宋"/>
          <w:bCs/>
          <w:sz w:val="28"/>
          <w:szCs w:val="28"/>
        </w:rPr>
        <w:t>开关元件选型表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3142"/>
        <w:gridCol w:w="3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7" w:type="dxa"/>
            <w:noWrap w:val="0"/>
            <w:vAlign w:val="top"/>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供参照品牌</w:t>
            </w:r>
          </w:p>
        </w:tc>
        <w:tc>
          <w:tcPr>
            <w:tcW w:w="3142" w:type="dxa"/>
            <w:noWrap w:val="0"/>
            <w:vAlign w:val="top"/>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框架开关</w:t>
            </w:r>
          </w:p>
        </w:tc>
        <w:tc>
          <w:tcPr>
            <w:tcW w:w="3549" w:type="dxa"/>
            <w:noWrap w:val="0"/>
            <w:vAlign w:val="top"/>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塑壳开关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7" w:type="dxa"/>
            <w:noWrap w:val="0"/>
            <w:vAlign w:val="top"/>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ABB</w:t>
            </w:r>
          </w:p>
        </w:tc>
        <w:tc>
          <w:tcPr>
            <w:tcW w:w="3142" w:type="dxa"/>
            <w:noWrap w:val="0"/>
            <w:vAlign w:val="top"/>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Emax系列</w:t>
            </w:r>
          </w:p>
        </w:tc>
        <w:tc>
          <w:tcPr>
            <w:tcW w:w="3549" w:type="dxa"/>
            <w:noWrap w:val="0"/>
            <w:vAlign w:val="top"/>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Tmax系列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7" w:type="dxa"/>
            <w:noWrap w:val="0"/>
            <w:vAlign w:val="top"/>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西门子</w:t>
            </w:r>
          </w:p>
        </w:tc>
        <w:tc>
          <w:tcPr>
            <w:tcW w:w="3142" w:type="dxa"/>
            <w:noWrap w:val="0"/>
            <w:vAlign w:val="top"/>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3WL系列</w:t>
            </w:r>
          </w:p>
        </w:tc>
        <w:tc>
          <w:tcPr>
            <w:tcW w:w="3549" w:type="dxa"/>
            <w:noWrap w:val="0"/>
            <w:vAlign w:val="top"/>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3VL系列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7" w:type="dxa"/>
            <w:noWrap w:val="0"/>
            <w:vAlign w:val="top"/>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施耐德</w:t>
            </w:r>
          </w:p>
        </w:tc>
        <w:tc>
          <w:tcPr>
            <w:tcW w:w="3142" w:type="dxa"/>
            <w:noWrap w:val="0"/>
            <w:vAlign w:val="top"/>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MT系列</w:t>
            </w:r>
          </w:p>
        </w:tc>
        <w:tc>
          <w:tcPr>
            <w:tcW w:w="3549" w:type="dxa"/>
            <w:noWrap w:val="0"/>
            <w:vAlign w:val="top"/>
          </w:tcPr>
          <w:p>
            <w:pPr>
              <w:widowControl/>
              <w:spacing w:line="560" w:lineRule="exact"/>
              <w:jc w:val="center"/>
              <w:rPr>
                <w:rFonts w:hint="eastAsia" w:ascii="仿宋" w:hAnsi="仿宋" w:eastAsia="仿宋" w:cs="仿宋"/>
                <w:sz w:val="28"/>
                <w:szCs w:val="21"/>
              </w:rPr>
            </w:pPr>
            <w:r>
              <w:rPr>
                <w:rFonts w:hint="eastAsia" w:ascii="仿宋" w:hAnsi="仿宋" w:eastAsia="仿宋" w:cs="仿宋"/>
                <w:sz w:val="28"/>
                <w:szCs w:val="21"/>
              </w:rPr>
              <w:t>NSX系列</w:t>
            </w:r>
          </w:p>
        </w:tc>
      </w:tr>
    </w:tbl>
    <w:p>
      <w:pPr>
        <w:widowControl/>
        <w:numPr>
          <w:ilvl w:val="0"/>
          <w:numId w:val="14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主要电气元器件（低压断路器、软启动、接触器、热继电器、防雷器）须与柜型为同一品牌，提供原厂证明及出厂检测报告等证明资料。不得采用贴牌产品，一经查实，招标人有权拒绝收货或验收。</w:t>
      </w:r>
    </w:p>
    <w:p>
      <w:pPr>
        <w:widowControl/>
        <w:numPr>
          <w:ilvl w:val="0"/>
          <w:numId w:val="14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二次回路控制器件（时间继电器、中间继电器、信号灯、按钮等功能控制开关等）应与柜体同一品牌，提供原厂证明及出厂检测报告。</w:t>
      </w:r>
    </w:p>
    <w:p>
      <w:pPr>
        <w:widowControl/>
        <w:numPr>
          <w:ilvl w:val="0"/>
          <w:numId w:val="14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630A以上开关选用抽出式框架式断路器。630A及以下选用塑壳断路器，固定式安装，配操作手柄。</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框架式断路器</w:t>
      </w:r>
    </w:p>
    <w:p>
      <w:pPr>
        <w:widowControl/>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框架式断路器应符合下列主要技术要求:</w:t>
      </w:r>
    </w:p>
    <w:p>
      <w:pPr>
        <w:widowControl/>
        <w:numPr>
          <w:ilvl w:val="0"/>
          <w:numId w:val="14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满足系统电压、电流、频率以及分断能力的性能水平要求。</w:t>
      </w:r>
    </w:p>
    <w:p>
      <w:pPr>
        <w:widowControl/>
        <w:numPr>
          <w:ilvl w:val="0"/>
          <w:numId w:val="14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极限分断能力为65-100KA/400～415V范围内Ics＝100%Icu。</w:t>
      </w:r>
    </w:p>
    <w:p>
      <w:pPr>
        <w:widowControl/>
        <w:numPr>
          <w:ilvl w:val="0"/>
          <w:numId w:val="14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框架式断路器控制单元应不需要辅助电源，功能包括：可调整长延时保护、可调整短延时保护、可调整瞬时脱扣。在短延时保护应具有区域选择性闭锁功能。</w:t>
      </w:r>
    </w:p>
    <w:p>
      <w:pPr>
        <w:widowControl/>
        <w:numPr>
          <w:ilvl w:val="0"/>
          <w:numId w:val="14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有宽阔的电流和时间调节范围。</w:t>
      </w:r>
    </w:p>
    <w:p>
      <w:pPr>
        <w:widowControl/>
        <w:numPr>
          <w:ilvl w:val="0"/>
          <w:numId w:val="14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长延时</w:t>
      </w:r>
      <w:r>
        <w:rPr>
          <w:rFonts w:hint="eastAsia" w:ascii="仿宋" w:hAnsi="仿宋" w:eastAsia="仿宋" w:cs="Times New Roman"/>
          <w:sz w:val="28"/>
          <w:szCs w:val="28"/>
          <w:lang w:val="zh-CN"/>
        </w:rPr>
        <w:tab/>
      </w:r>
      <w:r>
        <w:rPr>
          <w:rFonts w:hint="eastAsia" w:ascii="仿宋" w:hAnsi="仿宋" w:eastAsia="仿宋" w:cs="Times New Roman"/>
          <w:sz w:val="28"/>
          <w:szCs w:val="28"/>
          <w:lang w:val="zh-CN"/>
        </w:rPr>
        <w:tab/>
      </w:r>
      <w:r>
        <w:rPr>
          <w:rFonts w:hint="eastAsia" w:ascii="仿宋" w:hAnsi="仿宋" w:eastAsia="仿宋" w:cs="Times New Roman"/>
          <w:sz w:val="28"/>
          <w:szCs w:val="28"/>
          <w:lang w:val="zh-CN"/>
        </w:rPr>
        <w:tab/>
      </w:r>
      <w:r>
        <w:rPr>
          <w:rFonts w:hint="eastAsia" w:ascii="仿宋" w:hAnsi="仿宋" w:eastAsia="仿宋" w:cs="Times New Roman"/>
          <w:sz w:val="28"/>
          <w:szCs w:val="28"/>
          <w:lang w:val="zh-CN"/>
        </w:rPr>
        <w:t>0.4～1.0In</w:t>
      </w:r>
      <w:r>
        <w:rPr>
          <w:rFonts w:hint="eastAsia" w:ascii="仿宋" w:hAnsi="仿宋" w:eastAsia="仿宋" w:cs="Times New Roman"/>
          <w:sz w:val="28"/>
          <w:szCs w:val="28"/>
          <w:lang w:val="zh-CN"/>
        </w:rPr>
        <w:tab/>
      </w:r>
      <w:r>
        <w:rPr>
          <w:rFonts w:hint="eastAsia" w:ascii="仿宋" w:hAnsi="仿宋" w:eastAsia="仿宋" w:cs="Times New Roman"/>
          <w:sz w:val="28"/>
          <w:szCs w:val="28"/>
          <w:lang w:val="zh-CN"/>
        </w:rPr>
        <w:tab/>
      </w:r>
    </w:p>
    <w:p>
      <w:pPr>
        <w:widowControl/>
        <w:numPr>
          <w:ilvl w:val="0"/>
          <w:numId w:val="14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短延时</w:t>
      </w:r>
      <w:r>
        <w:rPr>
          <w:rFonts w:hint="eastAsia" w:ascii="仿宋" w:hAnsi="仿宋" w:eastAsia="仿宋" w:cs="Times New Roman"/>
          <w:sz w:val="28"/>
          <w:szCs w:val="28"/>
          <w:lang w:val="zh-CN"/>
        </w:rPr>
        <w:tab/>
      </w:r>
      <w:r>
        <w:rPr>
          <w:rFonts w:hint="eastAsia" w:ascii="仿宋" w:hAnsi="仿宋" w:eastAsia="仿宋" w:cs="Times New Roman"/>
          <w:sz w:val="28"/>
          <w:szCs w:val="28"/>
          <w:lang w:val="zh-CN"/>
        </w:rPr>
        <w:tab/>
      </w:r>
      <w:r>
        <w:rPr>
          <w:rFonts w:hint="eastAsia" w:ascii="仿宋" w:hAnsi="仿宋" w:eastAsia="仿宋" w:cs="Times New Roman"/>
          <w:sz w:val="28"/>
          <w:szCs w:val="28"/>
          <w:lang w:val="zh-CN"/>
        </w:rPr>
        <w:tab/>
      </w:r>
      <w:r>
        <w:rPr>
          <w:rFonts w:hint="eastAsia" w:ascii="仿宋" w:hAnsi="仿宋" w:eastAsia="仿宋" w:cs="Times New Roman"/>
          <w:sz w:val="28"/>
          <w:szCs w:val="28"/>
          <w:lang w:val="zh-CN"/>
        </w:rPr>
        <w:t>1.5～10In</w:t>
      </w:r>
      <w:r>
        <w:rPr>
          <w:rFonts w:hint="eastAsia" w:ascii="仿宋" w:hAnsi="仿宋" w:eastAsia="仿宋" w:cs="Times New Roman"/>
          <w:sz w:val="28"/>
          <w:szCs w:val="28"/>
          <w:lang w:val="zh-CN"/>
        </w:rPr>
        <w:tab/>
      </w:r>
      <w:r>
        <w:rPr>
          <w:rFonts w:hint="eastAsia" w:ascii="仿宋" w:hAnsi="仿宋" w:eastAsia="仿宋" w:cs="Times New Roman"/>
          <w:sz w:val="28"/>
          <w:szCs w:val="28"/>
          <w:lang w:val="zh-CN"/>
        </w:rPr>
        <w:t xml:space="preserve">  </w:t>
      </w:r>
      <w:r>
        <w:rPr>
          <w:rFonts w:hint="eastAsia" w:ascii="仿宋" w:hAnsi="仿宋" w:eastAsia="仿宋" w:cs="Times New Roman"/>
          <w:sz w:val="28"/>
          <w:szCs w:val="28"/>
          <w:lang w:val="zh-CN"/>
        </w:rPr>
        <w:tab/>
      </w:r>
    </w:p>
    <w:p>
      <w:pPr>
        <w:widowControl/>
        <w:numPr>
          <w:ilvl w:val="0"/>
          <w:numId w:val="14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短路瞬时</w:t>
      </w:r>
      <w:r>
        <w:rPr>
          <w:rFonts w:hint="eastAsia" w:ascii="仿宋" w:hAnsi="仿宋" w:eastAsia="仿宋" w:cs="Times New Roman"/>
          <w:sz w:val="28"/>
          <w:szCs w:val="28"/>
          <w:lang w:val="zh-CN"/>
        </w:rPr>
        <w:tab/>
      </w:r>
      <w:r>
        <w:rPr>
          <w:rFonts w:hint="eastAsia" w:ascii="仿宋" w:hAnsi="仿宋" w:eastAsia="仿宋" w:cs="Times New Roman"/>
          <w:sz w:val="28"/>
          <w:szCs w:val="28"/>
          <w:lang w:val="zh-CN"/>
        </w:rPr>
        <w:tab/>
      </w:r>
      <w:r>
        <w:rPr>
          <w:rFonts w:hint="eastAsia" w:ascii="仿宋" w:hAnsi="仿宋" w:eastAsia="仿宋" w:cs="Times New Roman"/>
          <w:sz w:val="28"/>
          <w:szCs w:val="28"/>
          <w:lang w:val="zh-CN"/>
        </w:rPr>
        <w:t xml:space="preserve">    2～15In</w:t>
      </w:r>
      <w:r>
        <w:rPr>
          <w:rFonts w:hint="eastAsia" w:ascii="仿宋" w:hAnsi="仿宋" w:eastAsia="仿宋" w:cs="Times New Roman"/>
          <w:sz w:val="28"/>
          <w:szCs w:val="28"/>
          <w:lang w:val="zh-CN"/>
        </w:rPr>
        <w:tab/>
      </w:r>
    </w:p>
    <w:p>
      <w:pPr>
        <w:widowControl/>
        <w:numPr>
          <w:ilvl w:val="0"/>
          <w:numId w:val="14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断路器应为塑壳本体模块化结构设计、方便断路器功能的扩充而无需改变断路器结构和低压开关柜结构。对于不同框架等级额定电流的短路器尽量采用标准化、模块化的附件，以便运营维护和管理。</w:t>
      </w:r>
    </w:p>
    <w:p>
      <w:pPr>
        <w:widowControl/>
        <w:numPr>
          <w:ilvl w:val="0"/>
          <w:numId w:val="14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断路器应为抗湿热型产品。</w:t>
      </w:r>
    </w:p>
    <w:p>
      <w:pPr>
        <w:widowControl/>
        <w:numPr>
          <w:ilvl w:val="0"/>
          <w:numId w:val="14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框架断路器提供位置机械闭锁及位置指示器，以精确把断路器本体定位在“接通”、“试验”和“退出”位置，并且在准确定位后进行机械式自动锁定。</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塑壳式断路器应符合下列主要技术要求：</w:t>
      </w:r>
    </w:p>
    <w:p>
      <w:pPr>
        <w:widowControl/>
        <w:numPr>
          <w:ilvl w:val="0"/>
          <w:numId w:val="14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满足系统电压、电流、频率以及分断能力的性能水平要求。</w:t>
      </w:r>
    </w:p>
    <w:p>
      <w:pPr>
        <w:widowControl/>
        <w:numPr>
          <w:ilvl w:val="0"/>
          <w:numId w:val="14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塑壳式断路器分断能力不低于50kA/400～415V范围内Ics＝100％Icu。</w:t>
      </w:r>
    </w:p>
    <w:p>
      <w:pPr>
        <w:widowControl/>
        <w:numPr>
          <w:ilvl w:val="0"/>
          <w:numId w:val="14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为更好保证系统稳定及维护使用安全，塑壳断路器应为限流型断路器，短路故障时要求最短时间内脱扣，并且具有优良的绝缘特性。</w:t>
      </w:r>
    </w:p>
    <w:p>
      <w:pPr>
        <w:widowControl/>
        <w:numPr>
          <w:ilvl w:val="0"/>
          <w:numId w:val="14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断路器应为模块化结构设计、安装方便，并可在不拆卸塑壳断路器外壳的情况下加装各种附件（如分励脱扣器、辅助触头、报警触头）而无需改变断路器结构和低压开关柜结构，同时面板、附件为标准化设计。 </w:t>
      </w:r>
    </w:p>
    <w:p>
      <w:pPr>
        <w:widowControl/>
        <w:numPr>
          <w:ilvl w:val="0"/>
          <w:numId w:val="14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断路器零飞弧。</w:t>
      </w:r>
      <w:r>
        <w:rPr>
          <w:rFonts w:hint="eastAsia" w:ascii="仿宋" w:hAnsi="仿宋" w:eastAsia="仿宋" w:cs="Times New Roman"/>
          <w:sz w:val="28"/>
          <w:szCs w:val="28"/>
          <w:lang w:val="zh-CN"/>
        </w:rPr>
        <w:tab/>
      </w:r>
    </w:p>
    <w:p>
      <w:pPr>
        <w:widowControl/>
        <w:numPr>
          <w:ilvl w:val="0"/>
          <w:numId w:val="14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电动机出线回路应选用有电动机保护特性的塑壳断路器。</w:t>
      </w:r>
    </w:p>
    <w:p>
      <w:pPr>
        <w:widowControl/>
        <w:numPr>
          <w:ilvl w:val="0"/>
          <w:numId w:val="14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塑壳断路器应为抗湿热型产品。</w:t>
      </w:r>
    </w:p>
    <w:p>
      <w:pPr>
        <w:widowControl/>
        <w:numPr>
          <w:ilvl w:val="0"/>
          <w:numId w:val="14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塑壳式断路器保护功能应包括：长延时保护、短延时保护、瞬时脱扣，采用电子脱扣器。</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仪表要求</w:t>
      </w:r>
    </w:p>
    <w:p>
      <w:pPr>
        <w:widowControl/>
        <w:numPr>
          <w:ilvl w:val="0"/>
          <w:numId w:val="14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仪表品牌同柜型一致</w:t>
      </w:r>
    </w:p>
    <w:p>
      <w:pPr>
        <w:widowControl/>
        <w:numPr>
          <w:ilvl w:val="0"/>
          <w:numId w:val="14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A/B组UPS输入输出柜的主分支回路、动力配电柜主回路配置网络电力仪表，应具备如下功能： U、I、KW、Kvar、F、KWH、HZ、2-31次各次谐波分量等三相全电量测量，4路DI,2路DO输出，LCD显示屏。</w:t>
      </w:r>
    </w:p>
    <w:p>
      <w:pPr>
        <w:widowControl/>
        <w:numPr>
          <w:ilvl w:val="0"/>
          <w:numId w:val="14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所有网络电力仪表具有远程通讯功能（RS485，MODBUS），并免费开关所有信息点。</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开关柜结构、工艺及材料</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框架结构采用厚度不低于2.0mm进口覆铝锌钢板或优质冷轧钢板折弯而成，框架应是垂直地面安装的刚性、自承式独立结构，并应能承受所安装元件和短路时产生的动、热稳定，同时不会因为开关柜的安装、运输等情况而影响开关柜的性能，框架采用模数孔系统。</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外壳采用厚度不低于2.0mm进口覆铝锌钢板或优质冷轧钢板，环氧树脂粉末喷涂，颜色需招标人最终确认。</w:t>
      </w:r>
    </w:p>
    <w:p>
      <w:pPr>
        <w:widowControl/>
        <w:numPr>
          <w:ilvl w:val="0"/>
          <w:numId w:val="144"/>
        </w:numPr>
        <w:spacing w:line="560" w:lineRule="exact"/>
        <w:ind w:left="0" w:firstLine="0"/>
        <w:rPr>
          <w:rFonts w:ascii="仿宋" w:hAnsi="仿宋" w:eastAsia="仿宋" w:cs="Times New Roman"/>
          <w:sz w:val="28"/>
          <w:szCs w:val="28"/>
          <w:lang w:val="zh-CN"/>
        </w:rPr>
      </w:pPr>
      <w:r>
        <w:rPr>
          <w:rFonts w:hint="eastAsia" w:ascii="仿宋" w:hAnsi="仿宋" w:eastAsia="仿宋" w:cs="Times New Roman"/>
          <w:sz w:val="28"/>
          <w:szCs w:val="28"/>
          <w:lang w:val="zh-CN"/>
        </w:rPr>
        <w:t>柜体应有足够的机械强度，连接采用新工艺的自攻螺钉和螺丝，所有螺丝、螺母强度为8.8级，以保证元件安装后及操作时无摇晃、不变形，柜体结构、元器件布置、配线等应满足IEC及中国国家有关部门规范标准的要求。</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柜体母线及接地网铜排应采用高导电率铜制导体。机架内一、二次连接铜排，铜导线均从正规厂家购买，铜排纯度达到99.97%以上，并提供《中国有色金属工业产品质量监督检验中心检测报告》。</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开关柜利用金属隔板分隔成若干独立小室，包括母线室、功能单元室和电缆室，分隔形式参照IEC-60439-1中Form 3b要求。每个隔室应有足够空间便于检修维护。并满足以下要求：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防止触及邻近功能单元的带电部件；</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选用阻燃的隔板，限制事故电弧的扩大；</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防止外界物件从装置的一个隔室进到另一个隔室；</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隔室之间的开孔应确保断路器在短路分断时产生的气体不影响相邻隔室的功能单元的正常工作；</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用作隔离的隔板为进口覆铝锌板或优质冷轧钢板，厚度不低于1.5mm。金属隔板与保护接地导体应可靠连接，金属隔板在人体碰撞时产生的变形不应减小其绝缘距离；</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功能单元隔室中的隔板不应由短路分断时产生的电弧或游离气体所产生的压力而造成损坏或永久变形。</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所有金属结构的部件，均应按有关规定可靠连接到柜内接地母线上。</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开关柜均应有完善可靠的防护措施，每台框架断路器应有接通、试验、断开三个位置。</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在柜体前后均设有带锁柜门，宜采用铰链形式，门锁型式需谈判方最终确认。</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低压开关柜为了避免有过高的温升状况发生，应做相关的通风处理。</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百叶窗或其它通风孔的布置和安装，应能防止由上面漏水或地板上溅起的水进入开关柜内。</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低压开关柜内的电器元件、裸露的带电导体和端子等的电气距离和爬电距离应符合有关标准，同时应适合使用的环境条件。</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开关柜采用离墙式布置，柜前设有操作及维护通道，柜后设有维护通道。</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开关柜应具有双层安全保护：即打开柜门后，开关还须配置端子盖（或绝缘隔板），带电铜排须加装绝缘防护板，以防止发生触电事故，确保操作人员的人身安全；开关柜门应加锁，以防止非操作人员进行操作，造成事故的发生。</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设备的布置应便于操作，在任何情况下不妨碍良好的运行性能，柜内空间满足检修要求。开关柜端部结构、母线排和电线电缆敷线槽的布置，应考虑便于扩展。</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开关柜可根据实际需求采用柜顶或柜底进出线方式。</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选用尺寸应有足够空间满足接线及维修的需求即可（最终选用尺寸须经招标人、顾问、监理三方确认）。</w:t>
      </w:r>
    </w:p>
    <w:p>
      <w:pPr>
        <w:widowControl/>
        <w:numPr>
          <w:ilvl w:val="0"/>
          <w:numId w:val="1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两台或两台以上的开关柜并列安装时，柜的高度、厚度应一致。</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bookmarkStart w:id="646" w:name="_Toc27118"/>
      <w:r>
        <w:rPr>
          <w:rFonts w:hint="eastAsia" w:ascii="楷体" w:hAnsi="楷体" w:eastAsia="仿宋" w:cs="Times New Roman"/>
          <w:b/>
          <w:kern w:val="2"/>
          <w:sz w:val="28"/>
          <w:szCs w:val="20"/>
          <w:lang w:val="en-US" w:eastAsia="zh-CN" w:bidi="ar-SA"/>
        </w:rPr>
        <w:t>指示灯和按钮：</w:t>
      </w:r>
      <w:bookmarkEnd w:id="646"/>
    </w:p>
    <w:p>
      <w:pPr>
        <w:widowControl/>
        <w:numPr>
          <w:ilvl w:val="0"/>
          <w:numId w:val="14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指示灯使用LED发光形式。</w:t>
      </w:r>
    </w:p>
    <w:p>
      <w:pPr>
        <w:widowControl/>
        <w:numPr>
          <w:ilvl w:val="0"/>
          <w:numId w:val="14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按钮和指示灯的颜色应符合标准规定。</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bookmarkStart w:id="647" w:name="_Toc6697"/>
      <w:r>
        <w:rPr>
          <w:rFonts w:hint="eastAsia" w:ascii="楷体" w:hAnsi="楷体" w:eastAsia="仿宋" w:cs="Times New Roman"/>
          <w:b/>
          <w:kern w:val="2"/>
          <w:sz w:val="28"/>
          <w:szCs w:val="20"/>
          <w:lang w:val="en-US" w:eastAsia="zh-CN" w:bidi="ar-SA"/>
        </w:rPr>
        <w:t>例行试验</w:t>
      </w:r>
      <w:bookmarkEnd w:id="647"/>
    </w:p>
    <w:p>
      <w:pPr>
        <w:widowControl/>
        <w:spacing w:line="560" w:lineRule="exact"/>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所有低压配电柜及其电器元件均应在工厂内进行例行试验，例行试验根据国标GB7251.1和IEC 60439.1的规范，并应有合格的例行试验合格证书供招标人审阅。所提供型号必须通过国家型式试验的验证。</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备品备件及易损件</w:t>
      </w:r>
    </w:p>
    <w:p>
      <w:pPr>
        <w:widowControl/>
        <w:numPr>
          <w:ilvl w:val="0"/>
          <w:numId w:val="14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要求卖方提供随机备品备件、易损件清单；</w:t>
      </w:r>
    </w:p>
    <w:p>
      <w:pPr>
        <w:widowControl/>
        <w:numPr>
          <w:ilvl w:val="0"/>
          <w:numId w:val="14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卖方应将设备质保期后一年内正常运行所需的备品备件、易损件列出清单（注明数量、单价、合计价、供货周期）。</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bookmarkStart w:id="648" w:name="_Toc1524"/>
      <w:r>
        <w:rPr>
          <w:rFonts w:hint="eastAsia" w:ascii="楷体" w:hAnsi="楷体" w:eastAsia="仿宋" w:cs="Times New Roman"/>
          <w:b/>
          <w:kern w:val="2"/>
          <w:sz w:val="28"/>
          <w:szCs w:val="20"/>
          <w:lang w:val="en-US" w:eastAsia="zh-CN" w:bidi="ar-SA"/>
        </w:rPr>
        <w:t>随机文件</w:t>
      </w:r>
      <w:bookmarkEnd w:id="648"/>
    </w:p>
    <w:p>
      <w:pPr>
        <w:widowControl/>
        <w:numPr>
          <w:ilvl w:val="0"/>
          <w:numId w:val="14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六套设备安装及维修手册，内容包括存放、安装、调整、启动、设置与操作程序、日常维护步骤、故障诊断、备品备件及易损件清单。六套电气设计原理图纸。</w:t>
      </w:r>
    </w:p>
    <w:p>
      <w:pPr>
        <w:widowControl/>
        <w:numPr>
          <w:ilvl w:val="0"/>
          <w:numId w:val="14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提供六份材料清单、装箱单、产品合格证书、3C认证报告、型式试验报告、出厂测试报告、完整的设备验收验收标准及检验方法、外购件样本和使用说明书及原产地证明。</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配电柜的外形尺寸</w:t>
      </w:r>
    </w:p>
    <w:p>
      <w:pPr>
        <w:widowControl/>
        <w:spacing w:line="560" w:lineRule="exact"/>
        <w:ind w:firstLine="480"/>
        <w:rPr>
          <w:rFonts w:ascii="仿宋" w:hAnsi="仿宋" w:eastAsia="仿宋" w:cs="Times New Roman"/>
          <w:sz w:val="28"/>
          <w:szCs w:val="28"/>
        </w:rPr>
      </w:pPr>
      <w:r>
        <w:rPr>
          <w:rFonts w:hint="eastAsia" w:ascii="仿宋" w:hAnsi="仿宋" w:eastAsia="仿宋" w:cs="Times New Roman"/>
          <w:sz w:val="28"/>
          <w:szCs w:val="28"/>
        </w:rPr>
        <w:t>根据本项目所提供的位置及范围自行合理考虑。</w:t>
      </w:r>
    </w:p>
    <w:p>
      <w:pPr>
        <w:keepLines/>
        <w:numPr>
          <w:ilvl w:val="2"/>
          <w:numId w:val="2"/>
        </w:numPr>
        <w:adjustRightInd w:val="0"/>
        <w:spacing w:before="0" w:beforeLines="0" w:after="0" w:afterLines="0" w:line="560" w:lineRule="exact"/>
        <w:ind w:left="0" w:firstLine="0"/>
        <w:jc w:val="left"/>
        <w:textAlignment w:val="baseline"/>
        <w:outlineLvl w:val="2"/>
        <w:rPr>
          <w:rFonts w:ascii="楷体" w:hAnsi="楷体" w:eastAsia="仿宋" w:cs="Times New Roman"/>
          <w:b/>
          <w:kern w:val="2"/>
          <w:sz w:val="28"/>
          <w:lang w:val="en-US" w:eastAsia="zh-CN" w:bidi="ar-SA"/>
        </w:rPr>
      </w:pPr>
      <w:bookmarkStart w:id="649" w:name="ups参数"/>
      <w:bookmarkEnd w:id="649"/>
      <w:bookmarkStart w:id="650" w:name="_Toc36062056"/>
      <w:bookmarkStart w:id="651" w:name="_Toc12052"/>
      <w:r>
        <w:rPr>
          <w:rFonts w:hint="eastAsia" w:ascii="楷体" w:hAnsi="楷体" w:eastAsia="仿宋" w:cs="Times New Roman"/>
          <w:b/>
          <w:kern w:val="2"/>
          <w:sz w:val="28"/>
          <w:lang w:val="en-US" w:eastAsia="zh-CN" w:bidi="ar-SA"/>
        </w:rPr>
        <w:t>U</w:t>
      </w:r>
      <w:r>
        <w:rPr>
          <w:rFonts w:ascii="楷体" w:hAnsi="楷体" w:eastAsia="仿宋" w:cs="Times New Roman"/>
          <w:b/>
          <w:kern w:val="2"/>
          <w:sz w:val="28"/>
          <w:lang w:val="en-US" w:eastAsia="zh-CN" w:bidi="ar-SA"/>
        </w:rPr>
        <w:t>PS</w:t>
      </w:r>
      <w:bookmarkEnd w:id="650"/>
      <w:bookmarkEnd w:id="651"/>
    </w:p>
    <w:p>
      <w:pPr>
        <w:numPr>
          <w:ilvl w:val="3"/>
          <w:numId w:val="2"/>
        </w:numPr>
        <w:spacing w:before="0" w:beforeLines="0" w:after="0" w:afterLines="0" w:line="560" w:lineRule="exact"/>
        <w:ind w:left="0" w:firstLine="0"/>
        <w:jc w:val="both"/>
        <w:outlineLvl w:val="3"/>
        <w:rPr>
          <w:rFonts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总体目标</w:t>
      </w:r>
    </w:p>
    <w:p>
      <w:pPr>
        <w:widowControl/>
        <w:numPr>
          <w:ilvl w:val="7"/>
          <w:numId w:val="148"/>
        </w:numPr>
        <w:spacing w:line="660" w:lineRule="exact"/>
        <w:ind w:left="0" w:firstLine="0"/>
        <w:textAlignment w:val="center"/>
        <w:rPr>
          <w:rFonts w:ascii="仿宋_GB2312" w:hAnsi="宋体" w:eastAsia="仿宋_GB2312" w:cs="仿宋_GB2312"/>
          <w:bCs/>
          <w:sz w:val="28"/>
          <w:szCs w:val="28"/>
        </w:rPr>
      </w:pPr>
      <w:bookmarkStart w:id="652" w:name="_Toc415572788"/>
      <w:bookmarkStart w:id="653" w:name="_Toc366688968"/>
      <w:bookmarkStart w:id="654" w:name="_Toc238223548"/>
      <w:bookmarkStart w:id="655" w:name="_Toc376034571"/>
      <w:r>
        <w:rPr>
          <w:rFonts w:hint="eastAsia" w:ascii="仿宋_GB2312" w:hAnsi="宋体" w:eastAsia="仿宋_GB2312" w:cs="仿宋_GB2312"/>
          <w:bCs/>
          <w:sz w:val="28"/>
          <w:szCs w:val="28"/>
        </w:rPr>
        <w:t>所有设备均应是满足行业及国家相应标准，并取得生产许可，每个产品应有产品合格证，并获得国家的安全认证。</w:t>
      </w:r>
    </w:p>
    <w:p>
      <w:pPr>
        <w:widowControl/>
        <w:numPr>
          <w:ilvl w:val="7"/>
          <w:numId w:val="148"/>
        </w:numPr>
        <w:spacing w:line="660" w:lineRule="exact"/>
        <w:ind w:left="0" w:firstLine="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需考虑</w:t>
      </w:r>
      <w:r>
        <w:rPr>
          <w:rFonts w:ascii="仿宋_GB2312" w:hAnsi="宋体" w:eastAsia="仿宋_GB2312" w:cs="仿宋_GB2312"/>
          <w:bCs/>
          <w:sz w:val="28"/>
          <w:szCs w:val="28"/>
        </w:rPr>
        <w:t>安装</w:t>
      </w:r>
      <w:r>
        <w:rPr>
          <w:rFonts w:hint="eastAsia" w:ascii="仿宋_GB2312" w:hAnsi="宋体" w:eastAsia="仿宋_GB2312" w:cs="仿宋_GB2312"/>
          <w:bCs/>
          <w:sz w:val="28"/>
          <w:szCs w:val="28"/>
        </w:rPr>
        <w:t>空间、运输通道空间、设备尺寸，需提供实施方案，由于中标人未对现场进行踏勘或踏勘不细造成不能搬运、安装的后果，由中标人负全部责任。</w:t>
      </w:r>
    </w:p>
    <w:p>
      <w:pPr>
        <w:numPr>
          <w:ilvl w:val="3"/>
          <w:numId w:val="2"/>
        </w:numPr>
        <w:spacing w:before="0" w:beforeLines="0" w:after="0" w:afterLines="0" w:line="560" w:lineRule="exact"/>
        <w:ind w:left="0" w:firstLine="0"/>
        <w:jc w:val="both"/>
        <w:outlineLvl w:val="3"/>
        <w:rPr>
          <w:rFonts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一般要求</w:t>
      </w:r>
    </w:p>
    <w:p>
      <w:pPr>
        <w:widowControl/>
        <w:numPr>
          <w:ilvl w:val="7"/>
          <w:numId w:val="149"/>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中标人必须确保所有产品、配件均为原厂正品，所投产品不接受电信运营商、互联网公司等企业定制版，且招标人有权要求厂验或到货现场实物验证，如不能满足或不符合要求，招标人有权要求中标人对产品进行更换并要求中标人进行赔偿的权利。</w:t>
      </w:r>
    </w:p>
    <w:p>
      <w:pPr>
        <w:widowControl/>
        <w:numPr>
          <w:ilvl w:val="7"/>
          <w:numId w:val="149"/>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中标人所提供的设备材料必须是全新的、无破损的，为原厂包装，并符合合同规定的规格、质量，如不符时，中标人应负全责，并无条件更换全部不合格产品，所有因产品规格不符、质量不符及因产品损坏而造成的工程延误和由此产生的相关费用由中标人负责，采购方保留终止合同和向中标人索赔的权利。</w:t>
      </w:r>
    </w:p>
    <w:p>
      <w:pPr>
        <w:widowControl/>
        <w:numPr>
          <w:ilvl w:val="7"/>
          <w:numId w:val="149"/>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中标人所提供的货物开箱后，如招标人发现有任何问题（如外观有损伤），中标人必须立即以同样型号的设备在招标人商定的时间内更换，确保其使用。</w:t>
      </w:r>
    </w:p>
    <w:p>
      <w:pPr>
        <w:widowControl/>
        <w:numPr>
          <w:ilvl w:val="7"/>
          <w:numId w:val="149"/>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设备的包装应符合相关标准，因包装不善引起的损坏、腐蚀等损失由中标人承担。</w:t>
      </w:r>
    </w:p>
    <w:p>
      <w:pPr>
        <w:widowControl/>
        <w:numPr>
          <w:ilvl w:val="7"/>
          <w:numId w:val="149"/>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包装箱内附装箱单、合格证和产品说明书，包装费包含在报价总价中。</w:t>
      </w:r>
    </w:p>
    <w:p>
      <w:pPr>
        <w:widowControl/>
        <w:numPr>
          <w:ilvl w:val="7"/>
          <w:numId w:val="149"/>
        </w:numPr>
        <w:spacing w:line="660" w:lineRule="exact"/>
        <w:ind w:left="0" w:firstLine="0"/>
        <w:textAlignment w:val="center"/>
        <w:rPr>
          <w:rFonts w:hint="eastAsia" w:ascii="仿宋_GB2312" w:hAnsi="宋体" w:eastAsia="仿宋_GB2312" w:cs="Arial"/>
          <w:bCs/>
          <w:sz w:val="28"/>
          <w:szCs w:val="28"/>
        </w:rPr>
      </w:pPr>
      <w:r>
        <w:rPr>
          <w:rFonts w:hint="eastAsia" w:ascii="仿宋_GB2312" w:hAnsi="宋体" w:eastAsia="仿宋_GB2312" w:cs="Arial"/>
          <w:bCs/>
          <w:sz w:val="28"/>
          <w:szCs w:val="28"/>
        </w:rPr>
        <w:t>投标人所提供UPS设备的生产制造商必须通过IS09001系列质量体系认证、</w:t>
      </w:r>
      <w:r>
        <w:rPr>
          <w:rFonts w:hint="eastAsia" w:ascii="仿宋_GB2312" w:hAnsi="等线" w:eastAsia="仿宋_GB2312" w:cs="Times New Roman"/>
          <w:bCs/>
          <w:sz w:val="28"/>
          <w:szCs w:val="28"/>
        </w:rPr>
        <w:t>泰尔认证中心的产品认证、中国质量认证中心的节能产</w:t>
      </w:r>
      <w:r>
        <w:rPr>
          <w:rFonts w:hint="eastAsia" w:ascii="仿宋_GB2312" w:hAnsi="宋体" w:eastAsia="仿宋_GB2312" w:cs="Arial"/>
          <w:bCs/>
          <w:sz w:val="28"/>
          <w:szCs w:val="28"/>
        </w:rPr>
        <w:t>品测试，并提供相应的证书及检验报告资料。</w:t>
      </w:r>
    </w:p>
    <w:p>
      <w:pPr>
        <w:widowControl/>
        <w:numPr>
          <w:ilvl w:val="7"/>
          <w:numId w:val="149"/>
        </w:numPr>
        <w:spacing w:line="660" w:lineRule="exact"/>
        <w:ind w:left="0" w:firstLine="0"/>
        <w:textAlignment w:val="center"/>
        <w:rPr>
          <w:rFonts w:hint="eastAsia" w:ascii="仿宋_GB2312" w:hAnsi="宋体" w:eastAsia="仿宋_GB2312" w:cs="Arial"/>
          <w:bCs/>
          <w:sz w:val="28"/>
          <w:szCs w:val="28"/>
        </w:rPr>
      </w:pPr>
      <w:r>
        <w:rPr>
          <w:rFonts w:hint="eastAsia" w:ascii="仿宋_GB2312" w:hAnsi="宋体" w:eastAsia="仿宋_GB2312" w:cs="Arial"/>
          <w:bCs/>
          <w:sz w:val="28"/>
          <w:szCs w:val="28"/>
        </w:rPr>
        <w:t>本项目UPS设备不接受OEM和ODM设备。并提供产地证明资料加盖制造商公章佐证。</w:t>
      </w:r>
    </w:p>
    <w:p>
      <w:pPr>
        <w:widowControl/>
        <w:numPr>
          <w:ilvl w:val="7"/>
          <w:numId w:val="149"/>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设备、材料、标示颜色须由招标人最终确认。</w:t>
      </w:r>
    </w:p>
    <w:p>
      <w:pPr>
        <w:widowControl/>
        <w:numPr>
          <w:ilvl w:val="7"/>
          <w:numId w:val="149"/>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所有设备都应有标牌加以标志，明确表明它们的功能和编号。</w:t>
      </w:r>
    </w:p>
    <w:p>
      <w:pPr>
        <w:widowControl/>
        <w:numPr>
          <w:ilvl w:val="8"/>
          <w:numId w:val="149"/>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接线端子和导体应按原理接线图进行编号。</w:t>
      </w:r>
    </w:p>
    <w:p>
      <w:pPr>
        <w:widowControl/>
        <w:numPr>
          <w:ilvl w:val="8"/>
          <w:numId w:val="149"/>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设备铭牌应包含有关标准要求的所有内容。</w:t>
      </w:r>
    </w:p>
    <w:p>
      <w:pPr>
        <w:widowControl/>
        <w:numPr>
          <w:ilvl w:val="8"/>
          <w:numId w:val="149"/>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除上述要求外，还需按照招标人要求增加必要的标</w:t>
      </w:r>
      <w:bookmarkEnd w:id="652"/>
      <w:bookmarkEnd w:id="653"/>
      <w:bookmarkEnd w:id="654"/>
      <w:bookmarkEnd w:id="655"/>
      <w:r>
        <w:rPr>
          <w:rFonts w:hint="eastAsia" w:ascii="仿宋_GB2312" w:hAnsi="宋体" w:eastAsia="仿宋_GB2312" w:cs="Arial"/>
          <w:bCs/>
          <w:sz w:val="28"/>
          <w:szCs w:val="28"/>
        </w:rPr>
        <w:t>牌。</w:t>
      </w:r>
    </w:p>
    <w:p>
      <w:pPr>
        <w:widowControl/>
        <w:numPr>
          <w:ilvl w:val="7"/>
          <w:numId w:val="149"/>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产品技术资料要求</w:t>
      </w:r>
    </w:p>
    <w:p>
      <w:pPr>
        <w:widowControl/>
        <w:numPr>
          <w:ilvl w:val="8"/>
          <w:numId w:val="149"/>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技术资料</w:t>
      </w:r>
    </w:p>
    <w:p>
      <w:pPr>
        <w:widowControl/>
        <w:spacing w:line="660" w:lineRule="exact"/>
        <w:ind w:firstLine="560" w:firstLineChars="200"/>
        <w:contextualSpacing/>
        <w:textAlignment w:val="center"/>
        <w:rPr>
          <w:rFonts w:ascii="仿宋_GB2312" w:hAnsi="宋体" w:eastAsia="仿宋_GB2312" w:cs="Arial"/>
          <w:bCs/>
          <w:sz w:val="28"/>
          <w:szCs w:val="28"/>
        </w:rPr>
      </w:pPr>
      <w:r>
        <w:rPr>
          <w:rFonts w:hint="eastAsia" w:ascii="仿宋_GB2312" w:hAnsi="宋体" w:eastAsia="仿宋_GB2312" w:cs="Arial"/>
          <w:bCs/>
          <w:sz w:val="28"/>
          <w:szCs w:val="28"/>
        </w:rPr>
        <w:t>列表说明UPS整机的品牌、产地、规格型号、主要技术参数等。</w:t>
      </w:r>
    </w:p>
    <w:p>
      <w:pPr>
        <w:widowControl/>
        <w:spacing w:line="660" w:lineRule="exact"/>
        <w:ind w:firstLine="560" w:firstLineChars="200"/>
        <w:contextualSpacing/>
        <w:textAlignment w:val="center"/>
        <w:rPr>
          <w:rFonts w:ascii="仿宋_GB2312" w:hAnsi="宋体" w:eastAsia="仿宋_GB2312" w:cs="Arial"/>
          <w:bCs/>
          <w:sz w:val="28"/>
          <w:szCs w:val="28"/>
        </w:rPr>
      </w:pPr>
      <w:r>
        <w:rPr>
          <w:rFonts w:hint="eastAsia" w:ascii="仿宋_GB2312" w:hAnsi="宋体" w:eastAsia="仿宋_GB2312" w:cs="Arial"/>
          <w:bCs/>
          <w:sz w:val="28"/>
          <w:szCs w:val="28"/>
        </w:rPr>
        <w:t>列表说明主要元器件（断路器等）的品牌、产地、规格型号、主要技术参数等。并对其中主要原器件的数量（如断路器等）加以说明。</w:t>
      </w:r>
    </w:p>
    <w:p>
      <w:pPr>
        <w:widowControl/>
        <w:spacing w:line="660" w:lineRule="exact"/>
        <w:ind w:firstLine="560" w:firstLineChars="200"/>
        <w:contextualSpacing/>
        <w:textAlignment w:val="center"/>
        <w:rPr>
          <w:rFonts w:ascii="仿宋_GB2312" w:hAnsi="宋体" w:eastAsia="仿宋_GB2312" w:cs="Arial"/>
          <w:bCs/>
          <w:sz w:val="28"/>
          <w:szCs w:val="28"/>
        </w:rPr>
      </w:pPr>
      <w:r>
        <w:rPr>
          <w:rFonts w:hint="eastAsia" w:ascii="仿宋_GB2312" w:hAnsi="宋体" w:eastAsia="仿宋_GB2312" w:cs="Arial"/>
          <w:bCs/>
          <w:sz w:val="28"/>
          <w:szCs w:val="28"/>
        </w:rPr>
        <w:t>附件、备品备件、专用工具等列表。</w:t>
      </w:r>
    </w:p>
    <w:p>
      <w:pPr>
        <w:widowControl/>
        <w:spacing w:line="660" w:lineRule="exact"/>
        <w:ind w:firstLine="560" w:firstLineChars="200"/>
        <w:contextualSpacing/>
        <w:textAlignment w:val="center"/>
        <w:rPr>
          <w:rFonts w:ascii="仿宋_GB2312" w:hAnsi="宋体" w:eastAsia="仿宋_GB2312" w:cs="Arial"/>
          <w:bCs/>
          <w:sz w:val="28"/>
          <w:szCs w:val="28"/>
        </w:rPr>
      </w:pPr>
      <w:r>
        <w:rPr>
          <w:rFonts w:hint="eastAsia" w:ascii="仿宋_GB2312" w:hAnsi="宋体" w:eastAsia="仿宋_GB2312" w:cs="Arial"/>
          <w:bCs/>
          <w:sz w:val="28"/>
          <w:szCs w:val="28"/>
        </w:rPr>
        <w:t>中标人负责提供设备的配件、备件和清单、设备安装图纸，附属设备安装图、电气结构图、附属设备规范及用电负荷，以及中标后包括应提供完整的出厂试验报告、设备技术手册、安装手册、使用手册及合格证书（操作手册、维护手册等，要求语言为中文）。</w:t>
      </w:r>
    </w:p>
    <w:p>
      <w:pPr>
        <w:numPr>
          <w:ilvl w:val="3"/>
          <w:numId w:val="2"/>
        </w:numPr>
        <w:spacing w:before="0" w:beforeLines="0" w:after="0" w:afterLines="0" w:line="560" w:lineRule="exact"/>
        <w:ind w:left="0" w:firstLine="0"/>
        <w:jc w:val="both"/>
        <w:outlineLvl w:val="3"/>
        <w:rPr>
          <w:rFonts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引用规范与标准</w:t>
      </w:r>
    </w:p>
    <w:p>
      <w:pPr>
        <w:widowControl/>
        <w:numPr>
          <w:ilvl w:val="7"/>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所有设备、材料的供应和调试，必须符合下列各机关、部门所发布的最新条例、规范、标准、施工准则等：</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国家环保设计规范。</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国家电气设计规范。</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国家供电规范要求。</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除特别注明外，所有设备、材料的供应和施工须满足国际电气技术委员会标准(IEC)。</w:t>
      </w:r>
    </w:p>
    <w:p>
      <w:pPr>
        <w:widowControl/>
        <w:numPr>
          <w:ilvl w:val="7"/>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除以上注明的标准外，满足其它国际上认可标准的设备、材料和施工方法经审批后也可使用，但必须符合本规范内的技术参数。</w:t>
      </w:r>
    </w:p>
    <w:p>
      <w:pPr>
        <w:widowControl/>
        <w:numPr>
          <w:ilvl w:val="7"/>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所有设备、系统须完全符合除此标书内注明外的当地机关、部门的要求、规范、标准等。</w:t>
      </w:r>
    </w:p>
    <w:p>
      <w:pPr>
        <w:widowControl/>
        <w:numPr>
          <w:ilvl w:val="7"/>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本技术规范没特别注明设备的技术参数或施工方法，须满足当地相关的标准和施工规范。</w:t>
      </w:r>
    </w:p>
    <w:p>
      <w:pPr>
        <w:widowControl/>
        <w:numPr>
          <w:ilvl w:val="7"/>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U</w:t>
      </w:r>
      <w:r>
        <w:rPr>
          <w:rFonts w:ascii="仿宋_GB2312" w:hAnsi="宋体" w:eastAsia="仿宋_GB2312" w:cs="Arial"/>
          <w:bCs/>
          <w:sz w:val="28"/>
          <w:szCs w:val="28"/>
        </w:rPr>
        <w:t>PS</w:t>
      </w:r>
      <w:r>
        <w:rPr>
          <w:rFonts w:hint="eastAsia" w:ascii="仿宋_GB2312" w:hAnsi="宋体" w:eastAsia="仿宋_GB2312" w:cs="Arial"/>
          <w:bCs/>
          <w:sz w:val="28"/>
          <w:szCs w:val="28"/>
        </w:rPr>
        <w:t>必须满足下列要求：</w:t>
      </w:r>
    </w:p>
    <w:p>
      <w:pPr>
        <w:widowControl/>
        <w:spacing w:line="660" w:lineRule="exact"/>
        <w:ind w:firstLine="560" w:firstLineChars="200"/>
        <w:textAlignment w:val="center"/>
        <w:rPr>
          <w:rFonts w:ascii="仿宋_GB2312" w:hAnsi="宋体" w:eastAsia="仿宋_GB2312" w:cs="Arial"/>
          <w:bCs/>
          <w:sz w:val="28"/>
          <w:szCs w:val="28"/>
        </w:rPr>
      </w:pPr>
      <w:r>
        <w:rPr>
          <w:rFonts w:hint="eastAsia" w:ascii="仿宋_GB2312" w:hAnsi="宋体" w:eastAsia="仿宋_GB2312" w:cs="Arial"/>
          <w:bCs/>
          <w:sz w:val="28"/>
          <w:szCs w:val="28"/>
        </w:rPr>
        <w:t>UPS主机的设计安装必须符合以下标准：</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设计制造：ISO9001，ISO14001。</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IEC62040-1,-2,-3。</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IEC801-2,3,4,5。</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UL1778。</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EN60146-4/IEC106。</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EN60529/IEC529,IEC364。</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IEC62040-3。</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《低压配电设计规范》</w:t>
      </w:r>
      <w:r>
        <w:rPr>
          <w:rFonts w:ascii="仿宋_GB2312" w:hAnsi="宋体" w:eastAsia="仿宋_GB2312" w:cs="Arial"/>
          <w:bCs/>
          <w:sz w:val="28"/>
          <w:szCs w:val="28"/>
        </w:rPr>
        <w:t xml:space="preserve"> GB 50054</w:t>
      </w:r>
      <w:r>
        <w:rPr>
          <w:rFonts w:hint="eastAsia" w:ascii="仿宋_GB2312" w:hAnsi="宋体" w:eastAsia="仿宋_GB2312" w:cs="Arial"/>
          <w:bCs/>
          <w:sz w:val="28"/>
          <w:szCs w:val="28"/>
        </w:rPr>
        <w:t>。</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《民用建筑电气设计规范》</w:t>
      </w:r>
      <w:r>
        <w:rPr>
          <w:rFonts w:ascii="仿宋_GB2312" w:hAnsi="宋体" w:eastAsia="仿宋_GB2312" w:cs="Arial"/>
          <w:bCs/>
          <w:sz w:val="28"/>
          <w:szCs w:val="28"/>
        </w:rPr>
        <w:t>JGJ 16</w:t>
      </w:r>
      <w:r>
        <w:rPr>
          <w:rFonts w:hint="eastAsia" w:ascii="仿宋_GB2312" w:hAnsi="宋体" w:eastAsia="仿宋_GB2312" w:cs="Arial"/>
          <w:bCs/>
          <w:sz w:val="28"/>
          <w:szCs w:val="28"/>
        </w:rPr>
        <w:t>。</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《供配电系统设计规范》 GB 50052。</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《智能建筑设计标准》 GB/T 50314。</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《通信用交流不间断电源（UPS）》 YD/T1095。</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YD/T983《通信电源设备电磁兼容性限值及测量方法》。</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BS EN 50091。</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无线电干扰测量仪器 BS 727。</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无线电干扰限度 EC 62040-2。</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BS BN50091-2。</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BS 800。</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半导体整流设备BS 4417。</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接地 BS 7430。</w:t>
      </w:r>
    </w:p>
    <w:p>
      <w:pPr>
        <w:widowControl/>
        <w:numPr>
          <w:ilvl w:val="8"/>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阻燃性能：GB/T 2408。</w:t>
      </w:r>
    </w:p>
    <w:p>
      <w:pPr>
        <w:widowControl/>
        <w:numPr>
          <w:ilvl w:val="7"/>
          <w:numId w:val="150"/>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上述技术标准和规范如果有</w:t>
      </w:r>
      <w:r>
        <w:rPr>
          <w:rFonts w:hint="eastAsia" w:ascii="仿宋_GB2312" w:hAnsi="宋体" w:eastAsia="仿宋_GB2312" w:cs="Times New Roman"/>
          <w:bCs/>
          <w:sz w:val="28"/>
          <w:szCs w:val="28"/>
        </w:rPr>
        <w:t>未涵盖</w:t>
      </w:r>
      <w:r>
        <w:rPr>
          <w:rFonts w:hint="eastAsia" w:ascii="仿宋_GB2312" w:hAnsi="宋体" w:eastAsia="仿宋_GB2312" w:cs="Arial"/>
          <w:bCs/>
          <w:sz w:val="28"/>
          <w:szCs w:val="28"/>
        </w:rPr>
        <w:t>不足之处或者未能达到国家最新标准的时候，中标人提供的设备和材料符合最新版本的国家的标准、规范，并提供采用的国家标准、规范以及所采用的版本的有关技术资料。</w:t>
      </w:r>
    </w:p>
    <w:p>
      <w:pPr>
        <w:numPr>
          <w:ilvl w:val="3"/>
          <w:numId w:val="2"/>
        </w:numPr>
        <w:spacing w:before="0" w:beforeLines="0" w:after="0" w:afterLines="0" w:line="560" w:lineRule="exact"/>
        <w:ind w:left="0" w:firstLine="0"/>
        <w:jc w:val="both"/>
        <w:outlineLvl w:val="3"/>
        <w:rPr>
          <w:rFonts w:ascii="楷体" w:hAnsi="楷体" w:eastAsia="仿宋" w:cs="Times New Roman"/>
          <w:b/>
          <w:kern w:val="2"/>
          <w:sz w:val="28"/>
          <w:szCs w:val="20"/>
          <w:lang w:val="en-US" w:eastAsia="zh-CN" w:bidi="ar-SA"/>
        </w:rPr>
      </w:pPr>
      <w:bookmarkStart w:id="656" w:name="_Toc415572784"/>
      <w:r>
        <w:rPr>
          <w:rFonts w:hint="eastAsia" w:ascii="楷体" w:hAnsi="楷体" w:eastAsia="仿宋" w:cs="Times New Roman"/>
          <w:b/>
          <w:kern w:val="2"/>
          <w:sz w:val="28"/>
          <w:szCs w:val="20"/>
          <w:lang w:val="en-US" w:eastAsia="zh-CN" w:bidi="ar-SA"/>
        </w:rPr>
        <w:t>技术</w:t>
      </w:r>
      <w:bookmarkEnd w:id="656"/>
      <w:r>
        <w:rPr>
          <w:rFonts w:hint="eastAsia" w:ascii="楷体" w:hAnsi="楷体" w:eastAsia="仿宋" w:cs="Times New Roman"/>
          <w:b/>
          <w:kern w:val="2"/>
          <w:sz w:val="28"/>
          <w:szCs w:val="20"/>
          <w:lang w:val="en-US" w:eastAsia="zh-CN" w:bidi="ar-SA"/>
        </w:rPr>
        <w:t>要求</w:t>
      </w:r>
      <w:bookmarkStart w:id="657" w:name="_Toc18681809"/>
      <w:bookmarkEnd w:id="657"/>
      <w:bookmarkStart w:id="658" w:name="_Toc4424198"/>
      <w:bookmarkEnd w:id="658"/>
      <w:bookmarkStart w:id="659" w:name="_Toc18691573"/>
      <w:bookmarkEnd w:id="659"/>
      <w:bookmarkStart w:id="660" w:name="_Toc18917908"/>
      <w:bookmarkEnd w:id="660"/>
      <w:bookmarkStart w:id="661" w:name="_Toc18578971"/>
      <w:bookmarkEnd w:id="661"/>
      <w:bookmarkStart w:id="662" w:name="_Toc14507618"/>
      <w:bookmarkEnd w:id="662"/>
      <w:bookmarkStart w:id="663" w:name="_Toc18578466"/>
      <w:bookmarkEnd w:id="663"/>
      <w:bookmarkStart w:id="664" w:name="_Toc14507494"/>
      <w:bookmarkEnd w:id="664"/>
      <w:bookmarkStart w:id="665" w:name="_Toc18597175"/>
      <w:bookmarkEnd w:id="665"/>
      <w:bookmarkStart w:id="666" w:name="_Toc11857062"/>
      <w:bookmarkEnd w:id="666"/>
      <w:bookmarkStart w:id="667" w:name="_Toc20471554"/>
      <w:bookmarkEnd w:id="667"/>
      <w:bookmarkStart w:id="668" w:name="_Toc20491808"/>
      <w:bookmarkEnd w:id="668"/>
      <w:bookmarkStart w:id="669" w:name="_Toc20489371"/>
      <w:bookmarkEnd w:id="669"/>
      <w:bookmarkStart w:id="670" w:name="_Toc20483793"/>
      <w:bookmarkEnd w:id="670"/>
      <w:bookmarkStart w:id="671" w:name="_Toc18596790"/>
      <w:bookmarkEnd w:id="671"/>
      <w:bookmarkStart w:id="672" w:name="_Toc20728494"/>
      <w:bookmarkEnd w:id="672"/>
      <w:bookmarkStart w:id="673" w:name="_Toc19387349"/>
      <w:bookmarkEnd w:id="673"/>
      <w:bookmarkStart w:id="674" w:name="_Toc18599457"/>
      <w:bookmarkEnd w:id="674"/>
      <w:bookmarkStart w:id="675" w:name="_Toc18598745"/>
      <w:bookmarkEnd w:id="675"/>
      <w:bookmarkStart w:id="676" w:name="_Toc18921066"/>
      <w:bookmarkEnd w:id="676"/>
      <w:bookmarkStart w:id="677" w:name="_Toc18917519"/>
      <w:bookmarkEnd w:id="677"/>
      <w:bookmarkStart w:id="678" w:name="_Toc16927118"/>
      <w:bookmarkEnd w:id="678"/>
      <w:bookmarkStart w:id="679" w:name="_Toc18597935"/>
      <w:bookmarkEnd w:id="679"/>
      <w:bookmarkStart w:id="680" w:name="_Toc25651143"/>
      <w:bookmarkEnd w:id="680"/>
      <w:bookmarkStart w:id="681" w:name="_Toc18595509"/>
      <w:bookmarkEnd w:id="681"/>
      <w:bookmarkStart w:id="682" w:name="_Toc14507739"/>
      <w:bookmarkEnd w:id="682"/>
      <w:bookmarkStart w:id="683" w:name="_Toc18598318"/>
      <w:bookmarkEnd w:id="683"/>
      <w:bookmarkStart w:id="684" w:name="_Toc18517421"/>
      <w:bookmarkEnd w:id="684"/>
      <w:bookmarkStart w:id="685" w:name="_Toc18578804"/>
      <w:bookmarkEnd w:id="685"/>
      <w:bookmarkStart w:id="686" w:name="_Toc18597557"/>
      <w:bookmarkEnd w:id="686"/>
      <w:bookmarkStart w:id="687" w:name="_Toc18579206"/>
      <w:bookmarkEnd w:id="687"/>
      <w:bookmarkStart w:id="688" w:name="_Toc20146907"/>
      <w:bookmarkEnd w:id="688"/>
      <w:bookmarkStart w:id="689" w:name="_Toc18691182"/>
      <w:bookmarkEnd w:id="689"/>
      <w:bookmarkStart w:id="690" w:name="_Toc18920677"/>
      <w:bookmarkEnd w:id="690"/>
      <w:bookmarkStart w:id="691" w:name="_Toc18517165"/>
      <w:bookmarkEnd w:id="691"/>
      <w:bookmarkStart w:id="692" w:name="_Toc238223540"/>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2787"/>
        <w:gridCol w:w="789"/>
        <w:gridCol w:w="3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noWrap w:val="0"/>
            <w:vAlign w:val="top"/>
          </w:tcPr>
          <w:p>
            <w:pPr>
              <w:widowControl/>
              <w:spacing w:line="660" w:lineRule="exact"/>
              <w:jc w:val="center"/>
              <w:textAlignment w:val="center"/>
              <w:rPr>
                <w:rFonts w:ascii="仿宋_GB2312" w:hAnsi="宋体" w:eastAsia="仿宋_GB2312" w:cs="Times New Roman"/>
                <w:bCs/>
                <w:color w:val="000000"/>
                <w:sz w:val="28"/>
                <w:szCs w:val="28"/>
              </w:rPr>
            </w:pPr>
            <w:bookmarkStart w:id="693" w:name="_Hlk25761846"/>
            <w:r>
              <w:rPr>
                <w:rFonts w:hint="eastAsia" w:ascii="仿宋_GB2312" w:hAnsi="宋体" w:eastAsia="仿宋_GB2312" w:cs="Times New Roman"/>
                <w:bCs/>
                <w:color w:val="000000"/>
                <w:sz w:val="28"/>
                <w:szCs w:val="28"/>
              </w:rPr>
              <w:t>项目</w:t>
            </w:r>
          </w:p>
        </w:tc>
        <w:tc>
          <w:tcPr>
            <w:tcW w:w="7444" w:type="dxa"/>
            <w:gridSpan w:val="3"/>
            <w:noWrap w:val="0"/>
            <w:vAlign w:val="top"/>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noWrap w:val="0"/>
            <w:vAlign w:val="top"/>
          </w:tcPr>
          <w:p>
            <w:pPr>
              <w:widowControl/>
              <w:numPr>
                <w:ilvl w:val="0"/>
                <w:numId w:val="151"/>
              </w:numPr>
              <w:spacing w:line="660" w:lineRule="exact"/>
              <w:ind w:left="420" w:hanging="420"/>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UPS系统主要要求</w:t>
            </w:r>
          </w:p>
        </w:tc>
        <w:tc>
          <w:tcPr>
            <w:tcW w:w="7444" w:type="dxa"/>
            <w:gridSpan w:val="3"/>
            <w:noWrap w:val="0"/>
            <w:vAlign w:val="top"/>
          </w:tcPr>
          <w:p>
            <w:pPr>
              <w:spacing w:line="660" w:lineRule="exact"/>
              <w:ind w:firstLine="560" w:firstLineChars="200"/>
              <w:jc w:val="left"/>
              <w:textAlignment w:val="center"/>
              <w:rPr>
                <w:rFonts w:ascii="仿宋_GB2312" w:hAnsi="宋体" w:eastAsia="仿宋_GB2312" w:cs="Times New Roman"/>
                <w:bCs/>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采用AC-DC-AC双变结构，具有稳压、稳频功能。市电正常及</w:t>
            </w:r>
            <w:r>
              <w:rPr>
                <w:rFonts w:hint="eastAsia" w:ascii="仿宋_GB2312" w:hAnsi="宋体" w:eastAsia="仿宋_GB2312" w:cs="Times New Roman"/>
                <w:bCs/>
                <w:kern w:val="0"/>
                <w:sz w:val="28"/>
                <w:szCs w:val="28"/>
                <w:lang w:val="en-US" w:eastAsia="zh-CN" w:bidi="ar-SA"/>
              </w:rPr>
              <w:t>电池状态时，逆变器均能为负载提供100%的能量。</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kern w:val="0"/>
                <w:sz w:val="28"/>
                <w:szCs w:val="28"/>
                <w:lang w:val="en-US" w:eastAsia="zh-CN" w:bidi="ar-SA"/>
              </w:rPr>
              <w:t>主机内须配置主路输入开关、维护旁路输入开关、静态旁路输入开关、系统输出开关，开关类型必须采用断路器或(负荷)隔离开关，禁止用接触器替代。支持主旁不同源双路供电模式，系统</w:t>
            </w:r>
            <w:r>
              <w:rPr>
                <w:rFonts w:hint="eastAsia" w:ascii="仿宋_GB2312" w:hAnsi="宋体" w:eastAsia="仿宋_GB2312" w:cs="Times New Roman"/>
                <w:bCs/>
                <w:color w:val="000000"/>
                <w:kern w:val="0"/>
                <w:sz w:val="28"/>
                <w:szCs w:val="28"/>
                <w:lang w:val="en-US" w:eastAsia="zh-CN" w:bidi="ar-SA"/>
              </w:rPr>
              <w:t>需实现双总线同步控制功能。</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UPS包含有全功率整流器和逆变器的在线式双变换UPS，内部采用一体式模组化设计方案，包括静态旁路模块、升压器模块和逆变器/整流器功率模块等，输出三相功率模块均为非并联的独立模组，内部无需多个功率模块并联，杜绝产生内部并联环流，不支持功率模块热插拔的模块化UPS。</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UPS工作正常时，负载100%由逆变器供电。功率元件采用大功率IGBT管。不接受可控硅整流。</w:t>
            </w:r>
          </w:p>
          <w:p>
            <w:pPr>
              <w:spacing w:line="660" w:lineRule="exact"/>
              <w:ind w:firstLine="560" w:firstLineChars="200"/>
              <w:jc w:val="left"/>
              <w:textAlignment w:val="center"/>
              <w:rPr>
                <w:rFonts w:hint="eastAsia"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UPS系统具有良好的高频滤波、抗干扰、抗浪涌、防雷击等保护功能和相应的配置，避免普通市电电源存在的停电、过压/欠压、频率突变、高能瞬态浪涌、各种电磁干扰等电源问题而造成UPS输出电源质量降低以及UPS本身的工作异常、故障损坏。</w:t>
            </w:r>
          </w:p>
          <w:p>
            <w:pPr>
              <w:spacing w:line="660" w:lineRule="exact"/>
              <w:ind w:firstLine="560" w:firstLineChars="200"/>
              <w:jc w:val="left"/>
              <w:textAlignment w:val="center"/>
              <w:rPr>
                <w:rFonts w:hint="eastAsia"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电池配置只数灵活可调，便于电池故障维修、利旧。投标人需明确给出电池配置调节范围。</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UPS系统控制系统应采用先进数字控制技术，集成度高，采用多微处理器和多总线分布式控制技术相结合的数字电路，减少电路板和连接部件的数量，减少故障率。整机内部不允许有电位器，以防止模拟参数的漂移等缺陷。</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UPS主机原厂内置C级防雷器。</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UPS尺寸不小于9英寸 LCD中文显示屏，显示内容至少应包含：输入输出电压，频率，电池电压，负载百分比，机内温度。</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UPS采用全数字控制技术，整流逆变控制均采用全数字化控制方式，且整流和逆变均采用IGBT高频变换技术，具有高可靠性。</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UPS内部设计应为模块化结构，便于维修、养护。MTTR平均修复时间应小于1小时。</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每台单机整流方式：IGBT整流器，整流器须按照蓄电池容量和要求进行设计、配置。整流器的过欠压、过流设置必须满足蓄电池的要求，对蓄电池要有智能化的电池管理，防止对电池造成过充电。</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系统单机应配置中或英文液晶显示界面，人性化的人机操作界面，多种语言可选，使</w:t>
            </w:r>
            <w:r>
              <w:rPr>
                <w:rFonts w:ascii="仿宋_GB2312" w:hAnsi="宋体" w:eastAsia="仿宋_GB2312" w:cs="Times New Roman"/>
                <w:bCs/>
                <w:color w:val="000000"/>
                <w:kern w:val="0"/>
                <w:sz w:val="28"/>
                <w:szCs w:val="28"/>
                <w:lang w:val="en-US" w:eastAsia="zh-CN" w:bidi="ar-SA"/>
              </w:rPr>
              <w:t>招标人</w:t>
            </w:r>
            <w:r>
              <w:rPr>
                <w:rFonts w:hint="eastAsia" w:ascii="仿宋_GB2312" w:hAnsi="宋体" w:eastAsia="仿宋_GB2312" w:cs="Times New Roman"/>
                <w:bCs/>
                <w:color w:val="000000"/>
                <w:kern w:val="0"/>
                <w:sz w:val="28"/>
                <w:szCs w:val="28"/>
                <w:lang w:val="en-US" w:eastAsia="zh-CN" w:bidi="ar-SA"/>
              </w:rPr>
              <w:t>能很方便地对UPS进行操作并对运行状态进行监控，主要用于显示UPS的各运行参数和报警状态参数，操作显示系统为中文界面屏。</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建议UPS本身要具备自测功能，以满足现场在没有假负载的情况下来完成测试的需求</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系统具有自诊断及自检测功能。</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具备TLC认证证书及检测报告。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restart"/>
            <w:noWrap w:val="0"/>
            <w:vAlign w:val="top"/>
          </w:tcPr>
          <w:p>
            <w:pPr>
              <w:widowControl/>
              <w:numPr>
                <w:ilvl w:val="0"/>
                <w:numId w:val="151"/>
              </w:numPr>
              <w:spacing w:line="660" w:lineRule="exact"/>
              <w:ind w:left="420" w:hanging="420"/>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环境条件</w:t>
            </w:r>
          </w:p>
        </w:tc>
        <w:tc>
          <w:tcPr>
            <w:tcW w:w="2787" w:type="dxa"/>
            <w:noWrap w:val="0"/>
            <w:vAlign w:val="top"/>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温度</w:t>
            </w:r>
          </w:p>
        </w:tc>
        <w:tc>
          <w:tcPr>
            <w:tcW w:w="4657" w:type="dxa"/>
            <w:gridSpan w:val="2"/>
            <w:noWrap w:val="0"/>
            <w:vAlign w:val="top"/>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工作温度：0℃～+40℃；贮存温度：-25～+55℃(不含电池)。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top"/>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相对湿度</w:t>
            </w:r>
          </w:p>
        </w:tc>
        <w:tc>
          <w:tcPr>
            <w:tcW w:w="4657" w:type="dxa"/>
            <w:gridSpan w:val="2"/>
            <w:noWrap w:val="0"/>
            <w:vAlign w:val="top"/>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工作相对湿度：0～95%（无凝露）； 贮存相对湿度：0～95%℃。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top"/>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大气压力</w:t>
            </w:r>
          </w:p>
        </w:tc>
        <w:tc>
          <w:tcPr>
            <w:tcW w:w="4657" w:type="dxa"/>
            <w:gridSpan w:val="2"/>
            <w:noWrap w:val="0"/>
            <w:vAlign w:val="top"/>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海拔高度：0～1000米，输出满载无降额连续运行；若超过1000m时应按GB/T 3859.2的规定降容使用。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restart"/>
            <w:noWrap w:val="0"/>
            <w:vAlign w:val="top"/>
          </w:tcPr>
          <w:p>
            <w:pPr>
              <w:widowControl/>
              <w:numPr>
                <w:ilvl w:val="0"/>
                <w:numId w:val="151"/>
              </w:numPr>
              <w:spacing w:line="660" w:lineRule="exact"/>
              <w:ind w:left="420" w:hanging="420"/>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设备电气性能</w:t>
            </w:r>
          </w:p>
        </w:tc>
        <w:tc>
          <w:tcPr>
            <w:tcW w:w="7444" w:type="dxa"/>
            <w:gridSpan w:val="3"/>
            <w:noWrap w:val="0"/>
            <w:vAlign w:val="top"/>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整机特性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top"/>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容量</w:t>
            </w:r>
          </w:p>
        </w:tc>
        <w:tc>
          <w:tcPr>
            <w:tcW w:w="4657" w:type="dxa"/>
            <w:gridSpan w:val="2"/>
            <w:noWrap w:val="0"/>
            <w:vAlign w:val="top"/>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FF"/>
                <w:sz w:val="28"/>
                <w:szCs w:val="28"/>
              </w:rPr>
              <w:t>200KVA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7444" w:type="dxa"/>
            <w:gridSpan w:val="3"/>
            <w:noWrap w:val="0"/>
            <w:vAlign w:val="top"/>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输入特性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额定输入电压</w:t>
            </w:r>
          </w:p>
        </w:tc>
        <w:tc>
          <w:tcPr>
            <w:tcW w:w="4657" w:type="dxa"/>
            <w:gridSpan w:val="2"/>
            <w:noWrap w:val="0"/>
            <w:vAlign w:val="center"/>
          </w:tcPr>
          <w:p>
            <w:pPr>
              <w:widowControl/>
              <w:spacing w:line="660" w:lineRule="exact"/>
              <w:jc w:val="center"/>
              <w:textAlignment w:val="center"/>
              <w:rPr>
                <w:rFonts w:ascii="仿宋_GB2312" w:hAnsi="宋体" w:eastAsia="仿宋_GB2312" w:cs="Times New Roman"/>
                <w:bCs/>
                <w:sz w:val="28"/>
                <w:szCs w:val="28"/>
              </w:rPr>
            </w:pPr>
            <w:r>
              <w:rPr>
                <w:rFonts w:ascii="仿宋_GB2312" w:hAnsi="宋体" w:eastAsia="仿宋_GB2312" w:cs="Arial"/>
                <w:bCs/>
                <w:sz w:val="22"/>
                <w:szCs w:val="28"/>
              </w:rPr>
              <w:t>380V</w:t>
            </w:r>
            <w:r>
              <w:rPr>
                <w:rFonts w:hint="eastAsia" w:ascii="仿宋_GB2312" w:hAnsi="宋体" w:eastAsia="仿宋_GB2312" w:cs="Arial"/>
                <w:bCs/>
                <w:sz w:val="22"/>
                <w:szCs w:val="28"/>
              </w:rPr>
              <w:t>AC</w:t>
            </w:r>
            <w:r>
              <w:rPr>
                <w:rFonts w:ascii="仿宋_GB2312" w:hAnsi="宋体" w:eastAsia="仿宋_GB2312" w:cs="Arial"/>
                <w:bCs/>
                <w:sz w:val="22"/>
                <w:szCs w:val="28"/>
              </w:rPr>
              <w:t xml:space="preserve"> </w:t>
            </w:r>
            <w:r>
              <w:rPr>
                <w:rFonts w:hint="eastAsia" w:ascii="仿宋_GB2312" w:hAnsi="宋体" w:eastAsia="仿宋_GB2312" w:cs="Arial"/>
                <w:bCs/>
                <w:sz w:val="22"/>
                <w:szCs w:val="28"/>
              </w:rPr>
              <w:t>±15</w:t>
            </w:r>
            <w:r>
              <w:rPr>
                <w:rFonts w:ascii="仿宋_GB2312" w:hAnsi="宋体" w:eastAsia="仿宋_GB2312" w:cs="Arial"/>
                <w:bCs/>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额定输入电压范围</w:t>
            </w:r>
          </w:p>
        </w:tc>
        <w:tc>
          <w:tcPr>
            <w:tcW w:w="4657" w:type="dxa"/>
            <w:gridSpan w:val="2"/>
            <w:noWrap w:val="0"/>
            <w:vAlign w:val="center"/>
          </w:tcPr>
          <w:p>
            <w:pPr>
              <w:widowControl/>
              <w:spacing w:line="660" w:lineRule="exact"/>
              <w:jc w:val="center"/>
              <w:textAlignment w:val="center"/>
              <w:rPr>
                <w:rFonts w:ascii="仿宋_GB2312" w:hAnsi="宋体" w:eastAsia="仿宋_GB2312" w:cs="Times New Roman"/>
                <w:bCs/>
                <w:sz w:val="28"/>
                <w:szCs w:val="28"/>
              </w:rPr>
            </w:pPr>
            <w:r>
              <w:rPr>
                <w:rFonts w:ascii="仿宋_GB2312" w:hAnsi="宋体" w:eastAsia="仿宋_GB2312" w:cs="Arial"/>
                <w:bCs/>
                <w:sz w:val="22"/>
                <w:szCs w:val="28"/>
              </w:rPr>
              <w:t>230</w:t>
            </w:r>
            <w:r>
              <w:rPr>
                <w:rFonts w:hint="eastAsia" w:ascii="仿宋_GB2312" w:hAnsi="宋体" w:eastAsia="仿宋_GB2312" w:cs="Arial"/>
                <w:bCs/>
                <w:sz w:val="22"/>
                <w:szCs w:val="28"/>
              </w:rPr>
              <w:t>～</w:t>
            </w:r>
            <w:r>
              <w:rPr>
                <w:rFonts w:ascii="仿宋_GB2312" w:hAnsi="宋体" w:eastAsia="仿宋_GB2312" w:cs="Arial"/>
                <w:bCs/>
                <w:sz w:val="22"/>
                <w:szCs w:val="28"/>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额定工作频率</w:t>
            </w:r>
          </w:p>
        </w:tc>
        <w:tc>
          <w:tcPr>
            <w:tcW w:w="4657" w:type="dxa"/>
            <w:gridSpan w:val="2"/>
            <w:noWrap w:val="0"/>
            <w:vAlign w:val="center"/>
          </w:tcPr>
          <w:p>
            <w:pPr>
              <w:widowControl/>
              <w:spacing w:line="660" w:lineRule="exact"/>
              <w:jc w:val="center"/>
              <w:textAlignment w:val="center"/>
              <w:rPr>
                <w:rFonts w:ascii="仿宋_GB2312" w:hAnsi="宋体" w:eastAsia="仿宋_GB2312" w:cs="Times New Roman"/>
                <w:bCs/>
                <w:sz w:val="28"/>
                <w:szCs w:val="28"/>
              </w:rPr>
            </w:pPr>
            <w:r>
              <w:rPr>
                <w:rFonts w:ascii="仿宋_GB2312" w:hAnsi="宋体" w:eastAsia="仿宋_GB2312" w:cs="Arial"/>
                <w:bCs/>
                <w:sz w:val="22"/>
                <w:szCs w:val="28"/>
              </w:rPr>
              <w:t>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输入频率范围</w:t>
            </w:r>
          </w:p>
        </w:tc>
        <w:tc>
          <w:tcPr>
            <w:tcW w:w="4657" w:type="dxa"/>
            <w:gridSpan w:val="2"/>
            <w:noWrap w:val="0"/>
            <w:vAlign w:val="center"/>
          </w:tcPr>
          <w:p>
            <w:pPr>
              <w:widowControl/>
              <w:spacing w:line="660" w:lineRule="exact"/>
              <w:jc w:val="center"/>
              <w:textAlignment w:val="center"/>
              <w:rPr>
                <w:rFonts w:ascii="仿宋_GB2312" w:hAnsi="宋体" w:eastAsia="仿宋_GB2312" w:cs="Times New Roman"/>
                <w:bCs/>
                <w:sz w:val="28"/>
                <w:szCs w:val="28"/>
              </w:rPr>
            </w:pPr>
            <w:r>
              <w:rPr>
                <w:rFonts w:ascii="仿宋_GB2312" w:hAnsi="宋体" w:eastAsia="仿宋_GB2312" w:cs="Times New Roman"/>
                <w:bCs/>
                <w:sz w:val="28"/>
                <w:szCs w:val="28"/>
              </w:rPr>
              <w:t>50</w:t>
            </w:r>
            <w:r>
              <w:rPr>
                <w:rFonts w:hint="eastAsia" w:ascii="仿宋_GB2312" w:hAnsi="宋体" w:eastAsia="仿宋_GB2312" w:cs="Times New Roman"/>
                <w:bCs/>
                <w:sz w:val="28"/>
                <w:szCs w:val="28"/>
              </w:rPr>
              <w:t>±10</w:t>
            </w:r>
            <w:r>
              <w:rPr>
                <w:rFonts w:ascii="仿宋_GB2312" w:hAnsi="宋体" w:eastAsia="仿宋_GB2312"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输入功率因数</w:t>
            </w:r>
          </w:p>
        </w:tc>
        <w:tc>
          <w:tcPr>
            <w:tcW w:w="4657" w:type="dxa"/>
            <w:gridSpan w:val="2"/>
            <w:noWrap w:val="0"/>
            <w:vAlign w:val="center"/>
          </w:tcPr>
          <w:p>
            <w:pPr>
              <w:spacing w:line="660" w:lineRule="exact"/>
              <w:jc w:val="center"/>
              <w:textAlignment w:val="center"/>
              <w:rPr>
                <w:rFonts w:hint="eastAsia"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≥0.9</w:t>
            </w:r>
            <w:r>
              <w:rPr>
                <w:rFonts w:ascii="仿宋_GB2312" w:hAnsi="宋体" w:eastAsia="仿宋_GB2312" w:cs="Times New Roman"/>
                <w:bCs/>
                <w:color w:val="000000"/>
                <w:kern w:val="0"/>
                <w:sz w:val="28"/>
                <w:szCs w:val="28"/>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噪音（设备外距离1米处）</w:t>
            </w:r>
          </w:p>
        </w:tc>
        <w:tc>
          <w:tcPr>
            <w:tcW w:w="4657" w:type="dxa"/>
            <w:gridSpan w:val="2"/>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&lt;75dba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输入电流谐波（THD）满负载</w:t>
            </w:r>
          </w:p>
        </w:tc>
        <w:tc>
          <w:tcPr>
            <w:tcW w:w="4657" w:type="dxa"/>
            <w:gridSpan w:val="2"/>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输入功率缓启动功能</w:t>
            </w:r>
          </w:p>
        </w:tc>
        <w:tc>
          <w:tcPr>
            <w:tcW w:w="4657" w:type="dxa"/>
            <w:gridSpan w:val="2"/>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0％至100％负载，5～10秒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7444" w:type="dxa"/>
            <w:gridSpan w:val="3"/>
            <w:noWrap w:val="0"/>
            <w:vAlign w:val="top"/>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输出及旁路特性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输出电压</w:t>
            </w:r>
          </w:p>
        </w:tc>
        <w:tc>
          <w:tcPr>
            <w:tcW w:w="4657" w:type="dxa"/>
            <w:gridSpan w:val="2"/>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380VAC,三相四线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输出电压稳压精度</w:t>
            </w:r>
          </w:p>
        </w:tc>
        <w:tc>
          <w:tcPr>
            <w:tcW w:w="4657" w:type="dxa"/>
            <w:gridSpan w:val="2"/>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w:t>
            </w:r>
            <w:r>
              <w:rPr>
                <w:rFonts w:ascii="仿宋_GB2312" w:hAnsi="宋体" w:eastAsia="仿宋_GB2312" w:cs="Times New Roman"/>
                <w:bCs/>
                <w:color w:val="000000"/>
                <w:sz w:val="28"/>
                <w:szCs w:val="28"/>
              </w:rPr>
              <w:t>1</w:t>
            </w:r>
            <w:r>
              <w:rPr>
                <w:rFonts w:hint="eastAsia" w:ascii="仿宋_GB2312" w:hAnsi="宋体" w:eastAsia="仿宋_GB2312" w:cs="Times New Roman"/>
                <w:bCs/>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输出功率因数</w:t>
            </w:r>
          </w:p>
        </w:tc>
        <w:tc>
          <w:tcPr>
            <w:tcW w:w="4657" w:type="dxa"/>
            <w:gridSpan w:val="2"/>
            <w:noWrap w:val="0"/>
            <w:vAlign w:val="center"/>
          </w:tcPr>
          <w:p>
            <w:pPr>
              <w:widowControl/>
              <w:spacing w:line="660" w:lineRule="exact"/>
              <w:jc w:val="center"/>
              <w:textAlignment w:val="center"/>
              <w:rPr>
                <w:rFonts w:ascii="仿宋_GB2312" w:hAnsi="宋体" w:eastAsia="仿宋_GB2312" w:cs="Times New Roman"/>
                <w:bCs/>
                <w:sz w:val="28"/>
                <w:szCs w:val="28"/>
              </w:rPr>
            </w:pPr>
            <w:r>
              <w:rPr>
                <w:rFonts w:hint="eastAsia" w:ascii="仿宋_GB2312" w:hAnsi="宋体" w:eastAsia="仿宋_GB2312" w:cs="Times New Roman"/>
                <w:bCs/>
                <w:sz w:val="22"/>
                <w:szCs w:val="28"/>
              </w:rPr>
              <w:t>为1；（应能够同时提供投标设备彩页）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逆变器过载能力</w:t>
            </w:r>
          </w:p>
        </w:tc>
        <w:tc>
          <w:tcPr>
            <w:tcW w:w="4657" w:type="dxa"/>
            <w:gridSpan w:val="2"/>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功率因数0.9时： 125％ 10分钟;150％ 至少30秒。</w:t>
            </w:r>
            <w:r>
              <w:rPr>
                <w:rFonts w:hint="eastAsia" w:ascii="仿宋_GB2312" w:hAnsi="宋体" w:eastAsia="仿宋_GB2312" w:cs="Times New Roman"/>
                <w:bCs/>
                <w:sz w:val="28"/>
                <w:szCs w:val="28"/>
              </w:rPr>
              <w:t>应能够提供彩页</w:t>
            </w:r>
            <w:r>
              <w:rPr>
                <w:rFonts w:ascii="仿宋_GB2312" w:hAnsi="宋体" w:eastAsia="仿宋_GB2312" w:cs="Times New Roman"/>
                <w:bCs/>
                <w:sz w:val="28"/>
                <w:szCs w:val="28"/>
              </w:rPr>
              <w:t>或</w:t>
            </w:r>
            <w:r>
              <w:rPr>
                <w:rFonts w:hint="eastAsia" w:ascii="仿宋_GB2312" w:hAnsi="宋体" w:eastAsia="仿宋_GB2312" w:cs="Times New Roman"/>
                <w:bCs/>
                <w:sz w:val="28"/>
                <w:szCs w:val="28"/>
              </w:rPr>
              <w:t>相应的证明资料作为依据。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短路保护</w:t>
            </w:r>
          </w:p>
        </w:tc>
        <w:tc>
          <w:tcPr>
            <w:tcW w:w="4657" w:type="dxa"/>
            <w:gridSpan w:val="2"/>
            <w:noWrap w:val="0"/>
            <w:vAlign w:val="center"/>
          </w:tcPr>
          <w:p>
            <w:pPr>
              <w:widowControl/>
              <w:spacing w:line="360" w:lineRule="auto"/>
              <w:jc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逆变器：&gt;2.2倍额定电流，100ms内自动停止。</w:t>
            </w:r>
          </w:p>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静态旁路：&gt;10倍额定电流，20ms内高速熔断。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输出频率</w:t>
            </w:r>
          </w:p>
        </w:tc>
        <w:tc>
          <w:tcPr>
            <w:tcW w:w="4657" w:type="dxa"/>
            <w:gridSpan w:val="2"/>
            <w:noWrap w:val="0"/>
            <w:vAlign w:val="center"/>
          </w:tcPr>
          <w:p>
            <w:pPr>
              <w:widowControl/>
              <w:spacing w:line="660" w:lineRule="exact"/>
              <w:jc w:val="center"/>
              <w:textAlignment w:val="center"/>
              <w:rPr>
                <w:rFonts w:ascii="仿宋_GB2312" w:hAnsi="宋体" w:eastAsia="仿宋_GB2312" w:cs="Times New Roman"/>
                <w:bCs/>
                <w:color w:val="FF0000"/>
                <w:sz w:val="28"/>
                <w:szCs w:val="28"/>
              </w:rPr>
            </w:pPr>
            <w:r>
              <w:rPr>
                <w:rFonts w:ascii="仿宋_GB2312" w:hAnsi="宋体" w:eastAsia="仿宋_GB2312" w:cs="Times New Roman"/>
                <w:bCs/>
                <w:sz w:val="22"/>
                <w:szCs w:val="28"/>
              </w:rPr>
              <w:t>50/60</w:t>
            </w:r>
            <w:r>
              <w:rPr>
                <w:rFonts w:hint="eastAsia" w:ascii="仿宋_GB2312" w:hAnsi="宋体" w:eastAsia="仿宋_GB2312" w:cs="Times New Roman"/>
                <w:bCs/>
                <w:sz w:val="22"/>
                <w:szCs w:val="28"/>
              </w:rPr>
              <w:t xml:space="preserve"> </w:t>
            </w:r>
            <w:r>
              <w:rPr>
                <w:rFonts w:ascii="仿宋_GB2312" w:hAnsi="宋体" w:eastAsia="仿宋_GB2312" w:cs="Times New Roman"/>
                <w:bCs/>
                <w:sz w:val="22"/>
                <w:szCs w:val="28"/>
              </w:rPr>
              <w:t>/</w:t>
            </w:r>
            <w:r>
              <w:rPr>
                <w:rFonts w:hint="eastAsia" w:ascii="仿宋_GB2312" w:hAnsi="宋体" w:eastAsia="仿宋_GB2312" w:cs="Times New Roman"/>
                <w:bCs/>
                <w:sz w:val="22"/>
                <w:szCs w:val="2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7444" w:type="dxa"/>
            <w:gridSpan w:val="3"/>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电压稳定性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3576" w:type="dxa"/>
            <w:gridSpan w:val="2"/>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输出电压不平衡度</w:t>
            </w:r>
          </w:p>
        </w:tc>
        <w:tc>
          <w:tcPr>
            <w:tcW w:w="3868"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3576" w:type="dxa"/>
            <w:gridSpan w:val="2"/>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动态电压瞬变范围</w:t>
            </w:r>
          </w:p>
        </w:tc>
        <w:tc>
          <w:tcPr>
            <w:tcW w:w="3868"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3576" w:type="dxa"/>
            <w:gridSpan w:val="2"/>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电压瞬变恢复时间</w:t>
            </w:r>
          </w:p>
        </w:tc>
        <w:tc>
          <w:tcPr>
            <w:tcW w:w="3868"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7444" w:type="dxa"/>
            <w:gridSpan w:val="3"/>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转换时间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3576" w:type="dxa"/>
            <w:gridSpan w:val="2"/>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市电与电池转换时间</w:t>
            </w:r>
          </w:p>
        </w:tc>
        <w:tc>
          <w:tcPr>
            <w:tcW w:w="3868"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0</w:t>
            </w:r>
            <w:r>
              <w:rPr>
                <w:rFonts w:ascii="仿宋_GB2312" w:hAnsi="宋体" w:eastAsia="仿宋_GB2312" w:cs="Times New Roman"/>
                <w:bCs/>
                <w:color w:val="000000"/>
                <w:sz w:val="28"/>
                <w:szCs w:val="28"/>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3576" w:type="dxa"/>
            <w:gridSpan w:val="2"/>
            <w:noWrap w:val="0"/>
            <w:vAlign w:val="center"/>
          </w:tcPr>
          <w:p>
            <w:pPr>
              <w:widowControl/>
              <w:spacing w:line="660" w:lineRule="exact"/>
              <w:jc w:val="center"/>
              <w:textAlignment w:val="center"/>
              <w:rPr>
                <w:rFonts w:ascii="仿宋_GB2312" w:hAnsi="宋体" w:eastAsia="仿宋_GB2312" w:cs="Times New Roman"/>
                <w:bCs/>
                <w:sz w:val="28"/>
                <w:szCs w:val="28"/>
              </w:rPr>
            </w:pPr>
            <w:r>
              <w:rPr>
                <w:rFonts w:hint="eastAsia" w:ascii="仿宋_GB2312" w:hAnsi="宋体" w:eastAsia="仿宋_GB2312" w:cs="Times New Roman"/>
                <w:bCs/>
                <w:sz w:val="28"/>
                <w:szCs w:val="28"/>
              </w:rPr>
              <w:t>旁路逆变转换时间</w:t>
            </w:r>
          </w:p>
        </w:tc>
        <w:tc>
          <w:tcPr>
            <w:tcW w:w="3868" w:type="dxa"/>
            <w:noWrap w:val="0"/>
            <w:vAlign w:val="center"/>
          </w:tcPr>
          <w:p>
            <w:pPr>
              <w:widowControl/>
              <w:spacing w:line="660" w:lineRule="exact"/>
              <w:jc w:val="center"/>
              <w:textAlignment w:val="center"/>
              <w:rPr>
                <w:rFonts w:ascii="仿宋_GB2312" w:hAnsi="宋体" w:eastAsia="仿宋_GB2312" w:cs="Times New Roman"/>
                <w:bCs/>
                <w:sz w:val="28"/>
                <w:szCs w:val="28"/>
              </w:rPr>
            </w:pPr>
            <w:r>
              <w:rPr>
                <w:rFonts w:hint="eastAsia" w:ascii="仿宋_GB2312" w:hAnsi="宋体" w:eastAsia="仿宋_GB2312" w:cs="Times New Roman"/>
                <w:bCs/>
                <w:sz w:val="28"/>
                <w:szCs w:val="28"/>
              </w:rPr>
              <w:t>＜2</w:t>
            </w:r>
            <w:r>
              <w:rPr>
                <w:rFonts w:ascii="仿宋_GB2312" w:hAnsi="宋体" w:eastAsia="仿宋_GB2312" w:cs="Times New Roman"/>
                <w:bCs/>
                <w:sz w:val="28"/>
                <w:szCs w:val="28"/>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3576" w:type="dxa"/>
            <w:gridSpan w:val="2"/>
            <w:noWrap w:val="0"/>
            <w:vAlign w:val="center"/>
          </w:tcPr>
          <w:p>
            <w:pPr>
              <w:widowControl/>
              <w:spacing w:line="660" w:lineRule="exact"/>
              <w:jc w:val="center"/>
              <w:textAlignment w:val="center"/>
              <w:rPr>
                <w:rFonts w:ascii="仿宋_GB2312" w:hAnsi="宋体" w:eastAsia="仿宋_GB2312" w:cs="Times New Roman"/>
                <w:bCs/>
                <w:sz w:val="28"/>
                <w:szCs w:val="28"/>
              </w:rPr>
            </w:pPr>
            <w:r>
              <w:rPr>
                <w:rFonts w:hint="eastAsia" w:ascii="仿宋_GB2312" w:hAnsi="宋体" w:eastAsia="仿宋_GB2312" w:cs="Times New Roman"/>
                <w:bCs/>
                <w:sz w:val="28"/>
                <w:szCs w:val="28"/>
              </w:rPr>
              <w:t>相位偏差</w:t>
            </w:r>
          </w:p>
        </w:tc>
        <w:tc>
          <w:tcPr>
            <w:tcW w:w="3868" w:type="dxa"/>
            <w:noWrap w:val="0"/>
            <w:vAlign w:val="center"/>
          </w:tcPr>
          <w:p>
            <w:pPr>
              <w:widowControl/>
              <w:spacing w:line="660" w:lineRule="exact"/>
              <w:jc w:val="center"/>
              <w:textAlignment w:val="center"/>
              <w:rPr>
                <w:rFonts w:ascii="仿宋_GB2312" w:hAnsi="宋体" w:eastAsia="仿宋_GB2312" w:cs="Times New Roman"/>
                <w:bCs/>
                <w:sz w:val="28"/>
                <w:szCs w:val="28"/>
              </w:rPr>
            </w:pPr>
            <w:r>
              <w:rPr>
                <w:rFonts w:hint="eastAsia" w:ascii="仿宋_GB2312" w:hAnsi="宋体"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sz w:val="28"/>
                <w:szCs w:val="28"/>
              </w:rPr>
            </w:pPr>
            <w:r>
              <w:rPr>
                <w:rFonts w:hint="eastAsia" w:ascii="仿宋_GB2312" w:hAnsi="宋体" w:eastAsia="仿宋_GB2312" w:cs="Times New Roman"/>
                <w:bCs/>
                <w:sz w:val="28"/>
                <w:szCs w:val="28"/>
              </w:rPr>
              <w:t>50%负载：</w:t>
            </w:r>
          </w:p>
        </w:tc>
        <w:tc>
          <w:tcPr>
            <w:tcW w:w="4657" w:type="dxa"/>
            <w:gridSpan w:val="2"/>
            <w:noWrap w:val="0"/>
            <w:vAlign w:val="center"/>
          </w:tcPr>
          <w:p>
            <w:pPr>
              <w:widowControl/>
              <w:spacing w:line="660" w:lineRule="exact"/>
              <w:jc w:val="center"/>
              <w:textAlignment w:val="center"/>
              <w:rPr>
                <w:rFonts w:ascii="仿宋_GB2312" w:hAnsi="宋体" w:eastAsia="仿宋_GB2312" w:cs="Times New Roman"/>
                <w:bCs/>
                <w:sz w:val="28"/>
                <w:szCs w:val="28"/>
              </w:rPr>
            </w:pPr>
            <w:r>
              <w:rPr>
                <w:rFonts w:hint="eastAsia" w:ascii="仿宋_GB2312" w:hAnsi="宋体" w:eastAsia="仿宋_GB2312" w:cs="Arial"/>
                <w:b/>
                <w:bCs/>
                <w:sz w:val="22"/>
                <w:szCs w:val="28"/>
              </w:rPr>
              <w:t>≥</w:t>
            </w:r>
            <w:r>
              <w:rPr>
                <w:rFonts w:ascii="仿宋_GB2312" w:hAnsi="宋体" w:eastAsia="仿宋_GB2312" w:cs="Arial"/>
                <w:b/>
                <w:bCs/>
                <w:sz w:val="22"/>
                <w:szCs w:val="28"/>
              </w:rPr>
              <w:t>96</w:t>
            </w:r>
            <w:r>
              <w:rPr>
                <w:rFonts w:hint="eastAsia" w:ascii="仿宋_GB2312" w:hAnsi="宋体" w:eastAsia="仿宋_GB2312" w:cs="Arial"/>
                <w:b/>
                <w:bCs/>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sz w:val="28"/>
                <w:szCs w:val="28"/>
              </w:rPr>
            </w:pPr>
            <w:r>
              <w:rPr>
                <w:rFonts w:hint="eastAsia" w:ascii="仿宋_GB2312" w:hAnsi="宋体" w:eastAsia="仿宋_GB2312" w:cs="Times New Roman"/>
                <w:bCs/>
                <w:sz w:val="28"/>
                <w:szCs w:val="28"/>
              </w:rPr>
              <w:t>100%负载：</w:t>
            </w:r>
          </w:p>
        </w:tc>
        <w:tc>
          <w:tcPr>
            <w:tcW w:w="4657" w:type="dxa"/>
            <w:gridSpan w:val="2"/>
            <w:noWrap w:val="0"/>
            <w:vAlign w:val="center"/>
          </w:tcPr>
          <w:p>
            <w:pPr>
              <w:widowControl/>
              <w:spacing w:line="660" w:lineRule="exact"/>
              <w:jc w:val="center"/>
              <w:textAlignment w:val="center"/>
              <w:rPr>
                <w:rFonts w:ascii="仿宋_GB2312" w:hAnsi="宋体" w:eastAsia="仿宋_GB2312" w:cs="Times New Roman"/>
                <w:bCs/>
                <w:sz w:val="28"/>
                <w:szCs w:val="28"/>
              </w:rPr>
            </w:pPr>
            <w:r>
              <w:rPr>
                <w:rFonts w:hint="eastAsia" w:ascii="仿宋_GB2312" w:hAnsi="宋体" w:eastAsia="仿宋_GB2312" w:cs="Arial"/>
                <w:b/>
                <w:bCs/>
                <w:sz w:val="22"/>
                <w:szCs w:val="28"/>
              </w:rPr>
              <w:t>≥</w:t>
            </w:r>
            <w:r>
              <w:rPr>
                <w:rFonts w:ascii="仿宋_GB2312" w:hAnsi="宋体" w:eastAsia="仿宋_GB2312" w:cs="Arial"/>
                <w:b/>
                <w:bCs/>
                <w:sz w:val="22"/>
                <w:szCs w:val="28"/>
              </w:rPr>
              <w:t>9</w:t>
            </w:r>
            <w:r>
              <w:rPr>
                <w:rFonts w:hint="eastAsia" w:ascii="仿宋_GB2312" w:hAnsi="宋体" w:eastAsia="仿宋_GB2312" w:cs="Arial"/>
                <w:b/>
                <w:bCs/>
                <w:sz w:val="22"/>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noWrap w:val="0"/>
            <w:vAlign w:val="top"/>
          </w:tcPr>
          <w:p>
            <w:pPr>
              <w:widowControl/>
              <w:numPr>
                <w:ilvl w:val="0"/>
                <w:numId w:val="151"/>
              </w:numPr>
              <w:spacing w:line="660" w:lineRule="exact"/>
              <w:ind w:left="420" w:hanging="420"/>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外观与结构</w:t>
            </w:r>
          </w:p>
        </w:tc>
        <w:tc>
          <w:tcPr>
            <w:tcW w:w="7444" w:type="dxa"/>
            <w:gridSpan w:val="3"/>
            <w:noWrap w:val="0"/>
            <w:vAlign w:val="center"/>
          </w:tcPr>
          <w:p>
            <w:pPr>
              <w:widowControl w:val="0"/>
              <w:tabs>
                <w:tab w:val="left" w:pos="420"/>
              </w:tabs>
              <w:autoSpaceDE w:val="0"/>
              <w:autoSpaceDN w:val="0"/>
              <w:adjustRightInd w:val="0"/>
              <w:spacing w:line="660" w:lineRule="exact"/>
              <w:ind w:firstLine="560" w:firstLineChars="200"/>
              <w:textAlignment w:val="center"/>
              <w:rPr>
                <w:rFonts w:ascii="仿宋_GB2312" w:hAnsi="宋体" w:eastAsia="仿宋_GB2312" w:cs="Times New Roman"/>
                <w:bCs/>
                <w:color w:val="000000"/>
                <w:sz w:val="28"/>
                <w:szCs w:val="28"/>
                <w:lang w:val="en-US" w:eastAsia="zh-CN" w:bidi="ar-SA"/>
              </w:rPr>
            </w:pPr>
            <w:r>
              <w:rPr>
                <w:rFonts w:hint="eastAsia" w:ascii="仿宋_GB2312" w:hAnsi="宋体" w:eastAsia="仿宋_GB2312" w:cs="Times New Roman"/>
                <w:bCs/>
                <w:color w:val="000000"/>
                <w:sz w:val="28"/>
                <w:szCs w:val="28"/>
                <w:lang w:val="en-US" w:eastAsia="zh-CN" w:bidi="ar-SA"/>
              </w:rPr>
              <w:t>UPS 必须装于重型金属箱内，落地式安装。UPS 结构必须坚固，方便运输和安装。钢板厚2mm以上。机箱镀层牢固，漆面匀称，无剥落、锈蚀及裂痕等现象。</w:t>
            </w:r>
          </w:p>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机箱表面平整，所有标牌、标记、文字符号应清晰、正确、整齐，需有良好的散热方式，同时风机有故障监测和冗余，</w:t>
            </w:r>
            <w:r>
              <w:rPr>
                <w:rFonts w:ascii="仿宋_GB2312" w:hAnsi="宋体" w:eastAsia="仿宋_GB2312" w:cs="Times New Roman"/>
                <w:bCs/>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restart"/>
            <w:noWrap w:val="0"/>
            <w:vAlign w:val="top"/>
          </w:tcPr>
          <w:p>
            <w:pPr>
              <w:widowControl/>
              <w:numPr>
                <w:ilvl w:val="0"/>
                <w:numId w:val="151"/>
              </w:numPr>
              <w:spacing w:line="660" w:lineRule="exact"/>
              <w:ind w:left="420" w:hanging="420"/>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电磁兼容限值</w:t>
            </w: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传导骚扰限值</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在150kHz～30MHz频段内，系统电源线上的传导干扰电平应符合YD/T983中5.1表2规定的限值。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辐射骚扰限值</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在30～1000MHz频段内，系统的电磁辐射干扰电平应符合YD/T983中5.2表4．4规定的限值。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noWrap w:val="0"/>
            <w:vAlign w:val="top"/>
          </w:tcPr>
          <w:p>
            <w:pPr>
              <w:widowControl/>
              <w:numPr>
                <w:ilvl w:val="0"/>
                <w:numId w:val="151"/>
              </w:numPr>
              <w:spacing w:line="660" w:lineRule="exact"/>
              <w:ind w:left="420" w:hanging="420"/>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抗扰性要求</w:t>
            </w:r>
          </w:p>
        </w:tc>
        <w:tc>
          <w:tcPr>
            <w:tcW w:w="7444" w:type="dxa"/>
            <w:gridSpan w:val="3"/>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应符合YD/T983中7.3表9规定的判断准则。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restart"/>
            <w:noWrap w:val="0"/>
            <w:vAlign w:val="top"/>
          </w:tcPr>
          <w:p>
            <w:pPr>
              <w:widowControl/>
              <w:numPr>
                <w:ilvl w:val="0"/>
                <w:numId w:val="151"/>
              </w:numPr>
              <w:spacing w:line="660" w:lineRule="exact"/>
              <w:ind w:left="420" w:hanging="420"/>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保护与告警功能</w:t>
            </w: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输出短路保护</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输出负载短路时，UPS应自动关断输出，同时发出声光告警。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输出过载保护</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输出负载超过UPS额定功率时，应发出声光告警，超过过载能力时，在线式UPS应转旁路供电。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过温度保护</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UPS机内运行温度过高时，发出声光告警，在线式UPS应转旁路供电。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电池电压低保护</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当UPS在电池逆变工作方式时，电池电压降至保护点时，发出声光告警停止供电。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输出过欠压保护</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UPS输出电压超过设定值、欠电压值时，发出声光告警，在线式UPS应转旁路供电。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风扇故障告警</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风扇故障停止工作时，应发出声光告警。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restart"/>
            <w:noWrap w:val="0"/>
            <w:vAlign w:val="top"/>
          </w:tcPr>
          <w:p>
            <w:pPr>
              <w:widowControl/>
              <w:numPr>
                <w:ilvl w:val="0"/>
                <w:numId w:val="151"/>
              </w:numPr>
              <w:spacing w:line="660" w:lineRule="exact"/>
              <w:ind w:left="420" w:hanging="420"/>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防雷保护</w:t>
            </w:r>
          </w:p>
        </w:tc>
        <w:tc>
          <w:tcPr>
            <w:tcW w:w="7444" w:type="dxa"/>
            <w:gridSpan w:val="3"/>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UPS耐雷电流等级分类及技术要求应符合YD/T944-2007中4、5的要求，系统单机内置专业防雷设备。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7444" w:type="dxa"/>
            <w:gridSpan w:val="3"/>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每组电池均应配备独立的开关装置，应包括总电池组及每组电池组的开关（断路器应采用进口或合资的直流产品）。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7444" w:type="dxa"/>
            <w:gridSpan w:val="3"/>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UPS需要标配原厂提供的电池汇流盒及开关盒，以确保完成多组电池接入U</w:t>
            </w:r>
            <w:r>
              <w:rPr>
                <w:rFonts w:ascii="仿宋_GB2312" w:hAnsi="宋体" w:eastAsia="仿宋_GB2312" w:cs="Times New Roman"/>
                <w:bCs/>
                <w:color w:val="000000"/>
                <w:sz w:val="28"/>
                <w:szCs w:val="28"/>
              </w:rPr>
              <w:t>PS</w:t>
            </w:r>
            <w:r>
              <w:rPr>
                <w:rFonts w:hint="eastAsia" w:ascii="仿宋_GB2312" w:hAnsi="宋体" w:eastAsia="仿宋_GB2312" w:cs="Times New Roman"/>
                <w:bCs/>
                <w:color w:val="000000"/>
                <w:sz w:val="28"/>
                <w:szCs w:val="28"/>
              </w:rPr>
              <w:t>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7444" w:type="dxa"/>
            <w:gridSpan w:val="3"/>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同层间电池连接采用铜排，层间连接及与电池组开关间采用BVR铜芯聚氯乙烯绝缘软电线配合相应规格的铜鼻子可靠连接。要求采用铜排护盖及铜鼻子护套、热缩管等防护措施确保日常使用安全。电池连接件必须连接可靠、电阻小、线径要留有30%余量，连接电缆可多根并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restart"/>
            <w:noWrap w:val="0"/>
            <w:vAlign w:val="top"/>
          </w:tcPr>
          <w:p>
            <w:pPr>
              <w:widowControl/>
              <w:numPr>
                <w:ilvl w:val="0"/>
                <w:numId w:val="151"/>
              </w:numPr>
              <w:spacing w:line="660" w:lineRule="exact"/>
              <w:ind w:left="420" w:hanging="420"/>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遥测、遥信性能</w:t>
            </w:r>
          </w:p>
          <w:p>
            <w:pPr>
              <w:widowControl/>
              <w:spacing w:line="660" w:lineRule="exact"/>
              <w:jc w:val="center"/>
              <w:textAlignment w:val="center"/>
              <w:rPr>
                <w:rFonts w:ascii="仿宋_GB2312" w:hAnsi="宋体" w:eastAsia="仿宋_GB2312" w:cs="Times New Roman"/>
                <w:bCs/>
                <w:color w:val="000000"/>
                <w:sz w:val="28"/>
                <w:szCs w:val="28"/>
              </w:rPr>
            </w:pPr>
          </w:p>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通讯接口</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UPS通信接口同时支持干接点、告警输出继电器、串行口（RS232、RS485等）、以太网（WEB/SNMP）、工业总线MODBUS等多种方式，提供与通讯接口配套使用的通讯线缆和各种告警信号输出端子（包括配工作状态及故障状态接点），并无条件开放通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遥测</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交流输入电压、直流输入电压、输出电压、输出电流、输出频率、充电、放电电流，蓄电池温度、缺相、三相不平衡、频率。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遥信</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同步、不同步、UPS旁路供电、过载、蓄电池放电电压低、市电故障、整流器故障、逆变器故障、旁路故障和运行状态记录。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noWrap w:val="0"/>
            <w:vAlign w:val="top"/>
          </w:tcPr>
          <w:p>
            <w:pPr>
              <w:widowControl/>
              <w:numPr>
                <w:ilvl w:val="0"/>
                <w:numId w:val="151"/>
              </w:numPr>
              <w:spacing w:line="660" w:lineRule="exact"/>
              <w:ind w:left="420" w:hanging="420"/>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UPS系统智能化监控要求</w:t>
            </w:r>
          </w:p>
        </w:tc>
        <w:tc>
          <w:tcPr>
            <w:tcW w:w="7444" w:type="dxa"/>
            <w:gridSpan w:val="3"/>
            <w:noWrap w:val="0"/>
            <w:vAlign w:val="center"/>
          </w:tcPr>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UPS系统本身具有在线监控功能和“自诊断”检测系统功能，能对内部逻辑控制电路运行状态进行实时检测和诊断，当监测到故障时，能进行多种方式报警，故障自我诊断可定位到模块。</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UPS系统机头配置液晶显示器显示系统运行参数，能够提供UPS运行的各种状态。</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免费提供UPS监控软件，通过上述接口对UPS进行监控,可通过监控系统设置UPS参数，监视UPS运行状况和电源状况，发现异常、故障可通过声响等形式告警。监测软件可在最新操作系统上运行；WEB方式的监控软件能够在IE 8.0级以上版本上运行；SNMP方式的监控功能够支持远程监控。</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UPS系统监控单元具有与其它计算机系统的通讯接口和通信协议，通过该接口可传输UPS的各种工作参数与工作状态。</w:t>
            </w:r>
          </w:p>
          <w:p>
            <w:pPr>
              <w:spacing w:line="660" w:lineRule="exact"/>
              <w:ind w:firstLine="560" w:firstLineChars="200"/>
              <w:jc w:val="left"/>
              <w:textAlignment w:val="center"/>
              <w:rPr>
                <w:rFonts w:ascii="仿宋_GB2312" w:hAnsi="宋体" w:eastAsia="仿宋_GB2312" w:cs="Times New Roman"/>
                <w:bCs/>
                <w:color w:val="000000"/>
                <w:kern w:val="0"/>
                <w:sz w:val="28"/>
                <w:szCs w:val="28"/>
                <w:lang w:val="en-US" w:eastAsia="zh-CN" w:bidi="ar-SA"/>
              </w:rPr>
            </w:pPr>
            <w:r>
              <w:rPr>
                <w:rFonts w:hint="eastAsia" w:ascii="仿宋_GB2312" w:hAnsi="宋体" w:eastAsia="仿宋_GB2312" w:cs="Times New Roman"/>
                <w:bCs/>
                <w:color w:val="000000"/>
                <w:kern w:val="0"/>
                <w:sz w:val="28"/>
                <w:szCs w:val="28"/>
                <w:lang w:val="en-US" w:eastAsia="zh-CN" w:bidi="ar-SA"/>
              </w:rPr>
              <w:t>UPS系统具有历史记录和告警功能，历史记录可记录交直流电压、电流参数曲线、事件、故障异常告警信息等，并可方便的提供查询。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noWrap w:val="0"/>
            <w:vAlign w:val="top"/>
          </w:tcPr>
          <w:p>
            <w:pPr>
              <w:widowControl/>
              <w:numPr>
                <w:ilvl w:val="0"/>
                <w:numId w:val="151"/>
              </w:numPr>
              <w:spacing w:line="660" w:lineRule="exact"/>
              <w:ind w:left="420" w:hanging="420"/>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外壳防护要求</w:t>
            </w:r>
          </w:p>
        </w:tc>
        <w:tc>
          <w:tcPr>
            <w:tcW w:w="7444" w:type="dxa"/>
            <w:gridSpan w:val="3"/>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UPS保护接地装置与金属外壳的接地螺钉应具有可靠的电气连接。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restart"/>
            <w:noWrap w:val="0"/>
            <w:vAlign w:val="top"/>
          </w:tcPr>
          <w:p>
            <w:pPr>
              <w:widowControl/>
              <w:numPr>
                <w:ilvl w:val="0"/>
                <w:numId w:val="151"/>
              </w:numPr>
              <w:spacing w:line="660" w:lineRule="exact"/>
              <w:ind w:left="420" w:hanging="420"/>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安全要求</w:t>
            </w: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绝缘电阻</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UPS的输入端、输出端对外壳，施加500V直流电压，绝缘电阻应大于2兆欧。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绝缘强度</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UPS的输入端、输出端对地施加50Hz, 2000V的交流电压1min无击穿、无飞弧，漏电流小于10mA或2820V直流电压1min，无击穿、无飞弧，漏电流应小于1mA。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接触电流和保护导体电流</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UPS的保护地(PE)对输入的中性线(N)的接触电流应不大于3.5mA。当接触电流大于3.5mA时，保护导体电流的有效值不应超过每相输入电流的5%，如果负载不平衡，则应采用3个相电流的最大值来计算。在保护导体大电流通路上，保护导体的截面积不应小于1.0mm2。在靠近设备的一次电源连接端处，应设置标有警告语或类似词语的标牌，即“大接触电流，在接通电源之前必须先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noWrap w:val="0"/>
            <w:vAlign w:val="top"/>
          </w:tcPr>
          <w:p>
            <w:pPr>
              <w:widowControl/>
              <w:numPr>
                <w:ilvl w:val="0"/>
                <w:numId w:val="151"/>
              </w:numPr>
              <w:spacing w:line="660" w:lineRule="exact"/>
              <w:ind w:left="420" w:hanging="420"/>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可靠性要求</w:t>
            </w:r>
          </w:p>
        </w:tc>
        <w:tc>
          <w:tcPr>
            <w:tcW w:w="7444" w:type="dxa"/>
            <w:gridSpan w:val="3"/>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UPS设备在正常使用环境条件下，平均无故障间隔时间MTBF应不小于100000h(不含蓄电池)。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restart"/>
            <w:noWrap w:val="0"/>
            <w:vAlign w:val="top"/>
          </w:tcPr>
          <w:p>
            <w:pPr>
              <w:widowControl/>
              <w:numPr>
                <w:ilvl w:val="0"/>
                <w:numId w:val="151"/>
              </w:numPr>
              <w:spacing w:line="660" w:lineRule="exact"/>
              <w:ind w:left="420" w:hanging="420"/>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设备机械性能要求</w:t>
            </w: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外观工艺</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机柜表面喷涂均匀、无破损；信号灯、开关、测量显示装置布局合理。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结构工艺</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部件排列合理、整齐；导线色标及截面积符合国标要求并布放平整，编号合理；接插件牢固；电源进出线符合工程需要；UPS内部冷却风道的进风口必须配置进风防尘滤网，以保证UPS设备的内部清洁；维修安全及方便；具备抗震措施，UPS主机需通过9烈度抗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冷却结构</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保证UPS设备的散热效果和工作可靠性。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机组安装</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有防震加固安装孔，接地应用铜质螺母，其直径≥M8。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标牌、标记</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应平整清晰。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restart"/>
            <w:noWrap w:val="0"/>
            <w:vAlign w:val="top"/>
          </w:tcPr>
          <w:p>
            <w:pPr>
              <w:widowControl/>
              <w:numPr>
                <w:ilvl w:val="0"/>
                <w:numId w:val="151"/>
              </w:numPr>
              <w:spacing w:line="660" w:lineRule="exact"/>
              <w:ind w:left="420" w:hanging="420"/>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关键部位</w:t>
            </w:r>
          </w:p>
        </w:tc>
        <w:tc>
          <w:tcPr>
            <w:tcW w:w="2787" w:type="dxa"/>
            <w:noWrap w:val="0"/>
            <w:vAlign w:val="center"/>
          </w:tcPr>
          <w:p>
            <w:pPr>
              <w:widowControl/>
              <w:spacing w:line="66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sz w:val="28"/>
                <w:szCs w:val="28"/>
              </w:rPr>
              <w:t>整流器</w:t>
            </w:r>
          </w:p>
        </w:tc>
        <w:tc>
          <w:tcPr>
            <w:tcW w:w="4657" w:type="dxa"/>
            <w:gridSpan w:val="2"/>
            <w:noWrap w:val="0"/>
            <w:vAlign w:val="center"/>
          </w:tcPr>
          <w:p>
            <w:pPr>
              <w:widowControl/>
              <w:spacing w:line="660" w:lineRule="exact"/>
              <w:jc w:val="lef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sz w:val="28"/>
                <w:szCs w:val="28"/>
              </w:rPr>
              <w:t>采用IGBT高频开关整流模块，整流器须按照蓄电池容量和要求进行设计、配置。整流器的过欠压、过流设置必须满足蓄电池的要求，对蓄电池要有智能化的电池管理，防止对电池造成过充电。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2787" w:type="dxa"/>
            <w:noWrap w:val="0"/>
            <w:vAlign w:val="center"/>
          </w:tcPr>
          <w:p>
            <w:pPr>
              <w:widowControl/>
              <w:spacing w:line="660" w:lineRule="exact"/>
              <w:jc w:val="center"/>
              <w:textAlignment w:val="center"/>
              <w:rPr>
                <w:rFonts w:ascii="仿宋_GB2312" w:hAnsi="宋体" w:eastAsia="仿宋_GB2312" w:cs="Times New Roman"/>
                <w:bCs/>
                <w:sz w:val="28"/>
                <w:szCs w:val="28"/>
              </w:rPr>
            </w:pPr>
            <w:r>
              <w:rPr>
                <w:rFonts w:hint="eastAsia" w:ascii="仿宋_GB2312" w:hAnsi="宋体" w:eastAsia="仿宋_GB2312" w:cs="Times New Roman"/>
                <w:bCs/>
                <w:sz w:val="28"/>
                <w:szCs w:val="28"/>
              </w:rPr>
              <w:t>逆变器</w:t>
            </w:r>
          </w:p>
        </w:tc>
        <w:tc>
          <w:tcPr>
            <w:tcW w:w="4657" w:type="dxa"/>
            <w:gridSpan w:val="2"/>
            <w:noWrap w:val="0"/>
            <w:vAlign w:val="center"/>
          </w:tcPr>
          <w:p>
            <w:pPr>
              <w:widowControl/>
              <w:spacing w:line="660" w:lineRule="exact"/>
              <w:jc w:val="center"/>
              <w:textAlignment w:val="center"/>
              <w:rPr>
                <w:rFonts w:ascii="仿宋_GB2312" w:hAnsi="宋体" w:eastAsia="仿宋_GB2312" w:cs="Times New Roman"/>
                <w:bCs/>
                <w:sz w:val="28"/>
                <w:szCs w:val="28"/>
              </w:rPr>
            </w:pPr>
            <w:r>
              <w:rPr>
                <w:rFonts w:hint="eastAsia" w:ascii="仿宋_GB2312" w:hAnsi="宋体" w:eastAsia="仿宋_GB2312" w:cs="Times New Roman"/>
                <w:bCs/>
                <w:sz w:val="28"/>
                <w:szCs w:val="28"/>
              </w:rPr>
              <w:t>应有抗100％不平衡负载能力。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widowControl/>
              <w:spacing w:line="660" w:lineRule="exact"/>
              <w:jc w:val="center"/>
              <w:textAlignment w:val="center"/>
              <w:rPr>
                <w:rFonts w:ascii="仿宋_GB2312" w:hAnsi="宋体" w:eastAsia="仿宋_GB2312" w:cs="Times New Roman"/>
                <w:bCs/>
                <w:color w:val="000000"/>
                <w:sz w:val="28"/>
                <w:szCs w:val="28"/>
              </w:rPr>
            </w:pPr>
          </w:p>
        </w:tc>
        <w:tc>
          <w:tcPr>
            <w:tcW w:w="7444" w:type="dxa"/>
            <w:gridSpan w:val="3"/>
            <w:noWrap w:val="0"/>
            <w:vAlign w:val="center"/>
          </w:tcPr>
          <w:p>
            <w:pPr>
              <w:widowControl/>
              <w:spacing w:line="660" w:lineRule="exact"/>
              <w:jc w:val="left"/>
              <w:textAlignment w:val="center"/>
              <w:rPr>
                <w:rFonts w:ascii="仿宋_GB2312" w:hAnsi="宋体" w:eastAsia="仿宋_GB2312" w:cs="Times New Roman"/>
                <w:bCs/>
                <w:sz w:val="28"/>
                <w:szCs w:val="28"/>
              </w:rPr>
            </w:pPr>
          </w:p>
        </w:tc>
      </w:tr>
      <w:bookmarkEnd w:id="692"/>
      <w:bookmarkEnd w:id="693"/>
    </w:tbl>
    <w:p>
      <w:pPr>
        <w:widowControl/>
        <w:spacing w:line="560" w:lineRule="exact"/>
        <w:ind w:firstLine="480"/>
        <w:rPr>
          <w:rFonts w:hint="eastAsia" w:ascii="仿宋" w:hAnsi="仿宋" w:eastAsia="仿宋" w:cs="Times New Roman"/>
          <w:sz w:val="28"/>
          <w:szCs w:val="28"/>
        </w:rPr>
      </w:pP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94" w:name="_Toc9190"/>
      <w:bookmarkStart w:id="695" w:name="_Toc25651144"/>
      <w:bookmarkStart w:id="696" w:name="_Toc460000862"/>
      <w:r>
        <w:rPr>
          <w:rFonts w:hint="eastAsia" w:ascii="楷体" w:hAnsi="楷体" w:eastAsia="仿宋" w:cs="Times New Roman"/>
          <w:b/>
          <w:kern w:val="2"/>
          <w:sz w:val="28"/>
          <w:lang w:val="en-US" w:eastAsia="zh-CN" w:bidi="ar-SA"/>
        </w:rPr>
        <w:t>电池组</w:t>
      </w:r>
      <w:bookmarkEnd w:id="694"/>
      <w:bookmarkEnd w:id="695"/>
      <w:bookmarkStart w:id="697" w:name="_Toc450493322"/>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概述</w:t>
      </w:r>
    </w:p>
    <w:p>
      <w:pPr>
        <w:widowControl/>
        <w:spacing w:line="560" w:lineRule="exact"/>
        <w:textAlignment w:val="center"/>
        <w:rPr>
          <w:rFonts w:hint="eastAsia" w:ascii="仿宋" w:hAnsi="仿宋" w:eastAsia="仿宋" w:cs="Times New Roman"/>
          <w:bCs/>
          <w:sz w:val="28"/>
          <w:szCs w:val="28"/>
        </w:rPr>
      </w:pPr>
      <w:r>
        <w:rPr>
          <w:rFonts w:hint="eastAsia" w:ascii="仿宋" w:hAnsi="仿宋" w:eastAsia="仿宋" w:cs="Times New Roman"/>
          <w:bCs/>
          <w:sz w:val="28"/>
          <w:szCs w:val="28"/>
        </w:rPr>
        <w:t>中标人需根据UPS容量满载配置蓄电池，且提供电池配置计算书。</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引用规范与标准</w:t>
      </w:r>
    </w:p>
    <w:p>
      <w:pPr>
        <w:widowControl/>
        <w:numPr>
          <w:ilvl w:val="0"/>
          <w:numId w:val="15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所有设备、材料的供应和调试，必须符合下列各机关、部门所发布的最新条例、规范、标准、施工准则等：</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国家环保设计规范。</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国家电气设计规范。</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国家供电规范要求。</w:t>
      </w:r>
    </w:p>
    <w:p>
      <w:pPr>
        <w:widowControl/>
        <w:numPr>
          <w:ilvl w:val="0"/>
          <w:numId w:val="15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本技术规范没特别注明设备的技术参数或施工方法，须满足地相关的标准和施工规范。</w:t>
      </w:r>
    </w:p>
    <w:p>
      <w:pPr>
        <w:widowControl/>
        <w:numPr>
          <w:ilvl w:val="0"/>
          <w:numId w:val="15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电池必须满足下列要求：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《阀控式密封铅酸蓄电池订货技术条件 》DL/T 637。</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《电力系统用蓄电池直流电源装置运行与维护技术规程 》DL/T 724。</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《固定型阀控式铅酸蓄电池 第2部分：产品品种和规格》 GB/T 19638.2。</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《储能铅酸蓄电池》 GB/T 22473。</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《铅酸蓄电池用极板》 GB/T 23636。</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《电工术语 原电池和蓄电池》 GB2900.41。</w:t>
      </w:r>
    </w:p>
    <w:p>
      <w:pPr>
        <w:widowControl/>
        <w:numPr>
          <w:ilvl w:val="0"/>
          <w:numId w:val="15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上述技术标准和规范如果有未涵盖不足之处或者未能达到国家最新标准的时候，中标人应使系统的设计、施工以及选用的设备和材料符合最新版本的国家的标准、规范，并提供采用的国家标准、规范以及所采用的版本的有关技术资料。</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bookmarkStart w:id="698" w:name="电池"/>
      <w:bookmarkEnd w:id="698"/>
      <w:r>
        <w:rPr>
          <w:rFonts w:hint="eastAsia" w:ascii="楷体" w:hAnsi="楷体" w:eastAsia="仿宋" w:cs="Times New Roman"/>
          <w:b/>
          <w:kern w:val="2"/>
          <w:sz w:val="28"/>
          <w:szCs w:val="20"/>
          <w:lang w:val="en-US" w:eastAsia="zh-CN" w:bidi="ar-SA"/>
        </w:rPr>
        <w:t>蓄电池组系统配置说明</w:t>
      </w:r>
    </w:p>
    <w:p>
      <w:pPr>
        <w:widowControl/>
        <w:spacing w:line="560" w:lineRule="exact"/>
        <w:ind w:firstLine="560" w:firstLineChars="200"/>
        <w:textAlignment w:val="center"/>
        <w:rPr>
          <w:rFonts w:hint="eastAsia" w:ascii="仿宋" w:hAnsi="仿宋" w:eastAsia="仿宋" w:cs="Times New Roman"/>
          <w:bCs/>
          <w:sz w:val="28"/>
          <w:szCs w:val="28"/>
        </w:rPr>
      </w:pPr>
      <w:r>
        <w:rPr>
          <w:rFonts w:hint="eastAsia" w:ascii="仿宋" w:hAnsi="仿宋" w:eastAsia="仿宋" w:cs="Times New Roman"/>
          <w:bCs/>
          <w:sz w:val="28"/>
          <w:szCs w:val="28"/>
        </w:rPr>
        <w:t>主要部件组成：</w:t>
      </w:r>
    </w:p>
    <w:p>
      <w:pPr>
        <w:widowControl/>
        <w:numPr>
          <w:ilvl w:val="0"/>
          <w:numId w:val="15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蓄电池组。</w:t>
      </w:r>
    </w:p>
    <w:p>
      <w:pPr>
        <w:widowControl/>
        <w:numPr>
          <w:ilvl w:val="0"/>
          <w:numId w:val="15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电池架（含电池架基础）。</w:t>
      </w:r>
    </w:p>
    <w:p>
      <w:pPr>
        <w:widowControl/>
        <w:numPr>
          <w:ilvl w:val="0"/>
          <w:numId w:val="15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电池组开关柜及开关箱。</w:t>
      </w:r>
    </w:p>
    <w:p>
      <w:pPr>
        <w:widowControl/>
        <w:numPr>
          <w:ilvl w:val="0"/>
          <w:numId w:val="15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蓄电池监控系统。</w:t>
      </w:r>
    </w:p>
    <w:p>
      <w:pPr>
        <w:widowControl/>
        <w:ind w:firstLine="560" w:firstLineChars="200"/>
        <w:textAlignment w:val="center"/>
        <w:rPr>
          <w:rFonts w:hint="eastAsia" w:ascii="Calibri" w:hAnsi="Calibri" w:eastAsia="仿宋" w:cs="Times New Roman"/>
          <w:sz w:val="28"/>
          <w:szCs w:val="20"/>
        </w:rPr>
      </w:pPr>
      <w:r>
        <w:rPr>
          <w:rFonts w:hint="eastAsia" w:ascii="仿宋" w:hAnsi="仿宋" w:eastAsia="仿宋" w:cs="Times New Roman"/>
          <w:bCs/>
          <w:sz w:val="28"/>
          <w:szCs w:val="28"/>
        </w:rPr>
        <w:t>说明：中标人负责供应的设备及材料包含但不限于以上列出的设备和材料,还包含以上未列出但是满足系统运行所需及满足招标人使用要求的设备</w:t>
      </w:r>
      <w:bookmarkEnd w:id="697"/>
      <w:r>
        <w:rPr>
          <w:rFonts w:hint="eastAsia" w:ascii="仿宋" w:hAnsi="仿宋" w:eastAsia="仿宋" w:cs="Times New Roman"/>
          <w:bCs/>
          <w:sz w:val="28"/>
          <w:szCs w:val="28"/>
        </w:rPr>
        <w:t>。</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电池间线缆技术要求（主要）</w:t>
      </w:r>
    </w:p>
    <w:p>
      <w:pPr>
        <w:widowControl/>
        <w:numPr>
          <w:ilvl w:val="0"/>
          <w:numId w:val="15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同层间电池连接采用原厂铜排，层间连接及与电池组开关间采用BVR铜芯聚氯乙烯绝缘软电线配合相应规格的铜鼻子可靠连接。</w:t>
      </w:r>
    </w:p>
    <w:p>
      <w:pPr>
        <w:widowControl/>
        <w:numPr>
          <w:ilvl w:val="0"/>
          <w:numId w:val="15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要求采用铜排护盖及铜鼻子护套、热缩管等防护措施确保日常使用安全。</w:t>
      </w:r>
    </w:p>
    <w:p>
      <w:pPr>
        <w:widowControl/>
        <w:numPr>
          <w:ilvl w:val="0"/>
          <w:numId w:val="15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要求电池连接件必须连接可靠、电阻小、线径要留有30%余量，连接电缆可多根并联。</w:t>
      </w:r>
    </w:p>
    <w:p>
      <w:pPr>
        <w:widowControl/>
        <w:numPr>
          <w:ilvl w:val="0"/>
          <w:numId w:val="154"/>
        </w:numPr>
        <w:spacing w:line="560" w:lineRule="exact"/>
        <w:ind w:left="0" w:firstLine="0"/>
        <w:rPr>
          <w:rFonts w:ascii="仿宋" w:hAnsi="仿宋" w:eastAsia="仿宋" w:cs="Times New Roman"/>
          <w:sz w:val="28"/>
          <w:szCs w:val="28"/>
          <w:lang w:val="zh-CN"/>
        </w:rPr>
      </w:pPr>
      <w:r>
        <w:rPr>
          <w:rFonts w:hint="eastAsia" w:ascii="仿宋" w:hAnsi="仿宋" w:eastAsia="仿宋" w:cs="Times New Roman"/>
          <w:sz w:val="28"/>
          <w:szCs w:val="28"/>
          <w:lang w:val="zh-CN"/>
        </w:rPr>
        <w:t>需做好标识系统，方便检修和维护。</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蓄电池监控技术要求</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1.一般要求</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监测对象：为本次项目中UPS电池。</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监测基本内容：监测系统可对每组电池组总电压、电流，每个单体电池电压、每个单体电池内阻、温度参数进行监测。</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电池在线监控系统应采用模块化设计，由监控主机、单体电池采集模块等组成。主机与模块间、模块与模块间采用通讯连接。每个采集模块对应1个单体电池，但需监测到每一只单体电池的电压和内阻和温度，采集模块可直接粘贴或放置在电池上，监控主机可安装在电池柜/架上或机柜内。</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电池在线监测系统各主机和各模块间电缆连接采用热插拔端子，可在线快速更换故障部件，而不至于影响电池检测系统其他部分的正常工作，特别不能影响电源供电系统的安全运行。</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2.技术要求</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1）环境条件</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海拔高度：1000m（海平面以上）；</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环境温度：-5℃~+40℃；</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最高日平均气温：+35℃；</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最大日温差：25℃；</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相对湿度：90%（当环境温度为25℃时）；</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2）技术要求</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温度监测：实时监测电池表面温度或者电池负极柱温度，每只电池设置一测试点。温度精度：±1℃</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电池监测模块主要参数：</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蓄电池浮充状态下（考虑UPS或直流电源干扰），单体内阻重复精度：±2%</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蓄电池浮充状态下（考虑UPS或直流电源干扰），单体电压精度：≤0.2% 或 ±5mV ，测量范围1.5～16V。</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电池组电压精度≤0.5% ，测量范围0～700V。</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内阻监测周期可调，最小值支持一天自动测试更新。</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实时监测到整组电池电压、单体电池电压。</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放电时一组电池单体电压记录频率不大于每10s记录一次</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系统提供RS485物理接口或TCP/IP接口</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采用分散式电池检测仪</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采集线为环线，实现电池传感器首尾相连或无线连接。任一采集模块故障，不影响设备运行</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系统提供RS485物理接口或TCP/IP接口</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投标单位详细列出具体技术原理、实现方法。</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3）检测要求</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lang w:val="zh-CN"/>
        </w:rPr>
        <w:t>为保证所投电池监控仪的可靠性，所投电池监控仪设备需具有完整的检测报告，检测项目需要包括“功能测试、低温试验、恒温恒湿试验、快速温变”，提供第三方检测报告佐证。</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蓄电池技术要求（主要）</w:t>
      </w:r>
    </w:p>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r>
        <w:rPr>
          <w:rFonts w:hint="eastAsia" w:ascii="Calibri" w:hAnsi="Calibri" w:eastAsia="仿宋" w:cs="Times New Roman"/>
          <w:b w:val="0"/>
          <w:bCs w:val="0"/>
          <w:kern w:val="2"/>
          <w:sz w:val="28"/>
          <w:szCs w:val="28"/>
          <w:lang w:val="en-US" w:eastAsia="zh-CN" w:bidi="ar-SA"/>
        </w:rPr>
        <w:t>一般要求</w:t>
      </w:r>
    </w:p>
    <w:p>
      <w:pPr>
        <w:widowControl/>
        <w:numPr>
          <w:ilvl w:val="0"/>
          <w:numId w:val="15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电池后备时间满足招标文件配置要求，应采用长寿命免维护单体阀控式铅酸蓄电池，蓄电池设计寿命在25℃环境温度至少12年，提供产品彩页加盖制造商公章证明。</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 xml:space="preserve">(2) </w:t>
      </w:r>
      <w:r>
        <w:rPr>
          <w:rFonts w:hint="eastAsia" w:ascii="仿宋" w:hAnsi="仿宋" w:eastAsia="仿宋" w:cs="Times New Roman"/>
          <w:sz w:val="28"/>
          <w:szCs w:val="28"/>
          <w:lang w:val="zh-CN"/>
        </w:rPr>
        <w:t>蓄电池单体采用12V的阀控式免维护铅酸蓄电池，</w:t>
      </w:r>
      <w:r>
        <w:rPr>
          <w:rFonts w:hint="eastAsia" w:ascii="仿宋" w:hAnsi="仿宋" w:eastAsia="仿宋" w:cs="Times New Roman"/>
          <w:sz w:val="28"/>
          <w:szCs w:val="28"/>
        </w:rPr>
        <w:t>根据南康机房大楼荷载设计选择合适的单体</w:t>
      </w:r>
      <w:r>
        <w:rPr>
          <w:rFonts w:hint="eastAsia" w:ascii="仿宋" w:hAnsi="仿宋" w:eastAsia="仿宋" w:cs="Times New Roman"/>
          <w:sz w:val="28"/>
          <w:szCs w:val="28"/>
          <w:lang w:val="zh-CN"/>
        </w:rPr>
        <w:t>蓄电池容量和数量。每组电池配置需满足电池间空间条件。</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 xml:space="preserve">(3) </w:t>
      </w:r>
      <w:r>
        <w:rPr>
          <w:rFonts w:hint="eastAsia" w:ascii="仿宋" w:hAnsi="仿宋" w:eastAsia="仿宋" w:cs="Times New Roman"/>
          <w:sz w:val="28"/>
          <w:szCs w:val="28"/>
          <w:lang w:val="zh-CN"/>
        </w:rPr>
        <w:t xml:space="preserve">提供给本系统的电池必须为近两个月内同一批次生产的产品，电池从出厂到投入使用之间的时间小于6个月。 </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 xml:space="preserve">(4) </w:t>
      </w:r>
      <w:r>
        <w:rPr>
          <w:rFonts w:hint="eastAsia" w:ascii="仿宋" w:hAnsi="仿宋" w:eastAsia="仿宋" w:cs="Times New Roman"/>
          <w:sz w:val="28"/>
          <w:szCs w:val="28"/>
          <w:lang w:val="zh-CN"/>
        </w:rPr>
        <w:t>要求电池完全可回收，符合国家环保要求。</w:t>
      </w:r>
    </w:p>
    <w:p>
      <w:pPr>
        <w:keepNext/>
        <w:keepLines/>
        <w:numPr>
          <w:ilvl w:val="4"/>
          <w:numId w:val="2"/>
        </w:numPr>
        <w:spacing w:before="10" w:beforeLines="0" w:after="10" w:afterLines="0" w:line="377" w:lineRule="auto"/>
        <w:ind w:left="0" w:firstLine="0"/>
        <w:jc w:val="both"/>
        <w:outlineLvl w:val="4"/>
        <w:rPr>
          <w:rFonts w:hint="eastAsia" w:ascii="Calibri" w:hAnsi="Calibri" w:eastAsia="仿宋" w:cs="Times New Roman"/>
          <w:b w:val="0"/>
          <w:bCs w:val="0"/>
          <w:kern w:val="2"/>
          <w:sz w:val="28"/>
          <w:szCs w:val="28"/>
          <w:lang w:val="en-US" w:eastAsia="zh-CN" w:bidi="ar-SA"/>
        </w:rPr>
      </w:pPr>
      <w:r>
        <w:rPr>
          <w:rFonts w:hint="eastAsia" w:ascii="Calibri" w:hAnsi="Calibri" w:eastAsia="仿宋" w:cs="Times New Roman"/>
          <w:b w:val="0"/>
          <w:bCs w:val="0"/>
          <w:kern w:val="2"/>
          <w:sz w:val="28"/>
          <w:szCs w:val="28"/>
          <w:lang w:val="en-US" w:eastAsia="zh-CN" w:bidi="ar-SA"/>
        </w:rPr>
        <w:t>技术要求</w:t>
      </w:r>
    </w:p>
    <w:p>
      <w:pPr>
        <w:widowControl/>
        <w:numPr>
          <w:ilvl w:val="0"/>
          <w:numId w:val="15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自然环境条件</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工作地点：参照项目地点。</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环境温度：参照项目地点。</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气候条件：参照项目地点。</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相对湿度：参照项目地点。</w:t>
      </w:r>
    </w:p>
    <w:p>
      <w:pPr>
        <w:widowControl/>
        <w:numPr>
          <w:ilvl w:val="0"/>
          <w:numId w:val="15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工作环境条件</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安装场所∶ 室内安装(无腐蚀性气体，飞扬尘埃)。</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环境温度∶蓄电池在环境温度为﹣15℃—50℃条件下能正常使用。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541"/>
        <w:gridCol w:w="5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center"/>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项目</w:t>
            </w:r>
          </w:p>
        </w:tc>
        <w:tc>
          <w:tcPr>
            <w:tcW w:w="6591" w:type="dxa"/>
            <w:gridSpan w:val="2"/>
            <w:noWrap w:val="0"/>
            <w:vAlign w:val="center"/>
          </w:tcPr>
          <w:p>
            <w:pPr>
              <w:spacing w:after="0" w:afterLines="0" w:line="560" w:lineRule="exact"/>
              <w:jc w:val="center"/>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888" w:type="dxa"/>
            <w:vMerge w:val="restart"/>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技术参数</w:t>
            </w:r>
          </w:p>
        </w:tc>
        <w:tc>
          <w:tcPr>
            <w:tcW w:w="1541" w:type="dxa"/>
            <w:noWrap w:val="0"/>
            <w:vAlign w:val="center"/>
          </w:tcPr>
          <w:p>
            <w:pPr>
              <w:spacing w:after="0" w:afterLines="0" w:line="560" w:lineRule="exact"/>
              <w:jc w:val="center"/>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环境温度</w:t>
            </w:r>
          </w:p>
        </w:tc>
        <w:tc>
          <w:tcPr>
            <w:tcW w:w="5050"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当蓄电池在环境温度﹣15℃~50℃条件下，其性能指标应满足正常使用要求。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vMerge w:val="continue"/>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p>
        </w:tc>
        <w:tc>
          <w:tcPr>
            <w:tcW w:w="1541" w:type="dxa"/>
            <w:noWrap w:val="0"/>
            <w:vAlign w:val="center"/>
          </w:tcPr>
          <w:p>
            <w:pPr>
              <w:spacing w:after="0" w:afterLines="0" w:line="560" w:lineRule="exact"/>
              <w:jc w:val="center"/>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结构</w:t>
            </w:r>
          </w:p>
        </w:tc>
        <w:tc>
          <w:tcPr>
            <w:tcW w:w="5050"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蓄电池的正、负极端子有明显标志，便于连接，其极性、端子外形尺寸符合产品图样。</w:t>
            </w:r>
          </w:p>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蓄电池内部结构符合工艺要求。</w:t>
            </w:r>
          </w:p>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蓄电池应采用嵌入式内螺纹铜端子，以避免端</w:t>
            </w:r>
            <w:r>
              <w:rPr>
                <w:rFonts w:hint="eastAsia" w:ascii="仿宋" w:hAnsi="仿宋" w:eastAsia="仿宋" w:cs="仿宋——GB2312"/>
                <w:bCs/>
                <w:kern w:val="2"/>
                <w:sz w:val="24"/>
                <w:szCs w:val="24"/>
                <w:shd w:val="clear" w:color="auto" w:fill="FFFFFF"/>
                <w:lang w:val="en-US" w:eastAsia="zh-CN" w:bidi="ar-SA"/>
              </w:rPr>
              <w:t>子热膨胀造成的密封破坏问题及便于电池铜排连接。</w:t>
            </w:r>
          </w:p>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蓄电池内部结构应针对极板膨胀伸长问题进行针对性设计，以解决极板膨胀对极柱造成的应力。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外观</w:t>
            </w:r>
          </w:p>
        </w:tc>
        <w:tc>
          <w:tcPr>
            <w:tcW w:w="6591" w:type="dxa"/>
            <w:gridSpan w:val="2"/>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蓄电池外观不得有变形、漏液、裂纹及污迹，标志要清晰，蓄电池在使用中应无渗液、漏液、爬液和膨胀现象。</w:t>
            </w:r>
          </w:p>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蓄电池在正常工作中应无酸雾逸出。</w:t>
            </w:r>
          </w:p>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采用阻燃耐腐、耐压、耐高温、耐水蒸气泄漏、耐震、持久耐用的外壳材料。蓄电池的外观不应有裂纹、变形及污点，上盖及端子无损伤。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阻燃性能</w:t>
            </w:r>
          </w:p>
        </w:tc>
        <w:tc>
          <w:tcPr>
            <w:tcW w:w="6591" w:type="dxa"/>
            <w:gridSpan w:val="2"/>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蓄电池槽、盖、安全阀、极柱封口剂等材料应具有阻燃性。蓄电池槽、盖和连接条绝缘护套材料应符合GB/T2408-2008中的FH-1（水平级）和FV-0（垂直级）的要求。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气密性</w:t>
            </w:r>
          </w:p>
        </w:tc>
        <w:tc>
          <w:tcPr>
            <w:tcW w:w="6591" w:type="dxa"/>
            <w:gridSpan w:val="2"/>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蓄电池应能承受50kPa的正压或负压而不破裂、不开胶，压力释放后壳体无残余变形。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大电流放电</w:t>
            </w:r>
          </w:p>
        </w:tc>
        <w:tc>
          <w:tcPr>
            <w:tcW w:w="6591" w:type="dxa"/>
            <w:gridSpan w:val="2"/>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蓄电池以30 I10（A）放电3min，极柱、内部汇流排不应熔断，其外观不得出现异常。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容量保存率</w:t>
            </w:r>
          </w:p>
        </w:tc>
        <w:tc>
          <w:tcPr>
            <w:tcW w:w="6591" w:type="dxa"/>
            <w:gridSpan w:val="2"/>
            <w:noWrap w:val="0"/>
            <w:vAlign w:val="center"/>
          </w:tcPr>
          <w:p>
            <w:pPr>
              <w:widowControl/>
              <w:spacing w:line="560" w:lineRule="exact"/>
              <w:textAlignment w:val="center"/>
              <w:rPr>
                <w:rFonts w:hint="eastAsia" w:ascii="仿宋" w:hAnsi="仿宋" w:eastAsia="仿宋" w:cs="仿宋——GB2312"/>
                <w:bCs/>
                <w:sz w:val="24"/>
                <w:szCs w:val="24"/>
              </w:rPr>
            </w:pPr>
            <w:r>
              <w:rPr>
                <w:rFonts w:hint="eastAsia" w:ascii="仿宋" w:hAnsi="仿宋" w:eastAsia="仿宋" w:cs="仿宋——GB2312"/>
                <w:bCs/>
                <w:sz w:val="24"/>
                <w:szCs w:val="24"/>
              </w:rPr>
              <w:t>自放电损失：完全充电的蓄电池，在25±5℃的环境中，静置28天后，其容量保持率应在96％以上；蓄电池封置90天后，其荷电保持能力不低于90%。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密封反应效率</w:t>
            </w:r>
          </w:p>
        </w:tc>
        <w:tc>
          <w:tcPr>
            <w:tcW w:w="6591" w:type="dxa"/>
            <w:gridSpan w:val="2"/>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蓄电池密封反应效率应不低于95%。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防酸雾性能</w:t>
            </w:r>
          </w:p>
        </w:tc>
        <w:tc>
          <w:tcPr>
            <w:tcW w:w="6591" w:type="dxa"/>
            <w:gridSpan w:val="2"/>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蓄电池按要求试验，充电电量每1Ah析出的酸雾量应不大于0.025mg。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安全阀要求</w:t>
            </w:r>
          </w:p>
        </w:tc>
        <w:tc>
          <w:tcPr>
            <w:tcW w:w="6591" w:type="dxa"/>
            <w:gridSpan w:val="2"/>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开阀压力和闭阀压力范围满足产品，范围值小，安全阀应具有自动开启和自动关闭的功能。</w:t>
            </w:r>
          </w:p>
          <w:p>
            <w:pPr>
              <w:spacing w:after="0" w:afterLines="0" w:line="560" w:lineRule="exact"/>
              <w:jc w:val="both"/>
              <w:textAlignment w:val="center"/>
              <w:rPr>
                <w:rFonts w:hint="eastAsia" w:ascii="仿宋" w:hAnsi="仿宋" w:eastAsia="仿宋" w:cs="仿宋——GB2312"/>
                <w:bCs/>
                <w:color w:val="FF0000"/>
                <w:kern w:val="2"/>
                <w:sz w:val="24"/>
                <w:szCs w:val="24"/>
                <w:lang w:val="en-US" w:eastAsia="zh-CN" w:bidi="ar-SA"/>
              </w:rPr>
            </w:pPr>
            <w:r>
              <w:rPr>
                <w:rFonts w:hint="eastAsia" w:ascii="仿宋" w:hAnsi="仿宋" w:eastAsia="仿宋" w:cs="仿宋——GB2312"/>
                <w:bCs/>
                <w:kern w:val="2"/>
                <w:sz w:val="24"/>
                <w:szCs w:val="24"/>
                <w:lang w:val="en-US" w:eastAsia="zh-CN" w:bidi="ar-SA"/>
              </w:rPr>
              <w:t>蓄电池的关键部件单向安全阀采用阻燃材料</w:t>
            </w:r>
            <w:r>
              <w:rPr>
                <w:rFonts w:ascii="仿宋" w:hAnsi="仿宋" w:eastAsia="仿宋" w:cs="仿宋——GB2312"/>
                <w:bCs/>
                <w:kern w:val="2"/>
                <w:sz w:val="24"/>
                <w:szCs w:val="24"/>
                <w:lang w:val="en-US" w:eastAsia="zh-CN" w:bidi="ar-SA"/>
              </w:rPr>
              <w:t>.</w:t>
            </w:r>
            <w:r>
              <w:rPr>
                <w:rFonts w:hint="eastAsia" w:ascii="仿宋" w:hAnsi="仿宋" w:eastAsia="仿宋" w:cs="仿宋——GB2312"/>
                <w:bCs/>
                <w:kern w:val="2"/>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耐过充电能力</w:t>
            </w:r>
          </w:p>
        </w:tc>
        <w:tc>
          <w:tcPr>
            <w:tcW w:w="6591" w:type="dxa"/>
            <w:gridSpan w:val="2"/>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蓄电池按要求试验后，其外观应无明显变形及渗液。</w:t>
            </w:r>
          </w:p>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蓄电池具有很强的耐过充能力和过充寿命。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蓄电池端电压的均衡性</w:t>
            </w:r>
          </w:p>
        </w:tc>
        <w:tc>
          <w:tcPr>
            <w:tcW w:w="6591" w:type="dxa"/>
            <w:gridSpan w:val="2"/>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单体蓄电池或由若干个单体组成一体的蓄电池，其单个电池间的开路电压最高与最低差值应不大于20mV(2V)。</w:t>
            </w:r>
          </w:p>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新蓄电池进入浮充状态24H后，各单体蓄电池之间的端电压最高与最低差值应不大于90mV(2V)。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蓄电池间连接电压降</w:t>
            </w:r>
          </w:p>
        </w:tc>
        <w:tc>
          <w:tcPr>
            <w:tcW w:w="6591" w:type="dxa"/>
            <w:gridSpan w:val="2"/>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蓄电池间的连接电压降ΔU≤10mV。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防爆性能</w:t>
            </w:r>
          </w:p>
        </w:tc>
        <w:tc>
          <w:tcPr>
            <w:tcW w:w="6591" w:type="dxa"/>
            <w:gridSpan w:val="2"/>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蓄电池按要求试验，当外遇明火时，其内部不应发生燃烧或爆炸。蓄电池应具有防爆能力，并不产生腐蚀性气体。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封口剂性能</w:t>
            </w:r>
          </w:p>
        </w:tc>
        <w:tc>
          <w:tcPr>
            <w:tcW w:w="6591" w:type="dxa"/>
            <w:gridSpan w:val="2"/>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采用封口剂的蓄电池，在温度为-30℃—65℃范围内，封口剂不应有裂纹与溢流现象。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热失控敏感性</w:t>
            </w:r>
          </w:p>
        </w:tc>
        <w:tc>
          <w:tcPr>
            <w:tcW w:w="6591" w:type="dxa"/>
            <w:gridSpan w:val="2"/>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蓄电池按规定的方法试验，应符合下述规定值：</w:t>
            </w:r>
          </w:p>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蓄电池温升应≤25℃，每24h的电流增长率应≤50%。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过度放电试验</w:t>
            </w:r>
          </w:p>
        </w:tc>
        <w:tc>
          <w:tcPr>
            <w:tcW w:w="6591" w:type="dxa"/>
            <w:gridSpan w:val="2"/>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蓄电池按规定的方法试验，其容量恢复值应≥85%。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低温敏感性</w:t>
            </w:r>
          </w:p>
        </w:tc>
        <w:tc>
          <w:tcPr>
            <w:tcW w:w="6591" w:type="dxa"/>
            <w:gridSpan w:val="2"/>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蓄电池按规定的方法试验，外观不应有破裂、过度膨胀及槽与盖分离现象。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蓄电池寿命</w:t>
            </w:r>
          </w:p>
        </w:tc>
        <w:tc>
          <w:tcPr>
            <w:tcW w:w="6591" w:type="dxa"/>
            <w:gridSpan w:val="2"/>
            <w:noWrap w:val="0"/>
            <w:vAlign w:val="center"/>
          </w:tcPr>
          <w:p>
            <w:pPr>
              <w:widowControl/>
              <w:tabs>
                <w:tab w:val="left" w:pos="420"/>
                <w:tab w:val="left" w:pos="720"/>
                <w:tab w:val="left" w:pos="888"/>
              </w:tabs>
              <w:spacing w:line="560" w:lineRule="exact"/>
              <w:textAlignment w:val="center"/>
              <w:rPr>
                <w:rFonts w:hint="eastAsia" w:ascii="仿宋" w:hAnsi="仿宋" w:eastAsia="仿宋" w:cs="宋体"/>
                <w:bCs/>
                <w:color w:val="FF0000"/>
                <w:sz w:val="24"/>
                <w:szCs w:val="24"/>
              </w:rPr>
            </w:pPr>
            <w:r>
              <w:rPr>
                <w:rFonts w:hint="eastAsia" w:ascii="仿宋" w:hAnsi="仿宋" w:eastAsia="仿宋" w:cs="仿宋——GB2312"/>
                <w:bCs/>
                <w:sz w:val="24"/>
                <w:szCs w:val="24"/>
              </w:rPr>
              <w:t>按规定的方法试验，在环境温度25°下，</w:t>
            </w:r>
            <w:r>
              <w:rPr>
                <w:rFonts w:hint="eastAsia" w:ascii="仿宋" w:hAnsi="仿宋" w:eastAsia="仿宋" w:cs="宋体"/>
                <w:bCs/>
                <w:sz w:val="24"/>
                <w:szCs w:val="24"/>
              </w:rPr>
              <w:t>蓄电池在 25℃ 至少保证寿命</w:t>
            </w:r>
            <w:r>
              <w:rPr>
                <w:rFonts w:hint="eastAsia" w:ascii="仿宋" w:hAnsi="仿宋" w:eastAsia="仿宋" w:cs="Times New Roman"/>
                <w:bCs/>
                <w:sz w:val="24"/>
                <w:szCs w:val="24"/>
                <w:shd w:val="clear" w:color="auto" w:fill="FFFFFF"/>
              </w:rPr>
              <w:t>1</w:t>
            </w:r>
            <w:r>
              <w:rPr>
                <w:rFonts w:ascii="仿宋" w:hAnsi="仿宋" w:eastAsia="仿宋" w:cs="Times New Roman"/>
                <w:bCs/>
                <w:sz w:val="24"/>
                <w:szCs w:val="24"/>
                <w:shd w:val="clear" w:color="auto" w:fill="FFFFFF"/>
              </w:rPr>
              <w:t>2</w:t>
            </w:r>
            <w:r>
              <w:rPr>
                <w:rFonts w:hint="eastAsia" w:ascii="仿宋" w:hAnsi="仿宋" w:eastAsia="仿宋" w:cs="Times New Roman"/>
                <w:bCs/>
                <w:sz w:val="24"/>
                <w:szCs w:val="24"/>
                <w:shd w:val="clear" w:color="auto" w:fill="FFFFFF"/>
              </w:rPr>
              <w:t>年</w:t>
            </w:r>
            <w:r>
              <w:rPr>
                <w:rFonts w:hint="eastAsia" w:ascii="仿宋" w:hAnsi="仿宋" w:eastAsia="仿宋"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88" w:type="dxa"/>
            <w:noWrap w:val="0"/>
            <w:vAlign w:val="center"/>
          </w:tcPr>
          <w:p>
            <w:pPr>
              <w:spacing w:after="0" w:afterLines="0" w:line="560" w:lineRule="exact"/>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其他</w:t>
            </w:r>
          </w:p>
        </w:tc>
        <w:tc>
          <w:tcPr>
            <w:tcW w:w="6591" w:type="dxa"/>
            <w:gridSpan w:val="2"/>
            <w:noWrap w:val="0"/>
            <w:vAlign w:val="center"/>
          </w:tcPr>
          <w:p>
            <w:pPr>
              <w:widowControl w:val="0"/>
              <w:numPr>
                <w:ilvl w:val="0"/>
                <w:numId w:val="157"/>
              </w:numPr>
              <w:spacing w:after="0" w:afterLines="0" w:line="560" w:lineRule="exact"/>
              <w:ind w:left="420" w:hanging="420"/>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蓄电池组串联和外露导电金属极要求有安全防护。</w:t>
            </w:r>
          </w:p>
          <w:p>
            <w:pPr>
              <w:widowControl w:val="0"/>
              <w:numPr>
                <w:ilvl w:val="0"/>
                <w:numId w:val="157"/>
              </w:numPr>
              <w:spacing w:after="0" w:afterLines="0" w:line="560" w:lineRule="exact"/>
              <w:ind w:left="420" w:hanging="420"/>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蓄电池退出： 如蓄电池需要维修，由断路器或熔断开关（电池组隔离柜）将蓄电池系统从整流器／蓄电池充电器和逆变器上断开。此时UPS 须能继续供电。</w:t>
            </w:r>
          </w:p>
          <w:p>
            <w:pPr>
              <w:widowControl w:val="0"/>
              <w:numPr>
                <w:ilvl w:val="0"/>
                <w:numId w:val="157"/>
              </w:numPr>
              <w:spacing w:after="0" w:afterLines="0" w:line="560" w:lineRule="exact"/>
              <w:ind w:left="420" w:hanging="420"/>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电池底部需加装防漏液托盘或绝缘层。</w:t>
            </w:r>
          </w:p>
          <w:p>
            <w:pPr>
              <w:widowControl w:val="0"/>
              <w:numPr>
                <w:ilvl w:val="0"/>
                <w:numId w:val="157"/>
              </w:numPr>
              <w:spacing w:after="0" w:afterLines="0" w:line="560" w:lineRule="exact"/>
              <w:ind w:left="420" w:hanging="420"/>
              <w:jc w:val="both"/>
              <w:textAlignment w:val="center"/>
              <w:rPr>
                <w:rFonts w:hint="eastAsia" w:ascii="仿宋" w:hAnsi="仿宋" w:eastAsia="仿宋" w:cs="仿宋——GB2312"/>
                <w:bCs/>
                <w:kern w:val="2"/>
                <w:sz w:val="24"/>
                <w:szCs w:val="24"/>
                <w:lang w:val="en-US" w:eastAsia="zh-CN" w:bidi="ar-SA"/>
              </w:rPr>
            </w:pPr>
            <w:r>
              <w:rPr>
                <w:rFonts w:hint="eastAsia" w:ascii="仿宋" w:hAnsi="仿宋" w:eastAsia="仿宋" w:cs="仿宋——GB2312"/>
                <w:bCs/>
                <w:kern w:val="2"/>
                <w:sz w:val="24"/>
                <w:szCs w:val="24"/>
                <w:lang w:val="en-US" w:eastAsia="zh-CN" w:bidi="ar-SA"/>
              </w:rPr>
              <w:t>安装方式视产品，满足产品使用要求。</w:t>
            </w:r>
          </w:p>
        </w:tc>
      </w:tr>
    </w:tbl>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699" w:name="_Toc30862"/>
      <w:r>
        <w:rPr>
          <w:rFonts w:hint="eastAsia" w:ascii="楷体" w:hAnsi="楷体" w:eastAsia="仿宋" w:cs="Times New Roman"/>
          <w:b/>
          <w:kern w:val="2"/>
          <w:sz w:val="28"/>
          <w:lang w:val="en-US" w:eastAsia="zh-CN" w:bidi="ar-SA"/>
        </w:rPr>
        <w:t>末端智能专用配电母线槽</w:t>
      </w:r>
      <w:bookmarkEnd w:id="696"/>
      <w:bookmarkEnd w:id="699"/>
    </w:p>
    <w:p>
      <w:pPr>
        <w:widowControl/>
        <w:numPr>
          <w:ilvl w:val="0"/>
          <w:numId w:val="15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机柜柜顶母线槽系统主要由始端箱、母线本体、插接箱、端口盖、悬挂或支持附件组成。母线连接、悬挂或支持需配专业附件，并使用专用工具安装。可实现在机柜上方安装固定。</w:t>
      </w:r>
    </w:p>
    <w:p>
      <w:pPr>
        <w:widowControl/>
        <w:numPr>
          <w:ilvl w:val="0"/>
          <w:numId w:val="15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工程机房模块机柜采用柜顶母线槽配电系统。A、B路UPS电源输出至柜顶母线槽的始端箱，母线槽与始端箱连接，通过安装在母线槽上的插接箱为机柜供电。每三个机柜共用一台A电源插接箱、一台B电源插接箱。每个插接箱内设三路32A/1P断路器，并配32A/1P（单项）工业连接器，由工业连接器连接机柜PDU进线电缆。</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bookmarkStart w:id="700" w:name="_Toc396395694"/>
      <w:bookmarkEnd w:id="700"/>
      <w:bookmarkStart w:id="701" w:name="_Toc396395681"/>
      <w:bookmarkEnd w:id="701"/>
      <w:bookmarkStart w:id="702" w:name="_Toc396395685"/>
      <w:bookmarkEnd w:id="702"/>
      <w:bookmarkStart w:id="703" w:name="_Toc396395699"/>
      <w:bookmarkEnd w:id="703"/>
      <w:bookmarkStart w:id="704" w:name="_Toc396395680"/>
      <w:bookmarkEnd w:id="704"/>
      <w:bookmarkStart w:id="705" w:name="_Toc396395682"/>
      <w:bookmarkEnd w:id="705"/>
      <w:bookmarkStart w:id="706" w:name="_Toc396395650"/>
      <w:bookmarkEnd w:id="706"/>
      <w:bookmarkStart w:id="707" w:name="_Toc396395607"/>
      <w:bookmarkEnd w:id="707"/>
      <w:bookmarkStart w:id="708" w:name="_Toc396395679"/>
      <w:bookmarkEnd w:id="708"/>
      <w:bookmarkStart w:id="709" w:name="_Toc396395689"/>
      <w:bookmarkEnd w:id="709"/>
      <w:bookmarkStart w:id="710" w:name="_Toc396395648"/>
      <w:bookmarkEnd w:id="710"/>
      <w:bookmarkStart w:id="711" w:name="_Toc396395649"/>
      <w:bookmarkEnd w:id="711"/>
      <w:bookmarkStart w:id="712" w:name="_Toc396395700"/>
      <w:bookmarkEnd w:id="712"/>
      <w:bookmarkStart w:id="713" w:name="_Toc396395697"/>
      <w:bookmarkEnd w:id="713"/>
      <w:bookmarkStart w:id="714" w:name="_Toc396395691"/>
      <w:bookmarkEnd w:id="714"/>
      <w:bookmarkStart w:id="715" w:name="_Toc396395690"/>
      <w:bookmarkEnd w:id="715"/>
      <w:bookmarkStart w:id="716" w:name="_Toc396395698"/>
      <w:bookmarkEnd w:id="716"/>
      <w:bookmarkStart w:id="717" w:name="_Toc396395683"/>
      <w:bookmarkEnd w:id="717"/>
      <w:bookmarkStart w:id="718" w:name="_Toc396395684"/>
      <w:bookmarkEnd w:id="718"/>
      <w:bookmarkStart w:id="719" w:name="_Toc396395704"/>
      <w:bookmarkEnd w:id="719"/>
      <w:bookmarkStart w:id="720" w:name="_Toc396395686"/>
      <w:bookmarkEnd w:id="720"/>
      <w:bookmarkStart w:id="721" w:name="_Toc396395687"/>
      <w:bookmarkEnd w:id="721"/>
      <w:bookmarkStart w:id="722" w:name="_Toc396395688"/>
      <w:bookmarkEnd w:id="722"/>
      <w:bookmarkStart w:id="723" w:name="_Toc396395692"/>
      <w:bookmarkEnd w:id="723"/>
      <w:bookmarkStart w:id="724" w:name="_Toc396395701"/>
      <w:bookmarkEnd w:id="724"/>
      <w:bookmarkStart w:id="725" w:name="_Toc396395702"/>
      <w:bookmarkEnd w:id="725"/>
      <w:bookmarkStart w:id="726" w:name="_Toc396395703"/>
      <w:bookmarkEnd w:id="726"/>
      <w:bookmarkStart w:id="727" w:name="_Toc396395693"/>
      <w:bookmarkEnd w:id="727"/>
      <w:bookmarkStart w:id="728" w:name="_Toc396395652"/>
      <w:bookmarkEnd w:id="728"/>
      <w:bookmarkStart w:id="729" w:name="_Toc396395606"/>
      <w:bookmarkEnd w:id="729"/>
      <w:bookmarkStart w:id="730" w:name="_Toc396395651"/>
      <w:bookmarkEnd w:id="730"/>
      <w:bookmarkStart w:id="731" w:name="_Toc396395695"/>
      <w:bookmarkEnd w:id="731"/>
      <w:bookmarkStart w:id="732" w:name="_Toc396395696"/>
      <w:bookmarkEnd w:id="732"/>
      <w:bookmarkStart w:id="733" w:name="_Toc396395678"/>
      <w:bookmarkEnd w:id="733"/>
      <w:bookmarkStart w:id="734" w:name="_Toc396395608"/>
      <w:bookmarkEnd w:id="734"/>
      <w:r>
        <w:rPr>
          <w:rFonts w:hint="eastAsia" w:ascii="楷体" w:hAnsi="楷体" w:eastAsia="仿宋" w:cs="Times New Roman"/>
          <w:b/>
          <w:kern w:val="2"/>
          <w:sz w:val="28"/>
          <w:szCs w:val="20"/>
          <w:lang w:val="en-US" w:eastAsia="zh-CN" w:bidi="ar-SA"/>
        </w:rPr>
        <w:t>总体要求</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 xml:space="preserve">(1) </w:t>
      </w:r>
      <w:r>
        <w:rPr>
          <w:rFonts w:hint="eastAsia" w:ascii="仿宋" w:hAnsi="仿宋" w:eastAsia="仿宋" w:cs="Times New Roman"/>
          <w:sz w:val="28"/>
          <w:szCs w:val="28"/>
          <w:lang w:val="zh-CN"/>
        </w:rPr>
        <w:t>投标产品均为国内外一线品牌。</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 xml:space="preserve">(2) </w:t>
      </w:r>
      <w:r>
        <w:rPr>
          <w:rFonts w:hint="eastAsia" w:ascii="仿宋" w:hAnsi="仿宋" w:eastAsia="仿宋" w:cs="Times New Roman"/>
          <w:sz w:val="28"/>
          <w:szCs w:val="28"/>
          <w:lang w:val="zh-CN"/>
        </w:rPr>
        <w:t>所有产品均应为原厂生产产品并具备自主知识产权，并提供有效专利证明文件。投标产品为成熟产品，并提供不少于3个金融案例并提供业绩证明报告。</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 xml:space="preserve">(3) </w:t>
      </w:r>
      <w:r>
        <w:rPr>
          <w:rFonts w:hint="eastAsia" w:ascii="仿宋" w:hAnsi="仿宋" w:eastAsia="仿宋" w:cs="Times New Roman"/>
          <w:sz w:val="28"/>
          <w:szCs w:val="28"/>
          <w:lang w:val="zh-CN"/>
        </w:rPr>
        <w:t>所提供产品必须通过中国国家强制性认证(CCC), 并提供有效的型式试验报告，其中母线短路电流耐受值</w:t>
      </w:r>
      <w:r>
        <w:rPr>
          <w:rFonts w:hint="eastAsia" w:ascii="仿宋" w:hAnsi="仿宋" w:eastAsia="仿宋" w:cs="Times New Roman"/>
          <w:sz w:val="28"/>
          <w:szCs w:val="28"/>
        </w:rPr>
        <w:t>Icw不得低于15Ka。</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 xml:space="preserve">(4) </w:t>
      </w:r>
      <w:r>
        <w:rPr>
          <w:rFonts w:hint="eastAsia" w:ascii="仿宋" w:hAnsi="仿宋" w:eastAsia="仿宋" w:cs="Times New Roman"/>
          <w:sz w:val="28"/>
          <w:szCs w:val="28"/>
          <w:lang w:val="zh-CN"/>
        </w:rPr>
        <w:t>即插即用母线槽系统的设计、制造、试验和绝缘等应符合中华人民共和国颁发的GB、行业和国际电工协会IEC 标准， 以上所有标准均以最新版本为准。当上述标准不一致时按高标准执行。</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 xml:space="preserve">(5) </w:t>
      </w:r>
      <w:r>
        <w:rPr>
          <w:rFonts w:hint="eastAsia" w:ascii="仿宋" w:hAnsi="仿宋" w:eastAsia="仿宋" w:cs="Times New Roman"/>
          <w:sz w:val="28"/>
          <w:szCs w:val="28"/>
          <w:lang w:val="zh-CN"/>
        </w:rPr>
        <w:t>末端专用配电母线槽系统所有组成部件包括：始端箱、母线槽、插接箱、母线槽连接、端口盖均要求使用同一品牌。</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 xml:space="preserve">(6) </w:t>
      </w:r>
      <w:r>
        <w:rPr>
          <w:rFonts w:hint="eastAsia" w:ascii="仿宋" w:hAnsi="仿宋" w:eastAsia="仿宋" w:cs="Times New Roman"/>
          <w:sz w:val="28"/>
          <w:szCs w:val="28"/>
          <w:lang w:val="zh-CN"/>
        </w:rPr>
        <w:t>母线主体构件的结构形式为开放形式，主要由母线槽主体、端口母线槽、分接单元、吊件和安装附件等组成。</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 xml:space="preserve">(7) </w:t>
      </w:r>
      <w:r>
        <w:rPr>
          <w:rFonts w:hint="eastAsia" w:ascii="仿宋" w:hAnsi="仿宋" w:eastAsia="仿宋" w:cs="Times New Roman"/>
          <w:sz w:val="28"/>
          <w:szCs w:val="28"/>
          <w:lang w:val="zh-CN"/>
        </w:rPr>
        <w:t>中标方应在履行合同的全过程（从开始供货到最终验收），对所有供货和服务的质量负责。即要保证所有供货和服务的质量符合合同中有关技术、交付、验收和价格所规定的要求。</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 xml:space="preserve">(8) </w:t>
      </w:r>
      <w:r>
        <w:rPr>
          <w:rFonts w:hint="eastAsia" w:ascii="仿宋" w:hAnsi="仿宋" w:eastAsia="仿宋" w:cs="Times New Roman"/>
          <w:sz w:val="28"/>
          <w:szCs w:val="28"/>
          <w:lang w:val="zh-CN"/>
        </w:rPr>
        <w:t>中标方应提供所有相关文件，包括质量和生产检验指标以及合同规定的其他技术文件。以这些文件作为依据来确保质量执行过程与合同规定的质量计划一致。</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 xml:space="preserve">(9) </w:t>
      </w:r>
      <w:r>
        <w:rPr>
          <w:rFonts w:hint="eastAsia" w:ascii="仿宋" w:hAnsi="仿宋" w:eastAsia="仿宋" w:cs="Times New Roman"/>
          <w:sz w:val="28"/>
          <w:szCs w:val="28"/>
          <w:lang w:val="zh-CN"/>
        </w:rPr>
        <w:t>中标方应对本技术和服务要求中所列明的各项内容和要求逐项做出明确的响应。如投标产品的技术性能指标优于本文件所提出的要求，应做出明确说明，以便评标委员会在进行综合评审时做出对中标方有利的评估。</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(10)</w:t>
      </w:r>
      <w:r>
        <w:rPr>
          <w:rFonts w:hint="eastAsia" w:ascii="仿宋" w:hAnsi="仿宋" w:eastAsia="仿宋" w:cs="Times New Roman"/>
          <w:sz w:val="28"/>
          <w:szCs w:val="28"/>
          <w:lang w:val="zh-CN"/>
        </w:rPr>
        <w:t>本技术和服务要求所使用的标准如与投标方所执行的标准发生矛盾时，应按较高的标准执行。</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 xml:space="preserve"> 功能要求</w:t>
      </w:r>
    </w:p>
    <w:p>
      <w:pPr>
        <w:widowControl/>
        <w:numPr>
          <w:ilvl w:val="0"/>
          <w:numId w:val="15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即插即用，无需断电母线槽即可实现对接插箱的在线插拔（须图示说明并配以必要的说明）；</w:t>
      </w:r>
    </w:p>
    <w:p>
      <w:pPr>
        <w:widowControl/>
        <w:numPr>
          <w:ilvl w:val="0"/>
          <w:numId w:val="15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全点安装，接插箱可安装在母线槽主体（除连接处）的任意位置上，接插箱在同一位置的重复安装次数不少于150次；</w:t>
      </w:r>
    </w:p>
    <w:p>
      <w:pPr>
        <w:widowControl/>
        <w:numPr>
          <w:ilvl w:val="0"/>
          <w:numId w:val="15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分步实施，母线槽为模块化结构，支持延续、扩展和重构，支持部件的按需分项采购和部署；</w:t>
      </w:r>
    </w:p>
    <w:p>
      <w:pPr>
        <w:widowControl/>
        <w:numPr>
          <w:ilvl w:val="0"/>
          <w:numId w:val="15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母线槽支持多种安装方式，可吊装、置顶或地板下安装，接插箱单元支持垂直和水平安装方式；</w:t>
      </w:r>
    </w:p>
    <w:p>
      <w:pPr>
        <w:widowControl/>
        <w:numPr>
          <w:ilvl w:val="0"/>
          <w:numId w:val="15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免维护、长使用寿命，母线槽在安装完成后使用过程中无需进行特殊和定期维护，使用寿命可达20年及以上；</w:t>
      </w:r>
    </w:p>
    <w:p>
      <w:pPr>
        <w:widowControl/>
        <w:numPr>
          <w:ilvl w:val="0"/>
          <w:numId w:val="15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接插箱箱型配置可选，可支持16A、32A、63A负载回路，回路可选配IEC60309标准接口，支持接插箱容量变换和箱体的即插即用。</w:t>
      </w:r>
    </w:p>
    <w:p>
      <w:pPr>
        <w:widowControl/>
        <w:numPr>
          <w:ilvl w:val="0"/>
          <w:numId w:val="15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接插箱的插接操作应快速、灵活、可靠。应带有内部连锁机构，可以在不使用任何工具带电的情况下手动操作，通过简单地入位、旋转、锁闭三歩动作完成快速部署；</w:t>
      </w:r>
    </w:p>
    <w:p>
      <w:pPr>
        <w:widowControl/>
        <w:numPr>
          <w:ilvl w:val="0"/>
          <w:numId w:val="15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接地端子，母线槽、接插箱均应有接地端子；</w:t>
      </w:r>
    </w:p>
    <w:p>
      <w:pPr>
        <w:widowControl/>
        <w:numPr>
          <w:ilvl w:val="0"/>
          <w:numId w:val="15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标识，母线槽、接插箱均应有明显标识以标识正、反，极性，转向等重要信息。</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详细参数及技术指标</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母线槽</w:t>
      </w:r>
    </w:p>
    <w:p>
      <w:pPr>
        <w:widowControl/>
        <w:numPr>
          <w:ilvl w:val="0"/>
          <w:numId w:val="16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槽型结构绝缘母线；</w:t>
      </w:r>
    </w:p>
    <w:p>
      <w:pPr>
        <w:widowControl/>
        <w:numPr>
          <w:ilvl w:val="0"/>
          <w:numId w:val="16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铝镁合金型材外壳，外壳厚度不小于3mm，壳体表面进行防腐工艺处理，外表颜色为金属银色，可接受客户指定颜色；</w:t>
      </w:r>
    </w:p>
    <w:p>
      <w:pPr>
        <w:widowControl/>
        <w:numPr>
          <w:ilvl w:val="0"/>
          <w:numId w:val="160"/>
        </w:numPr>
        <w:spacing w:line="560" w:lineRule="exact"/>
        <w:ind w:left="0" w:firstLine="0"/>
        <w:rPr>
          <w:rFonts w:hint="eastAsia" w:ascii="仿宋" w:hAnsi="仿宋" w:eastAsia="仿宋" w:cs="Times New Roman"/>
          <w:sz w:val="28"/>
          <w:szCs w:val="28"/>
          <w:lang w:val="zh-CN"/>
        </w:rPr>
      </w:pPr>
      <w:r>
        <w:rPr>
          <w:rFonts w:hint="eastAsia" w:ascii="楷体" w:hAnsi="楷体" w:eastAsia="楷体" w:cs="楷体"/>
          <w:bCs/>
          <w:color w:val="000000"/>
          <w:sz w:val="28"/>
          <w:szCs w:val="28"/>
        </w:rPr>
        <w:t>母线导体采用优质合金铜排，表面须进行镀处理；</w:t>
      </w:r>
    </w:p>
    <w:p>
      <w:pPr>
        <w:widowControl/>
        <w:numPr>
          <w:ilvl w:val="0"/>
          <w:numId w:val="16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外壳装配不能采用螺栓式连接，禁止对母线导体和外壳进行局部冲孔处理，造成母线局部载流能力下降；</w:t>
      </w:r>
    </w:p>
    <w:p>
      <w:pPr>
        <w:widowControl/>
        <w:numPr>
          <w:ilvl w:val="0"/>
          <w:numId w:val="160"/>
        </w:numPr>
        <w:spacing w:line="560" w:lineRule="exact"/>
        <w:ind w:left="0" w:firstLine="0"/>
        <w:rPr>
          <w:rFonts w:hint="eastAsia" w:ascii="仿宋" w:hAnsi="仿宋" w:eastAsia="仿宋" w:cs="Times New Roman"/>
          <w:sz w:val="28"/>
          <w:szCs w:val="28"/>
          <w:lang w:val="zh-CN"/>
        </w:rPr>
      </w:pPr>
      <w:r>
        <w:rPr>
          <w:rFonts w:hint="eastAsia" w:ascii="楷体" w:hAnsi="楷体" w:eastAsia="楷体" w:cs="楷体"/>
          <w:bCs/>
          <w:color w:val="000000"/>
          <w:sz w:val="28"/>
          <w:szCs w:val="28"/>
        </w:rPr>
        <w:t>母线槽N线至少采用100%相线容量的N线；</w:t>
      </w:r>
    </w:p>
    <w:p>
      <w:pPr>
        <w:widowControl/>
        <w:numPr>
          <w:ilvl w:val="0"/>
          <w:numId w:val="16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PE线采用独立铜排截面积不少于</w:t>
      </w:r>
      <w:r>
        <w:rPr>
          <w:rFonts w:hint="eastAsia" w:ascii="仿宋" w:hAnsi="仿宋" w:eastAsia="仿宋" w:cs="Times New Roman"/>
          <w:sz w:val="28"/>
          <w:szCs w:val="28"/>
        </w:rPr>
        <w:t>10</w:t>
      </w:r>
      <w:r>
        <w:rPr>
          <w:rFonts w:hint="eastAsia" w:ascii="仿宋" w:hAnsi="仿宋" w:eastAsia="仿宋" w:cs="Times New Roman"/>
          <w:sz w:val="28"/>
          <w:szCs w:val="28"/>
          <w:lang w:val="zh-CN"/>
        </w:rPr>
        <w:t>0%相线容量， 不得采用利用外壳代替PE铜排接地方式；</w:t>
      </w:r>
    </w:p>
    <w:p>
      <w:pPr>
        <w:widowControl/>
        <w:numPr>
          <w:ilvl w:val="0"/>
          <w:numId w:val="16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母线绝缘介质要求B级及以上，整体包覆每相铜排绝缘工艺，老化寿命20年；</w:t>
      </w:r>
    </w:p>
    <w:p>
      <w:pPr>
        <w:widowControl/>
        <w:numPr>
          <w:ilvl w:val="0"/>
          <w:numId w:val="16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母线槽除连接处外，槽体的各个空位皆可安装接插单元；</w:t>
      </w:r>
    </w:p>
    <w:p>
      <w:pPr>
        <w:widowControl/>
        <w:numPr>
          <w:ilvl w:val="0"/>
          <w:numId w:val="160"/>
        </w:numPr>
        <w:spacing w:line="560" w:lineRule="exact"/>
        <w:ind w:left="0" w:firstLine="0"/>
        <w:rPr>
          <w:rFonts w:hint="eastAsia" w:ascii="仿宋" w:hAnsi="仿宋" w:eastAsia="仿宋" w:cs="仿宋"/>
          <w:sz w:val="28"/>
          <w:szCs w:val="28"/>
        </w:rPr>
      </w:pPr>
      <w:r>
        <w:rPr>
          <w:rFonts w:hint="eastAsia" w:ascii="仿宋" w:hAnsi="仿宋" w:eastAsia="仿宋" w:cs="Times New Roman"/>
          <w:sz w:val="28"/>
          <w:szCs w:val="28"/>
          <w:lang w:val="zh-CN"/>
        </w:rPr>
        <w:t>规格参数表：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447"/>
        <w:gridCol w:w="4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noWrap w:val="0"/>
            <w:vAlign w:val="top"/>
          </w:tcPr>
          <w:p>
            <w:pPr>
              <w:widowControl/>
              <w:spacing w:line="360" w:lineRule="auto"/>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序号</w:t>
            </w:r>
          </w:p>
        </w:tc>
        <w:tc>
          <w:tcPr>
            <w:tcW w:w="2447" w:type="dxa"/>
            <w:noWrap w:val="0"/>
            <w:vAlign w:val="top"/>
          </w:tcPr>
          <w:p>
            <w:pPr>
              <w:widowControl/>
              <w:spacing w:line="360" w:lineRule="auto"/>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名称</w:t>
            </w:r>
          </w:p>
        </w:tc>
        <w:tc>
          <w:tcPr>
            <w:tcW w:w="4653" w:type="dxa"/>
            <w:noWrap w:val="0"/>
            <w:vAlign w:val="top"/>
          </w:tcPr>
          <w:p>
            <w:pPr>
              <w:widowControl/>
              <w:spacing w:line="360" w:lineRule="auto"/>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noWrap w:val="0"/>
            <w:vAlign w:val="top"/>
          </w:tcPr>
          <w:p>
            <w:pPr>
              <w:widowControl/>
              <w:spacing w:line="360" w:lineRule="auto"/>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1</w:t>
            </w:r>
          </w:p>
        </w:tc>
        <w:tc>
          <w:tcPr>
            <w:tcW w:w="2447"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额定电压(V)</w:t>
            </w:r>
          </w:p>
        </w:tc>
        <w:tc>
          <w:tcPr>
            <w:tcW w:w="4653"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380V/415V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06" w:type="dxa"/>
            <w:noWrap w:val="0"/>
            <w:vAlign w:val="top"/>
          </w:tcPr>
          <w:p>
            <w:pPr>
              <w:widowControl/>
              <w:spacing w:line="360" w:lineRule="auto"/>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2</w:t>
            </w:r>
          </w:p>
        </w:tc>
        <w:tc>
          <w:tcPr>
            <w:tcW w:w="2447"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最高电压(V)</w:t>
            </w:r>
          </w:p>
        </w:tc>
        <w:tc>
          <w:tcPr>
            <w:tcW w:w="4653"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690V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noWrap w:val="0"/>
            <w:vAlign w:val="top"/>
          </w:tcPr>
          <w:p>
            <w:pPr>
              <w:widowControl/>
              <w:spacing w:line="360" w:lineRule="auto"/>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3</w:t>
            </w:r>
          </w:p>
        </w:tc>
        <w:tc>
          <w:tcPr>
            <w:tcW w:w="2447"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规格长度（M）</w:t>
            </w:r>
          </w:p>
        </w:tc>
        <w:tc>
          <w:tcPr>
            <w:tcW w:w="4653"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3m|2m|1m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noWrap w:val="0"/>
            <w:vAlign w:val="top"/>
          </w:tcPr>
          <w:p>
            <w:pPr>
              <w:widowControl/>
              <w:spacing w:line="360" w:lineRule="auto"/>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4</w:t>
            </w:r>
          </w:p>
        </w:tc>
        <w:tc>
          <w:tcPr>
            <w:tcW w:w="2447"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额定电流(A)</w:t>
            </w:r>
          </w:p>
        </w:tc>
        <w:tc>
          <w:tcPr>
            <w:tcW w:w="4653"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100A|225A|250A|400A|800A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noWrap w:val="0"/>
            <w:vAlign w:val="top"/>
          </w:tcPr>
          <w:p>
            <w:pPr>
              <w:widowControl/>
              <w:spacing w:line="360" w:lineRule="auto"/>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5</w:t>
            </w:r>
          </w:p>
        </w:tc>
        <w:tc>
          <w:tcPr>
            <w:tcW w:w="2447"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额定频率(HZ)</w:t>
            </w:r>
          </w:p>
        </w:tc>
        <w:tc>
          <w:tcPr>
            <w:tcW w:w="4653"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noWrap w:val="0"/>
            <w:vAlign w:val="top"/>
          </w:tcPr>
          <w:p>
            <w:pPr>
              <w:widowControl/>
              <w:spacing w:line="360" w:lineRule="auto"/>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6</w:t>
            </w:r>
          </w:p>
        </w:tc>
        <w:tc>
          <w:tcPr>
            <w:tcW w:w="2447"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1s热稳定电流(KA)</w:t>
            </w:r>
          </w:p>
        </w:tc>
        <w:tc>
          <w:tcPr>
            <w:tcW w:w="4653"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noWrap w:val="0"/>
            <w:vAlign w:val="top"/>
          </w:tcPr>
          <w:p>
            <w:pPr>
              <w:widowControl/>
              <w:spacing w:line="360" w:lineRule="auto"/>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7</w:t>
            </w:r>
          </w:p>
        </w:tc>
        <w:tc>
          <w:tcPr>
            <w:tcW w:w="2447"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动稳定电流(KA)</w:t>
            </w:r>
          </w:p>
        </w:tc>
        <w:tc>
          <w:tcPr>
            <w:tcW w:w="4653"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06" w:type="dxa"/>
            <w:noWrap w:val="0"/>
            <w:vAlign w:val="top"/>
          </w:tcPr>
          <w:p>
            <w:pPr>
              <w:widowControl/>
              <w:spacing w:line="360" w:lineRule="auto"/>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8</w:t>
            </w:r>
          </w:p>
        </w:tc>
        <w:tc>
          <w:tcPr>
            <w:tcW w:w="2447"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导体允许温度(K)</w:t>
            </w:r>
          </w:p>
        </w:tc>
        <w:tc>
          <w:tcPr>
            <w:tcW w:w="4653"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noWrap w:val="0"/>
            <w:vAlign w:val="top"/>
          </w:tcPr>
          <w:p>
            <w:pPr>
              <w:widowControl/>
              <w:spacing w:line="360" w:lineRule="auto"/>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9</w:t>
            </w:r>
          </w:p>
        </w:tc>
        <w:tc>
          <w:tcPr>
            <w:tcW w:w="2447"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导体材质</w:t>
            </w:r>
          </w:p>
        </w:tc>
        <w:tc>
          <w:tcPr>
            <w:tcW w:w="4653"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noWrap w:val="0"/>
            <w:vAlign w:val="top"/>
          </w:tcPr>
          <w:p>
            <w:pPr>
              <w:widowControl/>
              <w:spacing w:line="360" w:lineRule="auto"/>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10</w:t>
            </w:r>
          </w:p>
        </w:tc>
        <w:tc>
          <w:tcPr>
            <w:tcW w:w="2447"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相数</w:t>
            </w:r>
          </w:p>
        </w:tc>
        <w:tc>
          <w:tcPr>
            <w:tcW w:w="4653"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3（三相五线制）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noWrap w:val="0"/>
            <w:vAlign w:val="top"/>
          </w:tcPr>
          <w:p>
            <w:pPr>
              <w:widowControl/>
              <w:spacing w:line="360" w:lineRule="auto"/>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11</w:t>
            </w:r>
          </w:p>
        </w:tc>
        <w:tc>
          <w:tcPr>
            <w:tcW w:w="2447"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外壳材质</w:t>
            </w:r>
          </w:p>
        </w:tc>
        <w:tc>
          <w:tcPr>
            <w:tcW w:w="4653"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铝镁合金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6" w:type="dxa"/>
            <w:noWrap w:val="0"/>
            <w:vAlign w:val="top"/>
          </w:tcPr>
          <w:p>
            <w:pPr>
              <w:widowControl/>
              <w:spacing w:line="360" w:lineRule="auto"/>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12</w:t>
            </w:r>
          </w:p>
        </w:tc>
        <w:tc>
          <w:tcPr>
            <w:tcW w:w="2447"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加工工艺</w:t>
            </w:r>
          </w:p>
        </w:tc>
        <w:tc>
          <w:tcPr>
            <w:tcW w:w="4653" w:type="dxa"/>
            <w:noWrap w:val="0"/>
            <w:vAlign w:val="top"/>
          </w:tcPr>
          <w:p>
            <w:pPr>
              <w:widowControl/>
              <w:spacing w:line="360" w:lineRule="auto"/>
              <w:rPr>
                <w:rFonts w:hint="eastAsia" w:ascii="楷体" w:hAnsi="楷体" w:eastAsia="楷体" w:cs="楷体"/>
                <w:bCs/>
                <w:color w:val="000000"/>
                <w:sz w:val="28"/>
                <w:szCs w:val="28"/>
              </w:rPr>
            </w:pPr>
            <w:r>
              <w:rPr>
                <w:rFonts w:hint="eastAsia" w:ascii="楷体" w:hAnsi="楷体" w:eastAsia="楷体" w:cs="楷体"/>
                <w:bCs/>
                <w:color w:val="000000"/>
                <w:sz w:val="28"/>
                <w:szCs w:val="28"/>
              </w:rPr>
              <w:t>一次性冲压成型</w:t>
            </w:r>
          </w:p>
        </w:tc>
      </w:tr>
    </w:tbl>
    <w:p>
      <w:pPr>
        <w:ind w:left="420" w:firstLine="0" w:firstLineChars="0"/>
        <w:jc w:val="both"/>
        <w:rPr>
          <w:rFonts w:hint="eastAsia" w:ascii="楷体" w:hAnsi="楷体" w:eastAsia="楷体" w:cs="楷体"/>
          <w:bCs/>
          <w:color w:val="000000"/>
          <w:kern w:val="2"/>
          <w:sz w:val="24"/>
          <w:szCs w:val="28"/>
          <w:lang w:val="en-US" w:eastAsia="zh-CN" w:bidi="ar-SA"/>
        </w:rPr>
      </w:pP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母线槽连接</w:t>
      </w:r>
    </w:p>
    <w:p>
      <w:pPr>
        <w:widowControl/>
        <w:numPr>
          <w:ilvl w:val="0"/>
          <w:numId w:val="16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母线槽连接须采用硬连接方式，并可拆除任意一段母线而不会影响相邻单元，接头绝缘隔板须采用耐高温的绝缘板；</w:t>
      </w:r>
    </w:p>
    <w:p>
      <w:pPr>
        <w:widowControl/>
        <w:numPr>
          <w:ilvl w:val="0"/>
          <w:numId w:val="16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母线槽连接处在正常使用条件下，要求性能稳定可靠，有足够的强度以耐受安装、运行和短路条件下的所有应力而不致损坏变形；</w:t>
      </w:r>
    </w:p>
    <w:p>
      <w:pPr>
        <w:widowControl/>
        <w:numPr>
          <w:ilvl w:val="0"/>
          <w:numId w:val="16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母线与开关柜的连接，其具体尺寸及过渡连接装置在上线前中标方须进行现场测量并确定，上线后正常运行时不应产生过热；</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始端箱</w:t>
      </w:r>
    </w:p>
    <w:p>
      <w:pPr>
        <w:widowControl/>
        <w:numPr>
          <w:ilvl w:val="0"/>
          <w:numId w:val="16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同一厂商产品，箱壳材料为钢制或覆铝锌板，箱体材料厚度须大于1.5mm，箱体应有足够的机械强度，在起吊、运输、安装中不得变形或损伤；</w:t>
      </w:r>
    </w:p>
    <w:p>
      <w:pPr>
        <w:widowControl/>
        <w:numPr>
          <w:ilvl w:val="0"/>
          <w:numId w:val="16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箱体门及顶盖应采用现代先进的发泡隔热阻燃工艺制造，箱体采用焊接工艺制造，须满足焊缝无夹渣、咬边、气孔、夹渣等现象，以保证箱体外观平整均匀、无明显缺陷；</w:t>
      </w:r>
    </w:p>
    <w:p>
      <w:pPr>
        <w:widowControl/>
        <w:numPr>
          <w:ilvl w:val="0"/>
          <w:numId w:val="16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箱体内配备与电缆连接的专用端子，不需额外加装电缆端子即可与电缆连接,载流量不低于相应规格电缆载流量，且满足动热稳定要求； </w:t>
      </w:r>
    </w:p>
    <w:p>
      <w:pPr>
        <w:widowControl/>
        <w:numPr>
          <w:ilvl w:val="0"/>
          <w:numId w:val="16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箱体内导体的颜色和排列顺序应符合GB2681和GB7251.1中的相关规定，当相序排列不能满足标准要求时，在声明的情况下，可作特殊处理；</w:t>
      </w:r>
    </w:p>
    <w:p>
      <w:pPr>
        <w:widowControl/>
        <w:numPr>
          <w:ilvl w:val="0"/>
          <w:numId w:val="16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箱体中应设置并安装一条专用接地保护导体，并应保证装置接地系统的电气连续性。连接到接地导体上的元件有：箱体外壳，内部安装电器元件的接地导体和需接地的外壳，金属屏蔽及电力电缆的接地导体，控制或测量元件的接地导体。</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接插箱</w:t>
      </w:r>
    </w:p>
    <w:p>
      <w:pPr>
        <w:widowControl/>
        <w:numPr>
          <w:ilvl w:val="0"/>
          <w:numId w:val="16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接插箱为防护式插接箱，同一厂商生产，箱壳材料为钢制或覆铝锌板，箱体厚度不小于1.5mm；</w:t>
      </w:r>
    </w:p>
    <w:p>
      <w:pPr>
        <w:widowControl/>
        <w:numPr>
          <w:ilvl w:val="0"/>
          <w:numId w:val="16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相别：单相/三相馈出方式可选，出线形式为IEC60309工业连接器（标准），容量：16A/32A/63A（IEC工业连接器）；</w:t>
      </w:r>
    </w:p>
    <w:p>
      <w:pPr>
        <w:widowControl/>
        <w:numPr>
          <w:ilvl w:val="0"/>
          <w:numId w:val="16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接插箱的插头与母线机械连接应牢固，电气接触良好，单点插拔要求50次以上不温升；</w:t>
      </w:r>
    </w:p>
    <w:p>
      <w:pPr>
        <w:widowControl/>
        <w:numPr>
          <w:ilvl w:val="0"/>
          <w:numId w:val="16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插接箱配置有安全连接和电气保护装置，安装与拆卸为免工具方式；</w:t>
      </w:r>
    </w:p>
    <w:p>
      <w:pPr>
        <w:widowControl/>
        <w:numPr>
          <w:ilvl w:val="0"/>
          <w:numId w:val="16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接地连接安全可靠，接线应带有弹簧片；</w:t>
      </w:r>
    </w:p>
    <w:p>
      <w:pPr>
        <w:widowControl/>
        <w:numPr>
          <w:ilvl w:val="0"/>
          <w:numId w:val="16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接插箱为即插即用式，可以在母线槽带电状态下进行插拔安装与拆卸； </w:t>
      </w:r>
    </w:p>
    <w:p>
      <w:pPr>
        <w:widowControl/>
        <w:numPr>
          <w:ilvl w:val="0"/>
          <w:numId w:val="16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接插箱配置断路器为国际一流公司制造产品，符合IEC60947-2 规定额定极限短断路容量(Ics) ，断路器所有机械和带电金属部件须全部装于接插箱体内并可靠接地；</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主控箱</w:t>
      </w:r>
    </w:p>
    <w:p>
      <w:pPr>
        <w:widowControl/>
        <w:spacing w:line="560" w:lineRule="exact"/>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为实现集中监控需要，每列机柜或每个冷通道需配置一个主控箱，主控箱配置7寸或以上液晶显示屏，用于集中显示本列或本冷通道内配置的所有母线端接箱、接插箱采集的全部电参数信息，并进行存储、超限故障报警和信息远传功能。主控箱配置有RS485通讯接口可连接入机房动环监控系统中。主控箱可挂墙或挂机柜侧壁安装。</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735" w:name="_Toc26859"/>
      <w:bookmarkStart w:id="736" w:name="_Toc25651158"/>
      <w:r>
        <w:rPr>
          <w:rFonts w:hint="eastAsia" w:ascii="楷体" w:hAnsi="楷体" w:eastAsia="仿宋" w:cs="Times New Roman"/>
          <w:b/>
          <w:kern w:val="2"/>
          <w:sz w:val="28"/>
          <w:lang w:val="en-US" w:eastAsia="zh-CN" w:bidi="ar-SA"/>
        </w:rPr>
        <w:t>PDU</w:t>
      </w:r>
      <w:bookmarkEnd w:id="735"/>
      <w:bookmarkEnd w:id="736"/>
    </w:p>
    <w:p>
      <w:pPr>
        <w:numPr>
          <w:ilvl w:val="3"/>
          <w:numId w:val="2"/>
        </w:numPr>
        <w:spacing w:before="50" w:beforeLines="0" w:after="50" w:afterLines="0" w:line="560" w:lineRule="exact"/>
        <w:ind w:left="0" w:firstLine="0"/>
        <w:jc w:val="both"/>
        <w:outlineLvl w:val="3"/>
        <w:rPr>
          <w:rFonts w:hint="eastAsia" w:ascii="楷体" w:hAnsi="楷体" w:eastAsia="仿宋" w:cs="Times New Roman"/>
          <w:b/>
          <w:kern w:val="2"/>
          <w:sz w:val="28"/>
          <w:szCs w:val="24"/>
          <w:lang w:val="en-US" w:eastAsia="zh-CN" w:bidi="ar-SA"/>
        </w:rPr>
      </w:pPr>
      <w:r>
        <w:rPr>
          <w:rFonts w:hint="eastAsia" w:ascii="仿宋" w:hAnsi="仿宋" w:eastAsia="仿宋" w:cs="Times New Roman"/>
          <w:b/>
          <w:bCs/>
          <w:kern w:val="2"/>
          <w:sz w:val="28"/>
          <w:szCs w:val="28"/>
          <w:lang w:val="en-US" w:eastAsia="zh-CN" w:bidi="ar-SA"/>
        </w:rPr>
        <w:t>总体</w:t>
      </w:r>
      <w:r>
        <w:rPr>
          <w:rFonts w:hint="eastAsia" w:ascii="楷体" w:hAnsi="楷体" w:eastAsia="仿宋" w:cs="Times New Roman"/>
          <w:b/>
          <w:bCs/>
          <w:kern w:val="2"/>
          <w:sz w:val="28"/>
          <w:szCs w:val="20"/>
          <w:lang w:val="en-US" w:eastAsia="zh-CN" w:bidi="ar-SA"/>
        </w:rPr>
        <w:t>要求</w:t>
      </w:r>
    </w:p>
    <w:p>
      <w:pPr>
        <w:spacing w:before="50" w:beforeLines="0" w:after="50" w:afterLines="0" w:line="560" w:lineRule="exact"/>
        <w:jc w:val="both"/>
        <w:outlineLvl w:val="3"/>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(1)PDU需和机柜同一品牌，在所有机柜出厂时，PDU已安装到位。</w:t>
      </w:r>
    </w:p>
    <w:p>
      <w:pPr>
        <w:widowControl/>
        <w:rPr>
          <w:rFonts w:hint="eastAsia" w:ascii="仿宋" w:hAnsi="仿宋" w:eastAsia="仿宋" w:cs="Times New Roman"/>
          <w:sz w:val="28"/>
          <w:szCs w:val="28"/>
          <w:lang w:val="zh-CN"/>
        </w:rPr>
      </w:pPr>
      <w:r>
        <w:rPr>
          <w:rFonts w:hint="eastAsia" w:ascii="仿宋" w:hAnsi="仿宋" w:eastAsia="仿宋" w:cs="Times New Roman"/>
          <w:sz w:val="28"/>
          <w:szCs w:val="28"/>
          <w:lang w:val="zh-CN"/>
        </w:rPr>
        <w:t>(2) PDU采用竖条形一体化结构，机柜嵌入式垂直安，无需占用机柜内部安装设备空间，颜色可根据用户需求定制。</w:t>
      </w:r>
    </w:p>
    <w:p>
      <w:pPr>
        <w:widowControl/>
        <w:rPr>
          <w:rFonts w:hint="eastAsia" w:ascii="仿宋" w:hAnsi="仿宋" w:eastAsia="仿宋" w:cs="Times New Roman"/>
          <w:sz w:val="28"/>
          <w:szCs w:val="28"/>
          <w:lang w:val="zh-CN"/>
        </w:rPr>
      </w:pPr>
      <w:r>
        <w:rPr>
          <w:rFonts w:hint="eastAsia" w:ascii="仿宋" w:hAnsi="仿宋" w:eastAsia="仿宋" w:cs="Times New Roman"/>
          <w:sz w:val="28"/>
          <w:szCs w:val="28"/>
          <w:lang w:val="zh-CN"/>
        </w:rPr>
        <w:t>(3)两条PDU应为同一规格，互为备份，但需要带颜色管理，如两条PDU安装在一侧，A/B路模块需错位设计。</w:t>
      </w:r>
    </w:p>
    <w:p>
      <w:pPr>
        <w:widowControl/>
        <w:rPr>
          <w:rFonts w:ascii="仿宋" w:hAnsi="仿宋" w:eastAsia="仿宋" w:cs="Times New Roman"/>
          <w:sz w:val="28"/>
          <w:szCs w:val="28"/>
          <w:lang w:val="zh-CN"/>
        </w:rPr>
      </w:pPr>
      <w:r>
        <w:rPr>
          <w:rFonts w:hint="eastAsia" w:ascii="仿宋" w:hAnsi="仿宋" w:eastAsia="仿宋" w:cs="Times New Roman"/>
          <w:sz w:val="28"/>
          <w:szCs w:val="28"/>
          <w:lang w:val="zh-CN"/>
        </w:rPr>
        <w:t>(4)PDU所有接线端子、插座、保护装置等电气部件均应符合国家相关电气安全标准，质量可靠；其中插座、接线端子和过流、短路保护装置应通过国家3C 认证。</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(5)</w:t>
      </w:r>
      <w:r>
        <w:rPr>
          <w:rFonts w:hint="eastAsia" w:ascii="仿宋" w:hAnsi="仿宋" w:eastAsia="仿宋" w:cs="Times New Roman"/>
          <w:sz w:val="28"/>
          <w:szCs w:val="28"/>
          <w:lang w:val="zh-CN"/>
        </w:rPr>
        <w:t>PDU的设计、制造、试验和绝缘等应符合中华人民共和国颁发的GB、行业标准， 以上所有标准均以最新版本为准。当上述标准不一致时按高标准执行。</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(6)</w:t>
      </w:r>
      <w:r>
        <w:rPr>
          <w:rFonts w:hint="eastAsia" w:ascii="仿宋" w:hAnsi="仿宋" w:eastAsia="仿宋" w:cs="Times New Roman"/>
          <w:sz w:val="28"/>
          <w:szCs w:val="28"/>
          <w:lang w:val="zh-CN"/>
        </w:rPr>
        <w:t>采用的材料和器件，紧固件、密封件，其机械、化学、电气性能以及各种性能的检测方式均应符合中国国家标准、通信行业标准等。</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(7)</w:t>
      </w:r>
      <w:r>
        <w:rPr>
          <w:rFonts w:hint="eastAsia" w:ascii="仿宋" w:hAnsi="仿宋" w:eastAsia="仿宋" w:cs="Times New Roman"/>
          <w:sz w:val="28"/>
          <w:szCs w:val="28"/>
          <w:lang w:val="zh-CN"/>
        </w:rPr>
        <w:t>需提供相关的认证，但不限于以下：CE,FCC,ROHS认证</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(8)</w:t>
      </w:r>
      <w:r>
        <w:rPr>
          <w:rFonts w:hint="eastAsia" w:ascii="仿宋" w:hAnsi="仿宋" w:eastAsia="仿宋" w:cs="Times New Roman"/>
          <w:sz w:val="28"/>
          <w:szCs w:val="28"/>
          <w:lang w:val="zh-CN"/>
        </w:rPr>
        <w:t>PDU连续工作时间至少10年。</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环境条件</w:t>
      </w:r>
    </w:p>
    <w:p>
      <w:pPr>
        <w:widowControl/>
        <w:spacing w:line="560" w:lineRule="exact"/>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空气温度：按项目地区。</w:t>
      </w:r>
    </w:p>
    <w:p>
      <w:pPr>
        <w:widowControl/>
        <w:spacing w:line="560" w:lineRule="exact"/>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海拔：按项目地区。 </w:t>
      </w:r>
    </w:p>
    <w:p>
      <w:pPr>
        <w:widowControl/>
        <w:spacing w:line="560" w:lineRule="exact"/>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大气压力：70 kPa～106 kPa。 </w:t>
      </w:r>
    </w:p>
    <w:p>
      <w:pPr>
        <w:widowControl/>
        <w:spacing w:line="560" w:lineRule="exact"/>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相对湿度：5%RH～95%RH。</w:t>
      </w:r>
    </w:p>
    <w:p>
      <w:pPr>
        <w:widowControl/>
        <w:spacing w:line="560" w:lineRule="exact"/>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无剧烈振动和冲击，垂直倾斜度≤5%。</w:t>
      </w:r>
    </w:p>
    <w:p>
      <w:pPr>
        <w:widowControl/>
        <w:spacing w:line="560" w:lineRule="exact"/>
        <w:rPr>
          <w:rFonts w:hint="eastAsia" w:ascii="仿宋" w:hAnsi="仿宋" w:eastAsia="仿宋" w:cs="Times New Roman"/>
          <w:sz w:val="28"/>
          <w:szCs w:val="28"/>
          <w:lang w:val="zh-CN"/>
        </w:rPr>
      </w:pPr>
      <w:r>
        <w:rPr>
          <w:rFonts w:hint="eastAsia" w:ascii="仿宋" w:hAnsi="仿宋" w:eastAsia="仿宋" w:cs="Times New Roman"/>
          <w:sz w:val="28"/>
          <w:szCs w:val="28"/>
        </w:rPr>
        <w:t>(10)</w:t>
      </w:r>
      <w:r>
        <w:rPr>
          <w:rFonts w:hint="eastAsia" w:ascii="仿宋" w:hAnsi="仿宋" w:eastAsia="仿宋" w:cs="Times New Roman"/>
          <w:sz w:val="28"/>
          <w:szCs w:val="28"/>
          <w:lang w:val="zh-CN"/>
        </w:rPr>
        <w:t>室内使用。</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防雷参数</w:t>
      </w:r>
    </w:p>
    <w:p>
      <w:pPr>
        <w:widowControl/>
        <w:spacing w:line="560" w:lineRule="exact"/>
        <w:ind w:firstLine="560" w:firstLineChars="200"/>
        <w:textAlignment w:val="center"/>
        <w:rPr>
          <w:rFonts w:hint="eastAsia" w:ascii="仿宋" w:hAnsi="仿宋" w:eastAsia="仿宋" w:cs="仿宋"/>
          <w:bCs/>
          <w:sz w:val="28"/>
          <w:szCs w:val="28"/>
        </w:rPr>
      </w:pPr>
      <w:r>
        <w:rPr>
          <w:rFonts w:hint="eastAsia" w:ascii="仿宋" w:hAnsi="仿宋" w:eastAsia="仿宋" w:cs="仿宋"/>
          <w:bCs/>
          <w:sz w:val="28"/>
          <w:szCs w:val="28"/>
        </w:rPr>
        <w:t>PDU带有防浪涌功能，采用热插拔更换方式，便于日常维护，防雷模块获得“信息产业通信产品防护性能质量监督检验中心” 的检测报告。满足如下参数：</w:t>
      </w:r>
    </w:p>
    <w:p>
      <w:pPr>
        <w:widowControl/>
        <w:numPr>
          <w:ilvl w:val="0"/>
          <w:numId w:val="16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技术性能：最大持续运行工作电压 Uc：275V。</w:t>
      </w:r>
    </w:p>
    <w:p>
      <w:pPr>
        <w:widowControl/>
        <w:numPr>
          <w:ilvl w:val="0"/>
          <w:numId w:val="16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标称放电电流 （8/20 us） In：5KA。</w:t>
      </w:r>
    </w:p>
    <w:p>
      <w:pPr>
        <w:widowControl/>
        <w:numPr>
          <w:ilvl w:val="0"/>
          <w:numId w:val="16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最大放电电流 （8/20 us） Imax：10KA。</w:t>
      </w:r>
    </w:p>
    <w:p>
      <w:pPr>
        <w:widowControl/>
        <w:numPr>
          <w:ilvl w:val="0"/>
          <w:numId w:val="16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等级限制电压 UB:  940V (l-PE)。</w:t>
      </w:r>
    </w:p>
    <w:p>
      <w:pPr>
        <w:widowControl/>
        <w:numPr>
          <w:ilvl w:val="0"/>
          <w:numId w:val="16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电压保护水平 Up: ＜1</w:t>
      </w:r>
      <w:r>
        <w:rPr>
          <w:rFonts w:hint="eastAsia" w:ascii="仿宋" w:hAnsi="仿宋" w:eastAsia="仿宋" w:cs="Times New Roman"/>
          <w:sz w:val="28"/>
          <w:szCs w:val="28"/>
        </w:rPr>
        <w:t>2</w:t>
      </w:r>
      <w:r>
        <w:rPr>
          <w:rFonts w:hint="eastAsia" w:ascii="仿宋" w:hAnsi="仿宋" w:eastAsia="仿宋" w:cs="Times New Roman"/>
          <w:sz w:val="28"/>
          <w:szCs w:val="28"/>
          <w:lang w:val="zh-CN"/>
        </w:rPr>
        <w:t>00V (l-PE)。</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技术要求</w:t>
      </w:r>
    </w:p>
    <w:p>
      <w:pPr>
        <w:widowControl/>
        <w:numPr>
          <w:ilvl w:val="0"/>
          <w:numId w:val="1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输入：采用单路220V单相交流输入，PDU输入电流分为32A（根据机柜内设备功耗确定），插头的类型与机柜下方的电源插座一致，电缆所承载的电流不小于该回路的电流值，所有电源插座和保护装置应符合国家相应电气安全标准。</w:t>
      </w:r>
    </w:p>
    <w:p>
      <w:pPr>
        <w:widowControl/>
        <w:numPr>
          <w:ilvl w:val="0"/>
          <w:numId w:val="1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输出：配置IEC标准输出等标准化模块。C13插座要求带可自动复位防脱扣装置，避免在正常使用中松动脱落，引起电气设备故障。实际供货时可根据实际电源插头的类型进行PDU电源输出模块的调整。</w:t>
      </w:r>
    </w:p>
    <w:p>
      <w:pPr>
        <w:widowControl/>
        <w:numPr>
          <w:ilvl w:val="0"/>
          <w:numId w:val="1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绝缘电阻要求：对以下部位，施加500V直流电压lmin，绝缘电阻不得小于5MΩ。</w:t>
      </w:r>
    </w:p>
    <w:p>
      <w:pPr>
        <w:widowControl/>
        <w:numPr>
          <w:ilvl w:val="0"/>
          <w:numId w:val="1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电气强度要求：对以下部位施加2000V电压1min。</w:t>
      </w:r>
    </w:p>
    <w:p>
      <w:pPr>
        <w:widowControl/>
        <w:numPr>
          <w:ilvl w:val="0"/>
          <w:numId w:val="1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安装：PDU水平/垂直安装在标准42U机柜内的后部左右两侧， PDU在机柜内的安装位置，需要与机柜内安装设备的工程商进行沟通，安装位置统一，即保证机柜内的美观，又保证设备连接电源的方便。</w:t>
      </w:r>
    </w:p>
    <w:p>
      <w:pPr>
        <w:widowControl/>
        <w:numPr>
          <w:ilvl w:val="0"/>
          <w:numId w:val="1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外形尺寸要求：PDU厚度（PDU插座面到PDU的底面尺寸）不大于50mm；PDU宽度按产品要求，以节省机柜横向和纵向空间，方便布线及散热。</w:t>
      </w:r>
    </w:p>
    <w:p>
      <w:pPr>
        <w:widowControl/>
        <w:numPr>
          <w:ilvl w:val="0"/>
          <w:numId w:val="1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材料要求： PDU的插座面板和各功能面板材料为铝合金或高阻燃塑胶材料（PC-ABS），阻燃特性符合UL94-V0等级和国家相关规定；PDU的插座铜套材料为磷青铜，需具备弹性好、耐腐蚀、耐摩擦的特性。</w:t>
      </w:r>
    </w:p>
    <w:p>
      <w:pPr>
        <w:widowControl/>
        <w:numPr>
          <w:ilvl w:val="0"/>
          <w:numId w:val="1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内部连接工艺</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PDU内部模块应采用一体化铜条连接方式，模块连接采用不低于2.5mm²铜条焊接，导电性能稳定。非铜排螺丝固定和电源线连接。</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内部电源线的分布应合理均匀，接线工艺符合横平竖直的要求，各接线柱与电源线的连接应牢固紧靠，且各连接处应无铜线外露。</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PDU装置的插座宜平整美观，输出模块内部采用卡扣结构，配合模块内部无螺丝，避免因插拔次数过多引起的模块松动、脱落等问题。</w:t>
      </w:r>
    </w:p>
    <w:p>
      <w:pPr>
        <w:widowControl/>
        <w:numPr>
          <w:ilvl w:val="0"/>
          <w:numId w:val="1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接线方式：PDU应采用接线盒输入方式，采用OT环形端子固定，接触面积大，导电率高，导电性能稳定。</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配置要求</w:t>
      </w:r>
    </w:p>
    <w:p>
      <w:pPr>
        <w:widowControl/>
        <w:numPr>
          <w:ilvl w:val="0"/>
          <w:numId w:val="16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16A /32A单相，最大16位（防脱扣功能插座输出，有电源指示灯，能A.B路分色具体插座制式待中标后确定。</w:t>
      </w:r>
    </w:p>
    <w:tbl>
      <w:tblPr>
        <w:tblStyle w:val="24"/>
        <w:tblW w:w="0" w:type="auto"/>
        <w:jc w:val="center"/>
        <w:tblLayout w:type="fixed"/>
        <w:tblCellMar>
          <w:top w:w="0" w:type="dxa"/>
          <w:left w:w="0" w:type="dxa"/>
          <w:bottom w:w="0" w:type="dxa"/>
          <w:right w:w="0" w:type="dxa"/>
        </w:tblCellMar>
      </w:tblPr>
      <w:tblGrid>
        <w:gridCol w:w="2257"/>
        <w:gridCol w:w="6016"/>
      </w:tblGrid>
      <w:tr>
        <w:tblPrEx>
          <w:tblCellMar>
            <w:top w:w="0" w:type="dxa"/>
            <w:left w:w="0" w:type="dxa"/>
            <w:bottom w:w="0" w:type="dxa"/>
            <w:right w:w="0" w:type="dxa"/>
          </w:tblCellMar>
        </w:tblPrEx>
        <w:trPr>
          <w:trHeight w:val="330" w:hRule="atLeast"/>
          <w:jc w:val="center"/>
        </w:trPr>
        <w:tc>
          <w:tcPr>
            <w:tcW w:w="2257" w:type="dxa"/>
            <w:tcBorders>
              <w:top w:val="single" w:color="auto" w:sz="4" w:space="0"/>
              <w:left w:val="single" w:color="auto" w:sz="4" w:space="0"/>
              <w:bottom w:val="single" w:color="auto" w:sz="4" w:space="0"/>
              <w:right w:val="single" w:color="auto" w:sz="4" w:space="0"/>
            </w:tcBorders>
            <w:shd w:val="clear" w:color="auto" w:fill="808080"/>
            <w:noWrap w:val="0"/>
            <w:vAlign w:val="center"/>
          </w:tcPr>
          <w:p>
            <w:pPr>
              <w:widowControl/>
              <w:spacing w:line="560" w:lineRule="exact"/>
              <w:jc w:val="center"/>
              <w:textAlignment w:val="center"/>
              <w:rPr>
                <w:rFonts w:hint="eastAsia" w:ascii="仿宋" w:hAnsi="仿宋" w:eastAsia="仿宋" w:cs="sans-serif"/>
                <w:b/>
                <w:color w:val="FFFFFF"/>
                <w:sz w:val="24"/>
                <w:szCs w:val="24"/>
              </w:rPr>
            </w:pPr>
            <w:r>
              <w:rPr>
                <w:rFonts w:hint="eastAsia" w:ascii="仿宋" w:hAnsi="仿宋" w:eastAsia="仿宋" w:cs="sans-serif"/>
                <w:b/>
                <w:color w:val="FFFFFF"/>
                <w:sz w:val="24"/>
                <w:szCs w:val="24"/>
                <w:lang w:bidi="ar"/>
              </w:rPr>
              <w:t>机柜类型</w:t>
            </w:r>
          </w:p>
        </w:tc>
        <w:tc>
          <w:tcPr>
            <w:tcW w:w="6016" w:type="dxa"/>
            <w:tcBorders>
              <w:top w:val="single" w:color="auto" w:sz="4" w:space="0"/>
              <w:left w:val="single" w:color="auto" w:sz="4" w:space="0"/>
              <w:bottom w:val="single" w:color="auto" w:sz="4" w:space="0"/>
              <w:right w:val="single" w:color="auto" w:sz="4" w:space="0"/>
            </w:tcBorders>
            <w:shd w:val="clear" w:color="auto" w:fill="808080"/>
            <w:noWrap w:val="0"/>
            <w:vAlign w:val="center"/>
          </w:tcPr>
          <w:p>
            <w:pPr>
              <w:widowControl/>
              <w:spacing w:line="560" w:lineRule="exact"/>
              <w:jc w:val="center"/>
              <w:textAlignment w:val="center"/>
              <w:rPr>
                <w:rFonts w:hint="eastAsia" w:ascii="仿宋" w:hAnsi="仿宋" w:eastAsia="仿宋" w:cs="sans-serif"/>
                <w:b/>
                <w:color w:val="FFFFFF"/>
                <w:sz w:val="24"/>
                <w:szCs w:val="24"/>
              </w:rPr>
            </w:pPr>
            <w:r>
              <w:rPr>
                <w:rFonts w:hint="eastAsia" w:ascii="仿宋" w:hAnsi="仿宋" w:eastAsia="仿宋" w:cs="sans-serif"/>
                <w:b/>
                <w:color w:val="FFFFFF"/>
                <w:sz w:val="24"/>
                <w:szCs w:val="24"/>
                <w:lang w:bidi="ar"/>
              </w:rPr>
              <w:t>PDU类型</w:t>
            </w:r>
          </w:p>
        </w:tc>
      </w:tr>
      <w:tr>
        <w:tblPrEx>
          <w:tblCellMar>
            <w:top w:w="0" w:type="dxa"/>
            <w:left w:w="0" w:type="dxa"/>
            <w:bottom w:w="0" w:type="dxa"/>
            <w:right w:w="0" w:type="dxa"/>
          </w:tblCellMar>
        </w:tblPrEx>
        <w:trPr>
          <w:trHeight w:val="330" w:hRule="atLeast"/>
          <w:jc w:val="center"/>
        </w:trPr>
        <w:tc>
          <w:tcPr>
            <w:tcW w:w="22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560" w:lineRule="exact"/>
              <w:jc w:val="center"/>
              <w:textAlignment w:val="center"/>
              <w:rPr>
                <w:rFonts w:hint="eastAsia" w:ascii="仿宋" w:hAnsi="仿宋" w:eastAsia="仿宋" w:cs="sans-serif"/>
                <w:color w:val="000000"/>
                <w:sz w:val="24"/>
                <w:szCs w:val="24"/>
              </w:rPr>
            </w:pPr>
            <w:r>
              <w:rPr>
                <w:rFonts w:hint="eastAsia" w:ascii="仿宋" w:hAnsi="仿宋" w:eastAsia="仿宋" w:cs="sans-serif"/>
                <w:color w:val="000000"/>
                <w:sz w:val="24"/>
                <w:szCs w:val="24"/>
                <w:lang w:bidi="ar"/>
              </w:rPr>
              <w:t>网络机柜</w:t>
            </w:r>
          </w:p>
        </w:tc>
        <w:tc>
          <w:tcPr>
            <w:tcW w:w="60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560" w:lineRule="exact"/>
              <w:jc w:val="center"/>
              <w:textAlignment w:val="center"/>
              <w:rPr>
                <w:rFonts w:hint="eastAsia" w:ascii="仿宋" w:hAnsi="仿宋" w:eastAsia="仿宋" w:cs="sans-serif"/>
                <w:color w:val="000000"/>
                <w:sz w:val="24"/>
                <w:szCs w:val="24"/>
              </w:rPr>
            </w:pPr>
            <w:r>
              <w:rPr>
                <w:rFonts w:hint="eastAsia" w:ascii="仿宋" w:hAnsi="仿宋" w:eastAsia="仿宋" w:cs="sans-serif"/>
                <w:color w:val="000000"/>
                <w:sz w:val="24"/>
                <w:szCs w:val="24"/>
                <w:lang w:bidi="ar"/>
              </w:rPr>
              <w:t>12个10A加4个16A</w:t>
            </w:r>
          </w:p>
        </w:tc>
      </w:tr>
      <w:tr>
        <w:tblPrEx>
          <w:tblCellMar>
            <w:top w:w="0" w:type="dxa"/>
            <w:left w:w="0" w:type="dxa"/>
            <w:bottom w:w="0" w:type="dxa"/>
            <w:right w:w="0" w:type="dxa"/>
          </w:tblCellMar>
        </w:tblPrEx>
        <w:trPr>
          <w:trHeight w:val="330" w:hRule="atLeast"/>
          <w:jc w:val="center"/>
        </w:trPr>
        <w:tc>
          <w:tcPr>
            <w:tcW w:w="2257" w:type="dxa"/>
            <w:tcBorders>
              <w:top w:val="single" w:color="auto" w:sz="4" w:space="0"/>
              <w:left w:val="single" w:color="auto" w:sz="4" w:space="0"/>
              <w:bottom w:val="single" w:color="F4B084" w:sz="4" w:space="0"/>
              <w:right w:val="single" w:color="auto" w:sz="4" w:space="0"/>
            </w:tcBorders>
            <w:shd w:val="clear" w:color="auto" w:fill="FFFFFF"/>
            <w:noWrap w:val="0"/>
            <w:vAlign w:val="center"/>
          </w:tcPr>
          <w:p>
            <w:pPr>
              <w:widowControl/>
              <w:spacing w:line="560" w:lineRule="exact"/>
              <w:jc w:val="center"/>
              <w:textAlignment w:val="center"/>
              <w:rPr>
                <w:rFonts w:hint="eastAsia" w:ascii="仿宋" w:hAnsi="仿宋" w:eastAsia="仿宋" w:cs="sans-serif"/>
                <w:color w:val="000000"/>
                <w:sz w:val="24"/>
                <w:szCs w:val="24"/>
              </w:rPr>
            </w:pPr>
            <w:r>
              <w:rPr>
                <w:rFonts w:hint="eastAsia" w:ascii="仿宋" w:hAnsi="仿宋" w:eastAsia="仿宋" w:cs="sans-serif"/>
                <w:color w:val="000000"/>
                <w:sz w:val="24"/>
                <w:szCs w:val="24"/>
                <w:lang w:bidi="ar"/>
              </w:rPr>
              <w:t>存储机柜</w:t>
            </w:r>
          </w:p>
        </w:tc>
        <w:tc>
          <w:tcPr>
            <w:tcW w:w="60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560" w:lineRule="exact"/>
              <w:jc w:val="center"/>
              <w:textAlignment w:val="center"/>
              <w:rPr>
                <w:rFonts w:hint="eastAsia" w:ascii="仿宋" w:hAnsi="仿宋" w:eastAsia="仿宋" w:cs="sans-serif"/>
                <w:color w:val="000000"/>
                <w:sz w:val="24"/>
                <w:szCs w:val="24"/>
              </w:rPr>
            </w:pPr>
            <w:r>
              <w:rPr>
                <w:rFonts w:hint="eastAsia" w:ascii="仿宋" w:hAnsi="仿宋" w:eastAsia="仿宋" w:cs="sans-serif"/>
                <w:color w:val="000000"/>
                <w:sz w:val="24"/>
                <w:szCs w:val="24"/>
                <w:lang w:bidi="ar"/>
              </w:rPr>
              <w:t>12个10A加4个16A</w:t>
            </w:r>
          </w:p>
        </w:tc>
      </w:tr>
      <w:tr>
        <w:tblPrEx>
          <w:tblCellMar>
            <w:top w:w="0" w:type="dxa"/>
            <w:left w:w="0" w:type="dxa"/>
            <w:bottom w:w="0" w:type="dxa"/>
            <w:right w:w="0" w:type="dxa"/>
          </w:tblCellMar>
        </w:tblPrEx>
        <w:trPr>
          <w:trHeight w:val="330" w:hRule="atLeast"/>
          <w:jc w:val="center"/>
        </w:trPr>
        <w:tc>
          <w:tcPr>
            <w:tcW w:w="22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560" w:lineRule="exact"/>
              <w:jc w:val="center"/>
              <w:textAlignment w:val="center"/>
              <w:rPr>
                <w:rFonts w:hint="eastAsia" w:ascii="仿宋" w:hAnsi="仿宋" w:eastAsia="仿宋" w:cs="sans-serif"/>
                <w:color w:val="000000"/>
                <w:sz w:val="24"/>
                <w:szCs w:val="24"/>
              </w:rPr>
            </w:pPr>
            <w:r>
              <w:rPr>
                <w:rFonts w:hint="eastAsia" w:ascii="仿宋" w:hAnsi="仿宋" w:eastAsia="仿宋" w:cs="sans-serif"/>
                <w:color w:val="000000"/>
                <w:sz w:val="24"/>
                <w:szCs w:val="24"/>
                <w:lang w:bidi="ar"/>
              </w:rPr>
              <w:t>服务器机柜</w:t>
            </w:r>
          </w:p>
        </w:tc>
        <w:tc>
          <w:tcPr>
            <w:tcW w:w="60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560" w:lineRule="exact"/>
              <w:jc w:val="center"/>
              <w:textAlignment w:val="center"/>
              <w:rPr>
                <w:rFonts w:hint="eastAsia" w:ascii="仿宋" w:hAnsi="仿宋" w:eastAsia="仿宋" w:cs="sans-serif"/>
                <w:color w:val="000000"/>
                <w:sz w:val="24"/>
                <w:szCs w:val="24"/>
              </w:rPr>
            </w:pPr>
            <w:r>
              <w:rPr>
                <w:rFonts w:hint="eastAsia" w:ascii="仿宋" w:hAnsi="仿宋" w:eastAsia="仿宋" w:cs="sans-serif"/>
                <w:color w:val="000000"/>
                <w:sz w:val="24"/>
                <w:szCs w:val="24"/>
                <w:lang w:bidi="ar"/>
              </w:rPr>
              <w:t>16个10A</w:t>
            </w:r>
          </w:p>
        </w:tc>
      </w:tr>
    </w:tbl>
    <w:p>
      <w:pPr>
        <w:widowControl/>
        <w:numPr>
          <w:ilvl w:val="0"/>
          <w:numId w:val="16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电源指示灯、热插拔防雷、接线盒、</w:t>
      </w:r>
      <w:r>
        <w:rPr>
          <w:rFonts w:hint="eastAsia" w:ascii="仿宋" w:hAnsi="仿宋" w:eastAsia="仿宋" w:cs="Times New Roman"/>
          <w:sz w:val="28"/>
          <w:szCs w:val="28"/>
        </w:rPr>
        <w:t>3米6mm² RVV电源线、工业连接器公头（与小母线配套），</w:t>
      </w:r>
      <w:r>
        <w:rPr>
          <w:rFonts w:hint="eastAsia" w:ascii="仿宋" w:hAnsi="仿宋" w:eastAsia="仿宋" w:cs="Times New Roman"/>
          <w:sz w:val="28"/>
          <w:szCs w:val="28"/>
          <w:lang w:val="zh-CN"/>
        </w:rPr>
        <w:t>能A.B路分色，具体插座制式待中标后确定。</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737" w:name="_Toc30148"/>
      <w:r>
        <w:rPr>
          <w:rFonts w:hint="eastAsia" w:ascii="楷体" w:hAnsi="楷体" w:eastAsia="仿宋" w:cs="Times New Roman"/>
          <w:b/>
          <w:kern w:val="2"/>
          <w:sz w:val="28"/>
          <w:lang w:val="en-US" w:eastAsia="zh-CN" w:bidi="ar-SA"/>
        </w:rPr>
        <w:t>照明灯具</w:t>
      </w:r>
      <w:bookmarkEnd w:id="737"/>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一般技术要求</w:t>
      </w:r>
    </w:p>
    <w:p>
      <w:pPr>
        <w:widowControl/>
        <w:numPr>
          <w:ilvl w:val="0"/>
          <w:numId w:val="1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灯具必须选取国际或合资一线品牌。</w:t>
      </w:r>
    </w:p>
    <w:p>
      <w:pPr>
        <w:widowControl/>
        <w:numPr>
          <w:ilvl w:val="0"/>
          <w:numId w:val="1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灯具应具有3C认证报告。</w:t>
      </w:r>
    </w:p>
    <w:p>
      <w:pPr>
        <w:widowControl/>
        <w:numPr>
          <w:ilvl w:val="0"/>
          <w:numId w:val="1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灯具选项应配合装修整体风格，达到整齐、美观的装饰效果，同时灯光需柔和、无眩光。</w:t>
      </w:r>
    </w:p>
    <w:p>
      <w:pPr>
        <w:widowControl/>
        <w:numPr>
          <w:ilvl w:val="0"/>
          <w:numId w:val="1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灯具，包括控制装置，必须适合在 220V ±6%、50Hz ±2%、单相、交流电的条件下工作。灯具在制造和测试上都必须符合下列国际标准和国家标准GB50259-96 之规范。</w:t>
      </w:r>
    </w:p>
    <w:p>
      <w:pPr>
        <w:widowControl/>
        <w:numPr>
          <w:ilvl w:val="0"/>
          <w:numId w:val="1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生产过程必须符合 ISO9000 相应的质量标准，必须提供检验合格证，照明器必须根据 IEC60598-2 的要求标记。灯具必须全套提供，包括可与适当颜色代码的电缆互连的控制 装置、灯座、电缆接线盒等。照明器内的所有组件最好是同一生产厂家的产品，以确保兼容性。所有类似的设备零件必须是可以互换的。</w:t>
      </w:r>
    </w:p>
    <w:p>
      <w:pPr>
        <w:widowControl/>
        <w:numPr>
          <w:ilvl w:val="0"/>
          <w:numId w:val="1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采用电子镇流器，功率因数不小于0.95。</w:t>
      </w:r>
    </w:p>
    <w:p>
      <w:pPr>
        <w:widowControl/>
        <w:numPr>
          <w:ilvl w:val="0"/>
          <w:numId w:val="1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照明器内的内部布线：控制器的后背（如有）和布线配件必须喷涂一层硬化漆层,以防水气侵入。互连组件的电缆必须是耐热电缆，并且必须整齐地固定在配件内，以防不适当的松动和与镇流器接触。在线路通过配件的金属边缘时，必须用许可的金属扣眼加以保护。连接到接线端的所有电线连接型式都必须获得批准。在安装照明器后，所有线路都必须隐藏起来。如布线通过任何金属部件的边缘时，须用批准的套管加以保护。所有引至终端的电缆须经批准。所有布线必须暗装于照明器内部。灯具需配置接线端子，以便电源线接线方便安全。</w:t>
      </w:r>
    </w:p>
    <w:p>
      <w:pPr>
        <w:widowControl/>
        <w:numPr>
          <w:ilvl w:val="0"/>
          <w:numId w:val="1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无眩光，在电脑屏幕上无映像，避免对电脑屏幕上图像的干扰；</w:t>
      </w:r>
    </w:p>
    <w:p>
      <w:pPr>
        <w:widowControl/>
        <w:numPr>
          <w:ilvl w:val="0"/>
          <w:numId w:val="1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亮度高，无频闪、减轻眼疲劳，</w:t>
      </w:r>
    </w:p>
    <w:p>
      <w:pPr>
        <w:widowControl/>
        <w:numPr>
          <w:ilvl w:val="0"/>
          <w:numId w:val="1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能耗低、寿命长；</w:t>
      </w:r>
    </w:p>
    <w:p>
      <w:pPr>
        <w:widowControl/>
        <w:numPr>
          <w:ilvl w:val="0"/>
          <w:numId w:val="1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灯具不积灰，有利于机房环境。</w:t>
      </w:r>
    </w:p>
    <w:p>
      <w:pPr>
        <w:widowControl/>
        <w:numPr>
          <w:ilvl w:val="0"/>
          <w:numId w:val="16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其灯具镇流器的温度 (TW) 须限制至不高于65℃。</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基本要求:</w:t>
      </w:r>
    </w:p>
    <w:p>
      <w:pPr>
        <w:widowControl/>
        <w:numPr>
          <w:ilvl w:val="0"/>
          <w:numId w:val="16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光源必须采用知名品牌。</w:t>
      </w:r>
    </w:p>
    <w:p>
      <w:pPr>
        <w:widowControl/>
        <w:numPr>
          <w:ilvl w:val="0"/>
          <w:numId w:val="16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所有提供LED灯具厂家均要求3年内无条件更换。</w:t>
      </w:r>
    </w:p>
    <w:p>
      <w:pPr>
        <w:widowControl/>
        <w:numPr>
          <w:ilvl w:val="0"/>
          <w:numId w:val="16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电子镇流器，功率因数≥0.95，输入电压220V/50HZ。</w:t>
      </w:r>
    </w:p>
    <w:p>
      <w:pPr>
        <w:widowControl/>
        <w:numPr>
          <w:ilvl w:val="0"/>
          <w:numId w:val="16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防水、防尘灯脚，保证使用寿命达6年不生锈。</w:t>
      </w:r>
    </w:p>
    <w:p>
      <w:pPr>
        <w:widowControl/>
        <w:numPr>
          <w:ilvl w:val="0"/>
          <w:numId w:val="16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灯体采用冷轧钢板喷塑处理，反射器为阳极氧化铝，散射器为棱镜亚克力。</w:t>
      </w:r>
    </w:p>
    <w:p>
      <w:pPr>
        <w:widowControl/>
        <w:numPr>
          <w:ilvl w:val="0"/>
          <w:numId w:val="16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CCC认证。</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荧光灯具</w:t>
      </w:r>
    </w:p>
    <w:p>
      <w:pPr>
        <w:widowControl/>
        <w:spacing w:line="560" w:lineRule="exact"/>
        <w:rPr>
          <w:rFonts w:hint="eastAsia" w:ascii="仿宋" w:hAnsi="仿宋" w:eastAsia="仿宋" w:cs="仿宋"/>
          <w:sz w:val="28"/>
          <w:szCs w:val="28"/>
        </w:rPr>
      </w:pPr>
      <w:r>
        <w:rPr>
          <w:rFonts w:hint="eastAsia" w:ascii="仿宋" w:hAnsi="仿宋" w:eastAsia="仿宋" w:cs="仿宋"/>
          <w:sz w:val="28"/>
          <w:szCs w:val="28"/>
        </w:rPr>
        <w:t xml:space="preserve">    灯具主体应采用优质钢板制成，表面采用静电喷塑,壳体颜色须配合龙骨一致。应美观大方、整体性强。反射罩折射曲线设计合理，无眩光，光线柔和，有效地保护视力。透光灯罩应便于拆卸，灯管在灯下更换，灯体内设有走线槽以便于安装。采用电子式镇流器,具有噪音小、节能、寿命长、能延长灯管寿命等优点，荧光灯管采用T5光源，还须考虑应急照明。</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吸顶式荧光灯（IP65、防水、防尘，带支架）</w:t>
      </w:r>
    </w:p>
    <w:p>
      <w:pPr>
        <w:widowControl/>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灯具主体应采用钢板制成，表面采用喷涂白色高级烤漆。外观应美观大方、整体性强。需考虑应急照明。灯管在灯下更换，灯体内设有走线槽以便于安装。采用电子式镇流器， 荧光灯管采用T5光源。</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防爆灯具技术要求</w:t>
      </w:r>
    </w:p>
    <w:p>
      <w:pPr>
        <w:widowControl/>
        <w:spacing w:line="560" w:lineRule="exact"/>
        <w:rPr>
          <w:rFonts w:hint="eastAsia" w:ascii="仿宋" w:hAnsi="仿宋" w:eastAsia="仿宋" w:cs="仿宋"/>
          <w:sz w:val="28"/>
          <w:szCs w:val="28"/>
        </w:rPr>
      </w:pPr>
      <w:r>
        <w:rPr>
          <w:rFonts w:hint="eastAsia" w:ascii="仿宋" w:hAnsi="仿宋" w:eastAsia="仿宋" w:cs="仿宋"/>
          <w:sz w:val="28"/>
          <w:szCs w:val="28"/>
        </w:rPr>
        <w:t xml:space="preserve">    灯具应由灯体、保护网罩、钢化玻璃罩等组成，灯体表面喷塑，性能可靠，适用多种光源，能可靠地用于含有爆炸性介质有爆炸危险场所的照明。安装方式为管吊式，并成套提供防爆接线盒，镇流器盒也应满足防爆要求。耐压等级220V±10％，防护等级符合国家现行标准和规范要求（爆炸和火灾危险环境标准）。含荧光灯T5光源及镇流器等电器配件。灯体静电喷塑处理，防眩光处理透光罩。防爆、防震、防水、防尘灯脚。</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应急灯、出口指示灯技术要求</w:t>
      </w:r>
    </w:p>
    <w:p>
      <w:pPr>
        <w:widowControl/>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耐压等级220V±10％。含国际知名品牌光源。具有故障指示、充电、放电保护功能。带隔镍电池，循环充电次数不小于10000次，应急时间应至少1小时。墙挂式(安装方式以施工图为准)，出口显示为安全出口字样（加EXIT）。光源及电器配件应为同一厂家产品， LED发光光源，寿命不小于100000小时。采用耐压、耐高温阻燃导线和接线端子。</w:t>
      </w:r>
    </w:p>
    <w:p>
      <w:pPr>
        <w:widowControl/>
        <w:spacing w:line="560" w:lineRule="exact"/>
        <w:ind w:firstLine="560" w:firstLineChars="200"/>
        <w:rPr>
          <w:rFonts w:ascii="仿宋" w:hAnsi="仿宋" w:eastAsia="仿宋" w:cs="仿宋"/>
          <w:sz w:val="28"/>
          <w:szCs w:val="20"/>
        </w:rPr>
      </w:pPr>
      <w:r>
        <w:rPr>
          <w:rFonts w:hint="eastAsia" w:ascii="仿宋" w:hAnsi="仿宋" w:eastAsia="仿宋" w:cs="仿宋"/>
          <w:sz w:val="28"/>
          <w:szCs w:val="28"/>
        </w:rPr>
        <w:t>应急照明</w:t>
      </w:r>
      <w:r>
        <w:rPr>
          <w:rFonts w:hint="eastAsia" w:ascii="仿宋" w:hAnsi="仿宋" w:eastAsia="仿宋" w:cs="仿宋"/>
          <w:sz w:val="28"/>
          <w:szCs w:val="20"/>
        </w:rPr>
        <w:t>技术要求：</w:t>
      </w:r>
      <w:r>
        <w:rPr>
          <w:rFonts w:hint="eastAsia" w:ascii="仿宋" w:hAnsi="仿宋" w:eastAsia="仿宋" w:cs="仿宋"/>
          <w:sz w:val="28"/>
          <w:szCs w:val="28"/>
        </w:rPr>
        <w:t>市电双路输入，使用ATS进行自动切换，自带蓄电池，应急照明时间不能少于90min。应急转换时间不大于5s。所用电池必须是全封闭免维护的充电电池，电池的使用寿命不小于6年，或全充、放电次数不小于400次。</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LED灯技术要求</w:t>
      </w:r>
    </w:p>
    <w:p>
      <w:pPr>
        <w:widowControl/>
        <w:numPr>
          <w:ilvl w:val="0"/>
          <w:numId w:val="16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走廊处的LED灯需带过滤罩；</w:t>
      </w:r>
    </w:p>
    <w:p>
      <w:pPr>
        <w:widowControl/>
        <w:numPr>
          <w:ilvl w:val="0"/>
          <w:numId w:val="16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色温达3300K～4000K；</w:t>
      </w:r>
    </w:p>
    <w:p>
      <w:pPr>
        <w:widowControl/>
        <w:numPr>
          <w:ilvl w:val="0"/>
          <w:numId w:val="16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材质：纯铝；</w:t>
      </w:r>
    </w:p>
    <w:p>
      <w:pPr>
        <w:widowControl/>
        <w:numPr>
          <w:ilvl w:val="0"/>
          <w:numId w:val="16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灯体颜色：由招标人确定；</w:t>
      </w:r>
    </w:p>
    <w:p>
      <w:pPr>
        <w:widowControl/>
        <w:numPr>
          <w:ilvl w:val="0"/>
          <w:numId w:val="16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工作温度小于60度；寿命不小于50000小时。</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738" w:name="_Toc31386"/>
      <w:r>
        <w:rPr>
          <w:rFonts w:hint="eastAsia" w:ascii="楷体" w:hAnsi="楷体" w:eastAsia="仿宋" w:cs="Times New Roman"/>
          <w:b/>
          <w:kern w:val="2"/>
          <w:sz w:val="28"/>
          <w:lang w:val="en-US" w:eastAsia="zh-CN" w:bidi="ar-SA"/>
        </w:rPr>
        <w:t>电缆桥架</w:t>
      </w:r>
      <w:bookmarkEnd w:id="738"/>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采用的技术规范及标准</w:t>
      </w:r>
    </w:p>
    <w:p>
      <w:pPr>
        <w:widowControl/>
        <w:numPr>
          <w:ilvl w:val="0"/>
          <w:numId w:val="17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CECS31-2006《钢制电缆桥架工程设计规范》</w:t>
      </w:r>
    </w:p>
    <w:p>
      <w:pPr>
        <w:widowControl/>
        <w:numPr>
          <w:ilvl w:val="0"/>
          <w:numId w:val="17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JB/T10216-2000电控配电用电缆桥架</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技术要求</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材质采用冷轧板，在满足强度要求下可使用热轧板。其材质应符合国家标准《碳素结构钢》GB／T700—1988中Q235A的要求，并符合国家标准《碳素结构钢冷轧带钢》GB／T716—1991和的有关规定。</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允许最小板材厚度(mm)（均为冷轧钢板厚度，不包含镀锌层厚度）</w:t>
      </w:r>
    </w:p>
    <w:p>
      <w:pPr>
        <w:widowControl/>
        <w:pBdr>
          <w:top w:val="single" w:color="auto" w:sz="4" w:space="1"/>
          <w:left w:val="single" w:color="auto" w:sz="4" w:space="1"/>
          <w:bottom w:val="single" w:color="auto" w:sz="4" w:space="1"/>
          <w:right w:val="single" w:color="auto" w:sz="4" w:space="0"/>
          <w:between w:val="single" w:color="auto" w:sz="4" w:space="1"/>
        </w:pBdr>
        <w:spacing w:line="560" w:lineRule="exact"/>
        <w:rPr>
          <w:rFonts w:hint="eastAsia" w:ascii="仿宋" w:hAnsi="仿宋" w:eastAsia="仿宋" w:cs="仿宋"/>
          <w:sz w:val="28"/>
          <w:szCs w:val="28"/>
        </w:rPr>
      </w:pPr>
      <w:r>
        <w:rPr>
          <w:rFonts w:hint="eastAsia" w:ascii="仿宋" w:hAnsi="仿宋" w:eastAsia="仿宋" w:cs="仿宋"/>
          <w:sz w:val="28"/>
          <w:szCs w:val="28"/>
        </w:rPr>
        <w:t>桥架宽度（mm）</w:t>
      </w:r>
      <w:r>
        <w:rPr>
          <w:rFonts w:hint="eastAsia" w:ascii="仿宋" w:hAnsi="仿宋" w:eastAsia="仿宋" w:cs="仿宋"/>
          <w:sz w:val="28"/>
          <w:szCs w:val="28"/>
        </w:rPr>
        <w:tab/>
      </w:r>
      <w:r>
        <w:rPr>
          <w:rFonts w:hint="eastAsia" w:ascii="仿宋" w:hAnsi="仿宋" w:eastAsia="仿宋" w:cs="仿宋"/>
          <w:sz w:val="28"/>
          <w:szCs w:val="28"/>
        </w:rPr>
        <w:t xml:space="preserve">     板材最小厚度（mm)</w:t>
      </w:r>
    </w:p>
    <w:p>
      <w:pPr>
        <w:widowControl/>
        <w:pBdr>
          <w:top w:val="single" w:color="auto" w:sz="4" w:space="1"/>
          <w:left w:val="single" w:color="auto" w:sz="4" w:space="1"/>
          <w:bottom w:val="single" w:color="auto" w:sz="4" w:space="1"/>
          <w:right w:val="single" w:color="auto" w:sz="4" w:space="0"/>
          <w:between w:val="single" w:color="auto" w:sz="4" w:space="1"/>
        </w:pBdr>
        <w:spacing w:line="5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&lt;400</w:t>
      </w:r>
      <w:r>
        <w:rPr>
          <w:rFonts w:hint="eastAsia" w:ascii="仿宋" w:hAnsi="仿宋" w:eastAsia="仿宋" w:cs="仿宋"/>
          <w:sz w:val="28"/>
          <w:szCs w:val="28"/>
        </w:rPr>
        <w:tab/>
      </w:r>
      <w:r>
        <w:rPr>
          <w:rFonts w:hint="eastAsia" w:ascii="仿宋" w:hAnsi="仿宋" w:eastAsia="仿宋" w:cs="仿宋"/>
          <w:sz w:val="28"/>
          <w:szCs w:val="28"/>
        </w:rPr>
        <w:t xml:space="preserve">                 1.5</w:t>
      </w:r>
    </w:p>
    <w:p>
      <w:pPr>
        <w:widowControl/>
        <w:pBdr>
          <w:top w:val="single" w:color="auto" w:sz="4" w:space="1"/>
          <w:left w:val="single" w:color="auto" w:sz="4" w:space="1"/>
          <w:bottom w:val="single" w:color="auto" w:sz="4" w:space="1"/>
          <w:right w:val="single" w:color="auto" w:sz="4" w:space="0"/>
          <w:between w:val="single" w:color="auto" w:sz="4" w:space="1"/>
        </w:pBdr>
        <w:spacing w:line="5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400-800</w:t>
      </w:r>
      <w:r>
        <w:rPr>
          <w:rFonts w:hint="eastAsia" w:ascii="仿宋" w:hAnsi="仿宋" w:eastAsia="仿宋" w:cs="仿宋"/>
          <w:sz w:val="28"/>
          <w:szCs w:val="28"/>
        </w:rPr>
        <w:tab/>
      </w:r>
      <w:r>
        <w:rPr>
          <w:rFonts w:hint="eastAsia" w:ascii="仿宋" w:hAnsi="仿宋" w:eastAsia="仿宋" w:cs="仿宋"/>
          <w:sz w:val="28"/>
          <w:szCs w:val="28"/>
        </w:rPr>
        <w:t xml:space="preserve">              2.0</w:t>
      </w:r>
    </w:p>
    <w:p>
      <w:pPr>
        <w:widowControl/>
        <w:spacing w:line="560" w:lineRule="exact"/>
        <w:rPr>
          <w:rFonts w:hint="eastAsia" w:ascii="仿宋" w:hAnsi="仿宋" w:eastAsia="仿宋" w:cs="仿宋"/>
          <w:sz w:val="28"/>
          <w:szCs w:val="28"/>
        </w:rPr>
      </w:pPr>
      <w:r>
        <w:rPr>
          <w:rFonts w:hint="eastAsia" w:ascii="仿宋" w:hAnsi="仿宋" w:eastAsia="仿宋" w:cs="仿宋"/>
          <w:sz w:val="28"/>
          <w:szCs w:val="28"/>
        </w:rPr>
        <w:t>注：</w:t>
      </w:r>
    </w:p>
    <w:p>
      <w:pPr>
        <w:widowControl/>
        <w:spacing w:line="560" w:lineRule="exac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rPr>
        <w:tab/>
      </w:r>
      <w:r>
        <w:rPr>
          <w:rFonts w:hint="eastAsia" w:ascii="仿宋" w:hAnsi="仿宋" w:eastAsia="仿宋" w:cs="仿宋"/>
          <w:sz w:val="28"/>
          <w:szCs w:val="28"/>
        </w:rPr>
        <w:t>梯架横档板厚度，应按侧板要求选择。</w:t>
      </w:r>
    </w:p>
    <w:p>
      <w:pPr>
        <w:widowControl/>
        <w:spacing w:line="560" w:lineRule="exac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rPr>
        <w:tab/>
      </w:r>
      <w:r>
        <w:rPr>
          <w:rFonts w:hint="eastAsia" w:ascii="仿宋" w:hAnsi="仿宋" w:eastAsia="仿宋" w:cs="仿宋"/>
          <w:sz w:val="28"/>
          <w:szCs w:val="28"/>
        </w:rPr>
        <w:t>连接板的厚度至少按托盘，梯架横挡板等板厚选用，也可选厚一个等级</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表面防腐层材料应符合国家现行有关标准的规定。</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手工焊接用焊条应符合国家标准《碳钢焊条》GB／T5117—1995的规定，宜用E4300型至E4313型焊条。</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普通螺栓材质应符合国家标准《碳素结构钢》GB／T700—1988中Q235A的要求。紧固件材质应符合国家标准《标准件用碳素钢热轧圆钢》GB／T715—1989的要求。</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托盘、梯架、防火线槽、支吊架的结构，应满足强度、刚度和稳定性的要求。</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各种型式支吊架，应能承受托盘、梯架、防火线槽相应规格、层数的额定均布荷载及其自重。</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连接板、连接螺栓等受力附件应与托盘、梯架、防火线槽、托臂等本体结构强度相适应。</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生产厂应提供各种型式规格的托盘、梯架、防火线槽的跨距与允许均布荷载的关系曲线或数据表。</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托盘、梯架、防火线槽在承受额定均布荷载时的相对挠度应不大于1／200。</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吊架横档或侧壁固定的托臂在承受托盘、梯架、防火线槽额定荷载时的最大挠度值与其长度之比，应不大于1／100。</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生产厂应提供各种型式规格的托盘、梯架、防火线槽在不同荷载与支吊架跨距时的挠度值。</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焊缝的抗拉、屈服等机械性能应不低于本体材料的机械性能，焊缝表面应均匀，不应有漏焊、裂纹、夹渣、浇穿、弧坑等缺陷，并应达到国家标准《钢结构工程施工质量验收规范》GB50205—2001的三级要求。</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托盘、梯架、防火线槽几何尺寸极限偏差应按国家标准《一般公差未注公差的线性和角度尺寸的公差》GB／T1804—2000的规定。</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防火线槽应按照国家和行业相关标准进行防火处理，应达到相关消防规范要求的防火桥架标准。</w:t>
      </w:r>
    </w:p>
    <w:p>
      <w:pPr>
        <w:widowControl/>
        <w:numPr>
          <w:ilvl w:val="0"/>
          <w:numId w:val="17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电缆桥架各种配件，如弯头、三通、连接件、终端封头等应在工厂内预制，不允许在现场加工制作。</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739" w:name="_Toc23141"/>
      <w:r>
        <w:rPr>
          <w:rFonts w:hint="eastAsia" w:ascii="楷体" w:hAnsi="楷体" w:eastAsia="仿宋" w:cs="Times New Roman"/>
          <w:b/>
          <w:kern w:val="2"/>
          <w:sz w:val="28"/>
          <w:lang w:val="en-US" w:eastAsia="zh-CN" w:bidi="ar-SA"/>
        </w:rPr>
        <w:t>电线电缆</w:t>
      </w:r>
      <w:bookmarkEnd w:id="739"/>
    </w:p>
    <w:p>
      <w:pPr>
        <w:widowControl/>
        <w:numPr>
          <w:ilvl w:val="0"/>
          <w:numId w:val="17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根据GB12706标准设计要求，该标准等效采用国际电工委员会标准IEC-60502(1 997)，阻燃特性满足GB／T18380.3-2001(等效IEC332-3)的要求。</w:t>
      </w:r>
    </w:p>
    <w:p>
      <w:pPr>
        <w:widowControl/>
        <w:numPr>
          <w:ilvl w:val="0"/>
          <w:numId w:val="17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电缆燃烧时的低烟无卤特性满足GB／T17650-98与GB／T17651--98的要求．该标准分别与IEC60754-97、IEC61034-97等效。</w:t>
      </w:r>
    </w:p>
    <w:p>
      <w:pPr>
        <w:widowControl/>
        <w:numPr>
          <w:ilvl w:val="0"/>
          <w:numId w:val="17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烟气毒性符合GAl32准安全级的要求。</w:t>
      </w:r>
    </w:p>
    <w:p>
      <w:pPr>
        <w:widowControl/>
        <w:numPr>
          <w:ilvl w:val="0"/>
          <w:numId w:val="17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耐压等级：Voltage  0.6／1KV；</w:t>
      </w:r>
    </w:p>
    <w:p>
      <w:pPr>
        <w:widowControl/>
        <w:numPr>
          <w:ilvl w:val="0"/>
          <w:numId w:val="17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电缆导体长期允许工作温度为：电线70℃、电缆90℃。</w:t>
      </w:r>
    </w:p>
    <w:p>
      <w:pPr>
        <w:widowControl/>
        <w:numPr>
          <w:ilvl w:val="0"/>
          <w:numId w:val="17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短路时（最长持续时间不超过5秒），电缆导体的最高温度不超过250℃。</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740" w:name="_Toc24271"/>
      <w:r>
        <w:rPr>
          <w:rFonts w:hint="eastAsia" w:ascii="楷体" w:hAnsi="楷体" w:eastAsia="仿宋" w:cs="Times New Roman"/>
          <w:b/>
          <w:kern w:val="2"/>
          <w:sz w:val="28"/>
          <w:lang w:val="en-US" w:eastAsia="zh-CN" w:bidi="ar-SA"/>
        </w:rPr>
        <w:t>工业连接器</w:t>
      </w:r>
      <w:bookmarkEnd w:id="740"/>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采用标准</w:t>
      </w:r>
    </w:p>
    <w:p>
      <w:pPr>
        <w:widowControl/>
        <w:numPr>
          <w:ilvl w:val="0"/>
          <w:numId w:val="17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GB/T/11918(IEC309-1)</w:t>
      </w:r>
    </w:p>
    <w:p>
      <w:pPr>
        <w:widowControl/>
        <w:numPr>
          <w:ilvl w:val="0"/>
          <w:numId w:val="17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GB/T/11919(IEC309-2)</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技术要求</w:t>
      </w:r>
    </w:p>
    <w:p>
      <w:pPr>
        <w:widowControl/>
        <w:numPr>
          <w:ilvl w:val="0"/>
          <w:numId w:val="1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型号:自行合理设计</w:t>
      </w:r>
    </w:p>
    <w:p>
      <w:pPr>
        <w:widowControl/>
        <w:numPr>
          <w:ilvl w:val="0"/>
          <w:numId w:val="1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工作电压：自行合理设计</w:t>
      </w:r>
    </w:p>
    <w:p>
      <w:pPr>
        <w:widowControl/>
        <w:numPr>
          <w:ilvl w:val="0"/>
          <w:numId w:val="1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工作频率:50/60HZ；</w:t>
      </w:r>
    </w:p>
    <w:p>
      <w:pPr>
        <w:widowControl/>
        <w:numPr>
          <w:ilvl w:val="0"/>
          <w:numId w:val="1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防护等级：根据IEC60529，为IP44；</w:t>
      </w:r>
    </w:p>
    <w:p>
      <w:pPr>
        <w:widowControl/>
        <w:numPr>
          <w:ilvl w:val="0"/>
          <w:numId w:val="1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抵抗外部机械冲击等级：根据EN50102，为IK08；</w:t>
      </w:r>
    </w:p>
    <w:p>
      <w:pPr>
        <w:widowControl/>
        <w:numPr>
          <w:ilvl w:val="0"/>
          <w:numId w:val="1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绝缘部分采用阻燃、耐腐蚀、耐冲击、无卤素的工程塑料材料，自熄温度不低于850℃；</w:t>
      </w:r>
    </w:p>
    <w:p>
      <w:pPr>
        <w:widowControl/>
        <w:numPr>
          <w:ilvl w:val="0"/>
          <w:numId w:val="1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铜镍合金插销，不锈钢横轴和弹簧、螺丝；</w:t>
      </w:r>
    </w:p>
    <w:p>
      <w:pPr>
        <w:widowControl/>
        <w:numPr>
          <w:ilvl w:val="0"/>
          <w:numId w:val="1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密封圈采用合模注塑和发泡工艺制造；</w:t>
      </w:r>
    </w:p>
    <w:p>
      <w:pPr>
        <w:widowControl/>
        <w:numPr>
          <w:ilvl w:val="0"/>
          <w:numId w:val="1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接地触头的插销、插簧满足先接触、后脱离的安全设计原则；</w:t>
      </w:r>
    </w:p>
    <w:p>
      <w:pPr>
        <w:widowControl/>
        <w:numPr>
          <w:ilvl w:val="0"/>
          <w:numId w:val="1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具有较高的强度和优异的稳定性；</w:t>
      </w:r>
    </w:p>
    <w:p>
      <w:pPr>
        <w:widowControl/>
        <w:numPr>
          <w:ilvl w:val="0"/>
          <w:numId w:val="1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采用固定式工业连接器(含插座、插头)。</w:t>
      </w:r>
    </w:p>
    <w:p>
      <w:pPr>
        <w:widowControl/>
        <w:numPr>
          <w:ilvl w:val="0"/>
          <w:numId w:val="17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通过“3C认证”</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741" w:name="_Toc23070"/>
      <w:r>
        <w:rPr>
          <w:rFonts w:hint="eastAsia" w:ascii="楷体" w:hAnsi="楷体" w:eastAsia="仿宋" w:cs="Times New Roman"/>
          <w:b/>
          <w:kern w:val="2"/>
          <w:sz w:val="28"/>
          <w:lang w:val="en-US" w:eastAsia="zh-CN" w:bidi="ar-SA"/>
        </w:rPr>
        <w:t>电源浪涌保护器</w:t>
      </w:r>
      <w:bookmarkEnd w:id="741"/>
    </w:p>
    <w:p>
      <w:pPr>
        <w:widowControl/>
        <w:numPr>
          <w:ilvl w:val="0"/>
          <w:numId w:val="17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电涌保护器须符合并按 IEC61643 之规定进行定性试验和符合下列要求：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设备类型</w:t>
      </w:r>
      <w:r>
        <w:rPr>
          <w:rFonts w:hint="eastAsia" w:ascii="Calibri" w:hAnsi="Calibri" w:eastAsia="仿宋" w:cs="Times New Roman"/>
          <w:sz w:val="28"/>
          <w:szCs w:val="22"/>
        </w:rPr>
        <w:tab/>
      </w:r>
      <w:r>
        <w:rPr>
          <w:rFonts w:hint="eastAsia" w:ascii="Calibri" w:hAnsi="Calibri" w:eastAsia="仿宋" w:cs="Times New Roman"/>
          <w:sz w:val="28"/>
          <w:szCs w:val="22"/>
        </w:rPr>
        <w:t>氧化锌型</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额定电压</w:t>
      </w:r>
      <w:r>
        <w:rPr>
          <w:rFonts w:hint="eastAsia" w:ascii="Calibri" w:hAnsi="Calibri" w:eastAsia="仿宋" w:cs="Times New Roman"/>
          <w:sz w:val="28"/>
          <w:szCs w:val="22"/>
        </w:rPr>
        <w:tab/>
      </w:r>
      <w:r>
        <w:rPr>
          <w:rFonts w:hint="eastAsia" w:ascii="Calibri" w:hAnsi="Calibri" w:eastAsia="仿宋" w:cs="Times New Roman"/>
          <w:sz w:val="28"/>
          <w:szCs w:val="22"/>
        </w:rPr>
        <w:t>230/400V</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最大工作电压</w:t>
      </w:r>
      <w:r>
        <w:rPr>
          <w:rFonts w:hint="eastAsia" w:ascii="Calibri" w:hAnsi="Calibri" w:eastAsia="仿宋" w:cs="Times New Roman"/>
          <w:sz w:val="28"/>
          <w:szCs w:val="22"/>
        </w:rPr>
        <w:tab/>
      </w:r>
      <w:r>
        <w:rPr>
          <w:rFonts w:hint="eastAsia" w:ascii="Calibri" w:hAnsi="Calibri" w:eastAsia="仿宋" w:cs="Times New Roman"/>
          <w:sz w:val="28"/>
          <w:szCs w:val="22"/>
        </w:rPr>
        <w:t>275V</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允许内部短路电流 P</w:t>
      </w:r>
      <w:r>
        <w:rPr>
          <w:rFonts w:hint="eastAsia" w:ascii="Calibri" w:hAnsi="Calibri" w:eastAsia="仿宋" w:cs="Times New Roman"/>
          <w:sz w:val="28"/>
          <w:szCs w:val="22"/>
        </w:rPr>
        <w:tab/>
      </w:r>
      <w:r>
        <w:rPr>
          <w:rFonts w:hint="eastAsia" w:ascii="Calibri" w:hAnsi="Calibri" w:eastAsia="仿宋" w:cs="Times New Roman"/>
          <w:sz w:val="28"/>
          <w:szCs w:val="22"/>
        </w:rPr>
        <w:t>25kA/10kA</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最大放电电流（自行合理设计）</w:t>
      </w:r>
      <w:r>
        <w:rPr>
          <w:rFonts w:hint="eastAsia" w:ascii="Calibri" w:hAnsi="Calibri" w:eastAsia="仿宋" w:cs="Times New Roman"/>
          <w:sz w:val="28"/>
          <w:szCs w:val="22"/>
        </w:rPr>
        <w:tab/>
      </w:r>
      <w:r>
        <w:rPr>
          <w:rFonts w:hint="eastAsia" w:ascii="Calibri" w:hAnsi="Calibri" w:eastAsia="仿宋" w:cs="Times New Roman"/>
          <w:sz w:val="28"/>
          <w:szCs w:val="22"/>
        </w:rPr>
        <w:t>65kA/40kA/15kA/8kA</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标准放电电流（自行合理设计）</w:t>
      </w:r>
      <w:r>
        <w:rPr>
          <w:rFonts w:hint="eastAsia" w:ascii="Calibri" w:hAnsi="Calibri" w:eastAsia="仿宋" w:cs="Times New Roman"/>
          <w:sz w:val="28"/>
          <w:szCs w:val="22"/>
        </w:rPr>
        <w:tab/>
      </w:r>
      <w:r>
        <w:rPr>
          <w:rFonts w:hint="eastAsia" w:ascii="Calibri" w:hAnsi="Calibri" w:eastAsia="仿宋" w:cs="Times New Roman"/>
          <w:sz w:val="28"/>
          <w:szCs w:val="22"/>
        </w:rPr>
        <w:t>20kA/15kA/85kA/2kA</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保护等级</w:t>
      </w:r>
      <w:r>
        <w:rPr>
          <w:rFonts w:hint="eastAsia" w:ascii="Calibri" w:hAnsi="Calibri" w:eastAsia="仿宋" w:cs="Times New Roman"/>
          <w:sz w:val="28"/>
          <w:szCs w:val="22"/>
        </w:rPr>
        <w:tab/>
      </w:r>
      <w:r>
        <w:rPr>
          <w:rFonts w:hint="eastAsia" w:ascii="Calibri" w:hAnsi="Calibri" w:eastAsia="仿宋" w:cs="Times New Roman"/>
          <w:sz w:val="28"/>
          <w:szCs w:val="22"/>
        </w:rPr>
        <w:t>IP20</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保护方式</w:t>
      </w:r>
      <w:r>
        <w:rPr>
          <w:rFonts w:hint="eastAsia" w:ascii="Calibri" w:hAnsi="Calibri" w:eastAsia="仿宋" w:cs="Times New Roman"/>
          <w:sz w:val="28"/>
          <w:szCs w:val="22"/>
        </w:rPr>
        <w:tab/>
      </w:r>
      <w:r>
        <w:rPr>
          <w:rFonts w:hint="eastAsia" w:ascii="Calibri" w:hAnsi="Calibri" w:eastAsia="仿宋" w:cs="Times New Roman"/>
          <w:sz w:val="28"/>
          <w:szCs w:val="22"/>
        </w:rPr>
        <w:t>差模/共模</w:t>
      </w:r>
    </w:p>
    <w:p>
      <w:pPr>
        <w:widowControl/>
        <w:numPr>
          <w:ilvl w:val="0"/>
          <w:numId w:val="17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为防止避雷器过负荷造成短路，须配置专用动作曲线的断路器，该断器具有在浪涌电流经过时不动作的特性。</w:t>
      </w:r>
    </w:p>
    <w:p>
      <w:pPr>
        <w:widowControl/>
        <w:numPr>
          <w:ilvl w:val="0"/>
          <w:numId w:val="17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具有机械指示窗口显示工作状态</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 xml:space="preserve">白色：正常状态 </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 xml:space="preserve">白色/红色：部分需更换 </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红色：必须更换</w:t>
      </w:r>
    </w:p>
    <w:p>
      <w:pPr>
        <w:spacing w:line="560" w:lineRule="exact"/>
        <w:rPr>
          <w:rFonts w:hint="eastAsia"/>
          <w:szCs w:val="22"/>
        </w:rPr>
        <w:sectPr>
          <w:pgSz w:w="11906" w:h="16838"/>
          <w:pgMar w:top="1440" w:right="1800" w:bottom="1440" w:left="1800" w:header="851" w:footer="992" w:gutter="0"/>
          <w:pgNumType w:fmt="decimal"/>
          <w:cols w:space="720" w:num="1"/>
          <w:titlePg/>
          <w:docGrid w:type="lines" w:linePitch="381" w:charSpace="0"/>
        </w:sectPr>
      </w:pP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742" w:name="_Toc12989"/>
      <w:r>
        <w:rPr>
          <w:rFonts w:hint="eastAsia" w:ascii="仿宋" w:hAnsi="仿宋" w:eastAsia="仿宋" w:cs="仿宋"/>
          <w:b/>
          <w:bCs/>
          <w:kern w:val="2"/>
          <w:sz w:val="28"/>
          <w:szCs w:val="28"/>
          <w:lang w:val="en-US" w:eastAsia="zh-CN" w:bidi="ar-SA"/>
        </w:rPr>
        <w:t>暖通系统</w:t>
      </w:r>
      <w:bookmarkEnd w:id="742"/>
    </w:p>
    <w:p>
      <w:pPr>
        <w:keepLines/>
        <w:numPr>
          <w:ilvl w:val="2"/>
          <w:numId w:val="2"/>
        </w:numPr>
        <w:adjustRightInd w:val="0"/>
        <w:spacing w:before="0" w:beforeLines="0" w:after="0" w:afterLines="0" w:line="560" w:lineRule="exact"/>
        <w:ind w:left="0" w:firstLine="0"/>
        <w:jc w:val="left"/>
        <w:textAlignment w:val="baseline"/>
        <w:outlineLvl w:val="2"/>
        <w:rPr>
          <w:rFonts w:ascii="楷体" w:hAnsi="楷体" w:eastAsia="仿宋" w:cs="Times New Roman"/>
          <w:b/>
          <w:kern w:val="2"/>
          <w:sz w:val="28"/>
          <w:lang w:val="en-US" w:eastAsia="zh-CN" w:bidi="ar-SA"/>
        </w:rPr>
      </w:pPr>
      <w:bookmarkStart w:id="743" w:name="_Toc36062066"/>
      <w:bookmarkStart w:id="744" w:name="_Toc23718"/>
      <w:r>
        <w:rPr>
          <w:rFonts w:hint="eastAsia" w:ascii="楷体" w:hAnsi="楷体" w:eastAsia="仿宋" w:cs="Times New Roman"/>
          <w:b/>
          <w:kern w:val="2"/>
          <w:sz w:val="28"/>
          <w:lang w:val="en-US" w:eastAsia="zh-CN" w:bidi="ar-SA"/>
        </w:rPr>
        <w:t>主机房精密空调</w:t>
      </w:r>
      <w:bookmarkEnd w:id="743"/>
      <w:bookmarkEnd w:id="744"/>
    </w:p>
    <w:p>
      <w:pPr>
        <w:widowControl/>
        <w:rPr>
          <w:rFonts w:ascii="Calibri" w:hAnsi="Calibri" w:eastAsia="仿宋" w:cs="Times New Roman"/>
          <w:sz w:val="28"/>
          <w:szCs w:val="20"/>
        </w:rPr>
      </w:pPr>
    </w:p>
    <w:p>
      <w:pPr>
        <w:numPr>
          <w:ilvl w:val="1"/>
          <w:numId w:val="176"/>
        </w:numPr>
        <w:spacing w:before="190" w:beforeLines="50" w:after="190" w:afterLines="50"/>
        <w:ind w:left="567" w:hanging="567"/>
        <w:jc w:val="both"/>
        <w:outlineLvl w:val="3"/>
        <w:rPr>
          <w:rFonts w:ascii="楷体" w:hAnsi="楷体" w:eastAsia="仿宋" w:cs="Times New Roman"/>
          <w:b/>
          <w:kern w:val="2"/>
          <w:sz w:val="28"/>
          <w:szCs w:val="24"/>
          <w:lang w:val="en-US" w:eastAsia="zh-CN" w:bidi="ar-SA"/>
        </w:rPr>
      </w:pPr>
      <w:r>
        <w:rPr>
          <w:rFonts w:hint="eastAsia" w:ascii="楷体" w:hAnsi="楷体" w:eastAsia="仿宋" w:cs="Times New Roman"/>
          <w:b/>
          <w:kern w:val="2"/>
          <w:sz w:val="28"/>
          <w:szCs w:val="24"/>
          <w:lang w:val="en-US" w:eastAsia="zh-CN" w:bidi="ar-SA"/>
        </w:rPr>
        <w:t>一般要求</w:t>
      </w:r>
    </w:p>
    <w:p>
      <w:pPr>
        <w:widowControl/>
        <w:numPr>
          <w:ilvl w:val="7"/>
          <w:numId w:val="177"/>
        </w:numPr>
        <w:spacing w:line="660" w:lineRule="exact"/>
        <w:ind w:left="0" w:firstLine="0"/>
        <w:textAlignment w:val="center"/>
        <w:rPr>
          <w:rFonts w:ascii="仿宋_GB2312" w:hAnsi="宋体" w:eastAsia="仿宋_GB2312" w:cs="Times New Roman"/>
          <w:bCs/>
          <w:sz w:val="28"/>
          <w:szCs w:val="28"/>
        </w:rPr>
      </w:pPr>
      <w:r>
        <w:rPr>
          <w:rFonts w:hint="eastAsia" w:ascii="仿宋_GB2312" w:hAnsi="宋体" w:eastAsia="仿宋_GB2312" w:cs="Times New Roman"/>
          <w:bCs/>
          <w:sz w:val="28"/>
          <w:szCs w:val="28"/>
        </w:rPr>
        <w:t>必须确保所有产品、配件均为原厂正品。</w:t>
      </w:r>
      <w:bookmarkStart w:id="745" w:name="_Toc5796824"/>
      <w:r>
        <w:rPr>
          <w:rFonts w:hint="eastAsia" w:ascii="仿宋_GB2312" w:hAnsi="宋体" w:eastAsia="仿宋_GB2312" w:cs="Times New Roman"/>
          <w:bCs/>
          <w:sz w:val="28"/>
          <w:szCs w:val="28"/>
        </w:rPr>
        <w:t>使用寿命</w:t>
      </w:r>
      <w:bookmarkEnd w:id="745"/>
      <w:r>
        <w:rPr>
          <w:rFonts w:hint="eastAsia" w:ascii="仿宋_GB2312" w:hAnsi="宋体" w:eastAsia="仿宋_GB2312" w:cs="Times New Roman"/>
          <w:bCs/>
          <w:sz w:val="28"/>
          <w:szCs w:val="28"/>
        </w:rPr>
        <w:t>可以全天24H运行至少1</w:t>
      </w:r>
      <w:r>
        <w:rPr>
          <w:rFonts w:ascii="仿宋_GB2312" w:hAnsi="宋体" w:eastAsia="仿宋_GB2312" w:cs="Times New Roman"/>
          <w:bCs/>
          <w:sz w:val="28"/>
          <w:szCs w:val="28"/>
        </w:rPr>
        <w:t>0</w:t>
      </w:r>
      <w:r>
        <w:rPr>
          <w:rFonts w:hint="eastAsia" w:ascii="仿宋_GB2312" w:hAnsi="宋体" w:eastAsia="仿宋_GB2312" w:cs="Times New Roman"/>
          <w:bCs/>
          <w:sz w:val="28"/>
          <w:szCs w:val="28"/>
        </w:rPr>
        <w:t>年。</w:t>
      </w:r>
    </w:p>
    <w:p>
      <w:pPr>
        <w:widowControl/>
        <w:numPr>
          <w:ilvl w:val="7"/>
          <w:numId w:val="177"/>
        </w:numPr>
        <w:spacing w:line="660" w:lineRule="exact"/>
        <w:ind w:left="0" w:firstLine="0"/>
        <w:textAlignment w:val="center"/>
        <w:rPr>
          <w:rFonts w:ascii="仿宋_GB2312" w:hAnsi="宋体" w:eastAsia="仿宋_GB2312" w:cs="Arial"/>
          <w:bCs/>
          <w:sz w:val="28"/>
          <w:szCs w:val="28"/>
        </w:rPr>
      </w:pPr>
      <w:r>
        <w:rPr>
          <w:rFonts w:hint="eastAsia" w:ascii="仿宋_GB2312" w:hAnsi="宋体" w:eastAsia="仿宋_GB2312" w:cs="Arial"/>
          <w:bCs/>
          <w:sz w:val="28"/>
          <w:szCs w:val="28"/>
        </w:rPr>
        <w:t>提供产地证明资料加盖</w:t>
      </w:r>
      <w:r>
        <w:rPr>
          <w:rFonts w:ascii="仿宋_GB2312" w:hAnsi="宋体" w:eastAsia="仿宋_GB2312" w:cs="Arial"/>
          <w:bCs/>
          <w:sz w:val="28"/>
          <w:szCs w:val="28"/>
        </w:rPr>
        <w:t>制造商公章佐证</w:t>
      </w:r>
      <w:r>
        <w:rPr>
          <w:rFonts w:hint="eastAsia" w:ascii="仿宋_GB2312" w:hAnsi="宋体" w:eastAsia="仿宋_GB2312" w:cs="Arial"/>
          <w:bCs/>
          <w:sz w:val="28"/>
          <w:szCs w:val="28"/>
        </w:rPr>
        <w:t>。</w:t>
      </w:r>
    </w:p>
    <w:p>
      <w:pPr>
        <w:widowControl/>
        <w:numPr>
          <w:ilvl w:val="7"/>
          <w:numId w:val="177"/>
        </w:numPr>
        <w:spacing w:line="660" w:lineRule="exact"/>
        <w:ind w:left="0" w:firstLine="0"/>
        <w:textAlignment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安装与实施</w:t>
      </w:r>
    </w:p>
    <w:p>
      <w:pPr>
        <w:widowControl/>
        <w:numPr>
          <w:ilvl w:val="8"/>
          <w:numId w:val="177"/>
        </w:numPr>
        <w:spacing w:line="660" w:lineRule="exact"/>
        <w:ind w:left="142" w:firstLine="0"/>
        <w:textAlignment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设备和部件的安装应当按照制造厂商的安装说明书规定的方式进行。</w:t>
      </w:r>
      <w:r>
        <w:rPr>
          <w:rFonts w:hint="eastAsia" w:ascii="仿宋_GB2312" w:hAnsi="宋体" w:eastAsia="仿宋_GB2312" w:cs="Times New Roman"/>
          <w:bCs/>
          <w:color w:val="000000"/>
          <w:sz w:val="28"/>
          <w:szCs w:val="28"/>
        </w:rPr>
        <w:t>提供</w:t>
      </w:r>
      <w:r>
        <w:rPr>
          <w:rFonts w:hint="eastAsia" w:ascii="仿宋_GB2312" w:hAnsi="宋体" w:eastAsia="仿宋_GB2312" w:cs="宋体"/>
          <w:bCs/>
          <w:color w:val="000000"/>
          <w:sz w:val="28"/>
          <w:szCs w:val="28"/>
        </w:rPr>
        <w:t>必要的支架</w:t>
      </w:r>
      <w:r>
        <w:rPr>
          <w:rFonts w:ascii="仿宋_GB2312" w:hAnsi="宋体" w:eastAsia="仿宋_GB2312" w:cs="宋体"/>
          <w:bCs/>
          <w:color w:val="000000"/>
          <w:sz w:val="28"/>
          <w:szCs w:val="28"/>
        </w:rPr>
        <w:t>、</w:t>
      </w:r>
      <w:r>
        <w:rPr>
          <w:rFonts w:hint="eastAsia" w:ascii="仿宋_GB2312" w:hAnsi="宋体" w:eastAsia="仿宋_GB2312" w:cs="宋体"/>
          <w:bCs/>
          <w:color w:val="000000"/>
          <w:sz w:val="28"/>
          <w:szCs w:val="28"/>
        </w:rPr>
        <w:t>平台，以保证设备的正常运行。</w:t>
      </w:r>
    </w:p>
    <w:p>
      <w:pPr>
        <w:widowControl/>
        <w:numPr>
          <w:ilvl w:val="8"/>
          <w:numId w:val="177"/>
        </w:numPr>
        <w:spacing w:line="660" w:lineRule="exact"/>
        <w:ind w:left="142" w:firstLine="0"/>
        <w:textAlignment w:val="center"/>
        <w:rPr>
          <w:rFonts w:ascii="仿宋_GB2312" w:hAnsi="宋体" w:eastAsia="仿宋_GB2312" w:cs="宋体"/>
          <w:bCs/>
          <w:sz w:val="28"/>
          <w:szCs w:val="28"/>
        </w:rPr>
      </w:pPr>
      <w:r>
        <w:rPr>
          <w:rFonts w:hint="eastAsia" w:ascii="仿宋_GB2312" w:hAnsi="宋体" w:eastAsia="仿宋_GB2312" w:cs="宋体"/>
          <w:bCs/>
          <w:sz w:val="28"/>
          <w:szCs w:val="28"/>
        </w:rPr>
        <w:t>应负责提供空调室内机尺寸、安装维护距离及平面布置图</w:t>
      </w:r>
    </w:p>
    <w:p>
      <w:pPr>
        <w:widowControl/>
        <w:numPr>
          <w:ilvl w:val="7"/>
          <w:numId w:val="177"/>
        </w:numPr>
        <w:spacing w:line="660" w:lineRule="exact"/>
        <w:ind w:left="0" w:firstLine="0"/>
        <w:textAlignment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其他</w:t>
      </w:r>
      <w:r>
        <w:rPr>
          <w:rFonts w:hint="eastAsia" w:ascii="仿宋_GB2312" w:hAnsi="宋体" w:eastAsia="仿宋_GB2312" w:cs="仿宋_GB2312"/>
          <w:bCs/>
          <w:sz w:val="28"/>
          <w:szCs w:val="28"/>
        </w:rPr>
        <w:t>要求</w:t>
      </w:r>
    </w:p>
    <w:p>
      <w:pPr>
        <w:widowControl/>
        <w:numPr>
          <w:ilvl w:val="8"/>
          <w:numId w:val="177"/>
        </w:numPr>
        <w:spacing w:line="660" w:lineRule="exact"/>
        <w:ind w:left="142" w:firstLine="0"/>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应提供设备外形尺寸和满足维护空间的要求。</w:t>
      </w:r>
    </w:p>
    <w:p>
      <w:pPr>
        <w:widowControl/>
        <w:numPr>
          <w:ilvl w:val="8"/>
          <w:numId w:val="177"/>
        </w:numPr>
        <w:spacing w:line="660" w:lineRule="exact"/>
        <w:ind w:left="142" w:firstLine="0"/>
        <w:textAlignment w:val="center"/>
        <w:rPr>
          <w:rFonts w:ascii="仿宋_GB2312" w:hAnsi="宋体" w:eastAsia="仿宋_GB2312" w:cs="宋体"/>
          <w:bCs/>
          <w:color w:val="000000"/>
          <w:sz w:val="28"/>
          <w:szCs w:val="28"/>
        </w:rPr>
      </w:pPr>
      <w:r>
        <w:rPr>
          <w:rFonts w:hint="eastAsia" w:ascii="仿宋_GB2312" w:hAnsi="宋体" w:eastAsia="仿宋_GB2312" w:cs="Times New Roman"/>
          <w:bCs/>
          <w:color w:val="000000"/>
          <w:sz w:val="28"/>
          <w:szCs w:val="28"/>
        </w:rPr>
        <w:t>机组铭牌、标记应为中文，平整清晰，固定在机组明显的位置。铭牌应</w:t>
      </w:r>
      <w:r>
        <w:rPr>
          <w:rFonts w:hint="eastAsia" w:ascii="仿宋_GB2312" w:hAnsi="宋体" w:eastAsia="仿宋_GB2312" w:cs="宋体"/>
          <w:bCs/>
          <w:color w:val="000000"/>
          <w:sz w:val="28"/>
          <w:szCs w:val="28"/>
        </w:rPr>
        <w:t>显示机组型号、生产日期、电源特征及其它有关信息。</w:t>
      </w:r>
    </w:p>
    <w:p>
      <w:pPr>
        <w:widowControl/>
        <w:numPr>
          <w:ilvl w:val="8"/>
          <w:numId w:val="177"/>
        </w:numPr>
        <w:spacing w:line="660" w:lineRule="exact"/>
        <w:ind w:left="142" w:firstLine="0"/>
        <w:textAlignment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精密</w:t>
      </w:r>
      <w:r>
        <w:rPr>
          <w:rFonts w:hint="eastAsia" w:ascii="仿宋_GB2312" w:hAnsi="宋体" w:eastAsia="仿宋_GB2312" w:cs="Times New Roman"/>
          <w:bCs/>
          <w:color w:val="000000"/>
          <w:sz w:val="28"/>
          <w:szCs w:val="28"/>
        </w:rPr>
        <w:t>空调</w:t>
      </w:r>
      <w:r>
        <w:rPr>
          <w:rFonts w:hint="eastAsia" w:ascii="仿宋_GB2312" w:hAnsi="宋体" w:eastAsia="仿宋_GB2312" w:cs="宋体"/>
          <w:bCs/>
          <w:color w:val="000000"/>
          <w:sz w:val="28"/>
          <w:szCs w:val="28"/>
        </w:rPr>
        <w:t>机组选型应保证所需的制冷量。</w:t>
      </w:r>
    </w:p>
    <w:p>
      <w:pPr>
        <w:numPr>
          <w:ilvl w:val="1"/>
          <w:numId w:val="176"/>
        </w:numPr>
        <w:spacing w:before="190" w:beforeLines="50" w:after="190" w:afterLines="50"/>
        <w:ind w:left="567" w:hanging="567"/>
        <w:jc w:val="both"/>
        <w:outlineLvl w:val="3"/>
        <w:rPr>
          <w:rFonts w:ascii="楷体" w:hAnsi="楷体" w:eastAsia="仿宋" w:cs="Times New Roman"/>
          <w:b/>
          <w:kern w:val="2"/>
          <w:sz w:val="28"/>
          <w:szCs w:val="24"/>
          <w:lang w:val="en-US" w:eastAsia="zh-CN" w:bidi="ar-SA"/>
        </w:rPr>
      </w:pPr>
      <w:bookmarkStart w:id="746" w:name="空调参数2"/>
      <w:bookmarkEnd w:id="746"/>
      <w:r>
        <w:rPr>
          <w:rFonts w:hint="eastAsia" w:ascii="楷体" w:hAnsi="楷体" w:eastAsia="仿宋" w:cs="Times New Roman"/>
          <w:b/>
          <w:kern w:val="2"/>
          <w:sz w:val="28"/>
          <w:szCs w:val="24"/>
          <w:lang w:val="en-US" w:eastAsia="zh-CN" w:bidi="ar-SA"/>
        </w:rPr>
        <w:t>精密空调性能参数</w:t>
      </w:r>
      <w:bookmarkStart w:id="747" w:name="_Toc437761059"/>
    </w:p>
    <w:p>
      <w:pPr>
        <w:widowControl/>
        <w:numPr>
          <w:ilvl w:val="7"/>
          <w:numId w:val="177"/>
        </w:numPr>
        <w:spacing w:line="660" w:lineRule="exact"/>
        <w:ind w:left="0" w:firstLine="0"/>
        <w:textAlignment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主机房精密空调不带加湿功能，其他功能区域精密空调自带加湿功能。</w:t>
      </w:r>
    </w:p>
    <w:p>
      <w:pPr>
        <w:widowControl/>
        <w:numPr>
          <w:ilvl w:val="7"/>
          <w:numId w:val="177"/>
        </w:numPr>
        <w:spacing w:line="660" w:lineRule="exact"/>
        <w:ind w:left="0" w:firstLine="0"/>
        <w:textAlignment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每台精密空调均自带控制，并自带漏水检测。</w:t>
      </w:r>
    </w:p>
    <w:p>
      <w:pPr>
        <w:widowControl/>
        <w:numPr>
          <w:ilvl w:val="7"/>
          <w:numId w:val="177"/>
        </w:numPr>
        <w:spacing w:line="660" w:lineRule="exact"/>
        <w:ind w:left="0" w:firstLine="0"/>
        <w:textAlignment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工作压力均为1.0Mpa。</w:t>
      </w:r>
    </w:p>
    <w:bookmarkEnd w:id="747"/>
    <w:p>
      <w:pPr>
        <w:numPr>
          <w:ilvl w:val="1"/>
          <w:numId w:val="176"/>
        </w:numPr>
        <w:spacing w:before="190" w:beforeLines="50" w:after="190" w:afterLines="50"/>
        <w:ind w:left="567" w:hanging="567"/>
        <w:jc w:val="both"/>
        <w:outlineLvl w:val="3"/>
        <w:rPr>
          <w:rFonts w:ascii="楷体" w:hAnsi="楷体" w:eastAsia="仿宋" w:cs="Times New Roman"/>
          <w:b/>
          <w:kern w:val="2"/>
          <w:sz w:val="28"/>
          <w:szCs w:val="24"/>
          <w:lang w:val="en-US" w:eastAsia="zh-CN" w:bidi="ar-SA"/>
        </w:rPr>
      </w:pPr>
      <w:bookmarkStart w:id="748" w:name="_Toc456623435"/>
      <w:bookmarkStart w:id="749" w:name="_Toc459442551"/>
      <w:r>
        <w:rPr>
          <w:rFonts w:hint="eastAsia" w:ascii="楷体" w:hAnsi="楷体" w:eastAsia="仿宋" w:cs="Times New Roman"/>
          <w:b/>
          <w:kern w:val="2"/>
          <w:sz w:val="28"/>
          <w:szCs w:val="24"/>
          <w:lang w:val="en-US" w:eastAsia="zh-CN" w:bidi="ar-SA"/>
        </w:rPr>
        <w:t>设备通用</w:t>
      </w:r>
      <w:bookmarkEnd w:id="748"/>
      <w:bookmarkEnd w:id="749"/>
      <w:r>
        <w:rPr>
          <w:rFonts w:hint="eastAsia" w:ascii="楷体" w:hAnsi="楷体" w:eastAsia="仿宋" w:cs="Times New Roman"/>
          <w:b/>
          <w:kern w:val="2"/>
          <w:sz w:val="28"/>
          <w:szCs w:val="24"/>
          <w:lang w:val="en-US" w:eastAsia="zh-CN" w:bidi="ar-SA"/>
        </w:rPr>
        <w:t>要求</w:t>
      </w:r>
    </w:p>
    <w:p>
      <w:pPr>
        <w:keepNext/>
        <w:keepLines/>
        <w:numPr>
          <w:ilvl w:val="2"/>
          <w:numId w:val="176"/>
        </w:numPr>
        <w:spacing w:before="280" w:beforeLines="0" w:after="290" w:afterLines="0" w:line="372" w:lineRule="auto"/>
        <w:ind w:left="709" w:hanging="709"/>
        <w:jc w:val="both"/>
        <w:outlineLvl w:val="4"/>
        <w:rPr>
          <w:rFonts w:ascii="Calibri" w:hAnsi="Calibri" w:eastAsia="仿宋" w:cs="Times New Roman"/>
          <w:b/>
          <w:bCs/>
          <w:kern w:val="2"/>
          <w:sz w:val="28"/>
          <w:szCs w:val="28"/>
          <w:lang w:val="en-US" w:eastAsia="zh-CN" w:bidi="ar-SA"/>
        </w:rPr>
      </w:pPr>
      <w:r>
        <w:rPr>
          <w:rFonts w:hint="eastAsia" w:ascii="Calibri" w:hAnsi="Calibri" w:eastAsia="仿宋" w:cs="Times New Roman"/>
          <w:b/>
          <w:bCs/>
          <w:kern w:val="2"/>
          <w:sz w:val="28"/>
          <w:szCs w:val="28"/>
          <w:lang w:val="en-US" w:eastAsia="zh-CN" w:bidi="ar-SA"/>
        </w:rPr>
        <w:t>一般要求</w:t>
      </w:r>
    </w:p>
    <w:p>
      <w:pPr>
        <w:widowControl/>
        <w:numPr>
          <w:ilvl w:val="7"/>
          <w:numId w:val="177"/>
        </w:numPr>
        <w:spacing w:line="660" w:lineRule="exact"/>
        <w:ind w:left="0" w:firstLine="0"/>
        <w:textAlignment w:val="center"/>
        <w:rPr>
          <w:rFonts w:ascii="仿宋_GB2312" w:hAnsi="宋体" w:eastAsia="仿宋_GB2312" w:cs="宋体"/>
          <w:bCs/>
          <w:sz w:val="28"/>
          <w:szCs w:val="28"/>
        </w:rPr>
      </w:pPr>
      <w:r>
        <w:rPr>
          <w:rFonts w:hint="eastAsia" w:ascii="仿宋_GB2312" w:hAnsi="宋体" w:eastAsia="仿宋_GB2312" w:cs="仿宋_GB2312"/>
          <w:bCs/>
          <w:sz w:val="28"/>
          <w:szCs w:val="28"/>
        </w:rPr>
        <w:t>本项目中的精</w:t>
      </w:r>
      <w:r>
        <w:rPr>
          <w:rFonts w:hint="eastAsia" w:ascii="仿宋_GB2312" w:hAnsi="宋体" w:eastAsia="仿宋_GB2312" w:cs="宋体"/>
          <w:bCs/>
          <w:sz w:val="28"/>
          <w:szCs w:val="28"/>
        </w:rPr>
        <w:t>密空调为环保型精密空调。</w:t>
      </w:r>
    </w:p>
    <w:p>
      <w:pPr>
        <w:widowControl/>
        <w:numPr>
          <w:ilvl w:val="7"/>
          <w:numId w:val="177"/>
        </w:numPr>
        <w:spacing w:line="660" w:lineRule="exact"/>
        <w:ind w:left="0" w:firstLine="0"/>
        <w:textAlignment w:val="center"/>
        <w:rPr>
          <w:rFonts w:ascii="仿宋_GB2312" w:hAnsi="宋体" w:eastAsia="仿宋_GB2312" w:cs="仿宋_GB2312"/>
          <w:bCs/>
          <w:sz w:val="28"/>
          <w:szCs w:val="28"/>
        </w:rPr>
      </w:pPr>
      <w:r>
        <w:rPr>
          <w:rFonts w:hint="eastAsia" w:ascii="仿宋_GB2312" w:hAnsi="宋体" w:eastAsia="仿宋_GB2312" w:cs="宋体"/>
          <w:bCs/>
          <w:color w:val="000000"/>
          <w:sz w:val="28"/>
          <w:szCs w:val="28"/>
        </w:rPr>
        <w:t>为避免腐蚀，须使用</w:t>
      </w:r>
      <w:r>
        <w:rPr>
          <w:rFonts w:hint="eastAsia" w:ascii="仿宋_GB2312" w:hAnsi="宋体" w:eastAsia="仿宋_GB2312" w:cs="仿宋_GB2312"/>
          <w:bCs/>
          <w:sz w:val="28"/>
          <w:szCs w:val="28"/>
        </w:rPr>
        <w:t>适当的耐腐蚀材料，或经耐腐蚀处理的钢材，以及采用相应的耐腐装配方法，包括对不同金属紧邻装配时使之隔离，以避免因电位差所产生的腐蚀。保温材料与气流接触的地方，需加覆冲孔铝箔，以保护保温材料的表面免于腐蚀或剥蚀。</w:t>
      </w:r>
    </w:p>
    <w:p>
      <w:pPr>
        <w:widowControl/>
        <w:numPr>
          <w:ilvl w:val="7"/>
          <w:numId w:val="177"/>
        </w:numPr>
        <w:spacing w:line="660" w:lineRule="exact"/>
        <w:ind w:left="0" w:firstLine="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空调表面喷涂工艺、无破损；信号灯、开关、测量显示装置布局合理。机组的所有面板和门都能拆卸，后面板及侧面板应用螺栓固定，机组的前侧门应有锁定装置来防止外人打开机组。机组的面板及门都应安装B1级或以上级别的隔热材料。</w:t>
      </w:r>
    </w:p>
    <w:p>
      <w:pPr>
        <w:widowControl/>
        <w:numPr>
          <w:ilvl w:val="7"/>
          <w:numId w:val="177"/>
        </w:numPr>
        <w:spacing w:line="660" w:lineRule="exact"/>
        <w:ind w:left="0" w:firstLine="0"/>
        <w:textAlignment w:val="center"/>
        <w:rPr>
          <w:rFonts w:ascii="仿宋_GB2312" w:hAnsi="宋体" w:eastAsia="仿宋_GB2312" w:cs="宋体"/>
          <w:bCs/>
          <w:color w:val="000000"/>
          <w:sz w:val="28"/>
          <w:szCs w:val="28"/>
        </w:rPr>
      </w:pPr>
      <w:r>
        <w:rPr>
          <w:rFonts w:hint="eastAsia" w:ascii="仿宋_GB2312" w:hAnsi="宋体" w:eastAsia="仿宋_GB2312" w:cs="仿宋_GB2312"/>
          <w:bCs/>
          <w:sz w:val="28"/>
          <w:szCs w:val="28"/>
        </w:rPr>
        <w:t>抗震要求</w:t>
      </w:r>
      <w:r>
        <w:rPr>
          <w:rFonts w:hint="eastAsia" w:ascii="仿宋_GB2312" w:hAnsi="宋体" w:eastAsia="仿宋_GB2312" w:cs="宋体"/>
          <w:bCs/>
          <w:color w:val="000000"/>
          <w:sz w:val="28"/>
          <w:szCs w:val="28"/>
        </w:rPr>
        <w:t>：应根据有关要求及标准对其负责的设备装置</w:t>
      </w:r>
      <w:r>
        <w:rPr>
          <w:rFonts w:hint="eastAsia" w:ascii="仿宋_GB2312" w:hAnsi="宋体" w:eastAsia="仿宋_GB2312" w:cs="Times New Roman"/>
          <w:bCs/>
          <w:sz w:val="28"/>
          <w:szCs w:val="28"/>
        </w:rPr>
        <w:t>做出</w:t>
      </w:r>
      <w:r>
        <w:rPr>
          <w:rFonts w:hint="eastAsia" w:ascii="仿宋_GB2312" w:hAnsi="宋体" w:eastAsia="仿宋_GB2312" w:cs="宋体"/>
          <w:bCs/>
          <w:color w:val="000000"/>
          <w:sz w:val="28"/>
          <w:szCs w:val="28"/>
        </w:rPr>
        <w:t>抗震保护，使设备能保证它的结构完整性和连续运行。</w:t>
      </w:r>
    </w:p>
    <w:p>
      <w:pPr>
        <w:widowControl/>
        <w:numPr>
          <w:ilvl w:val="7"/>
          <w:numId w:val="177"/>
        </w:numPr>
        <w:spacing w:line="660" w:lineRule="exact"/>
        <w:ind w:left="0" w:firstLine="0"/>
        <w:textAlignment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精密空调机组的箱体应具有足够的机械强度，无论风机启、停过程或是调节过程，精密空调机组的箱体均不能有任何变形现象。箱体在启动与运行时变形≤3‰。</w:t>
      </w:r>
    </w:p>
    <w:p>
      <w:pPr>
        <w:widowControl/>
        <w:numPr>
          <w:ilvl w:val="7"/>
          <w:numId w:val="177"/>
        </w:numPr>
        <w:spacing w:line="660" w:lineRule="exact"/>
        <w:ind w:left="0" w:firstLine="0"/>
        <w:textAlignment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机组外面板颜色由业主确定，不得因为业主对颜色的选择而提出额外的费用要求。</w:t>
      </w:r>
    </w:p>
    <w:p>
      <w:pPr>
        <w:widowControl/>
        <w:numPr>
          <w:ilvl w:val="7"/>
          <w:numId w:val="177"/>
        </w:numPr>
        <w:spacing w:line="660" w:lineRule="exact"/>
        <w:ind w:left="0" w:firstLine="0"/>
        <w:textAlignment w:val="center"/>
        <w:rPr>
          <w:rFonts w:ascii="仿宋_GB2312" w:hAnsi="宋体" w:eastAsia="仿宋_GB2312" w:cs="宋体"/>
          <w:bCs/>
          <w:sz w:val="28"/>
          <w:szCs w:val="28"/>
        </w:rPr>
      </w:pPr>
      <w:r>
        <w:rPr>
          <w:rFonts w:hint="eastAsia" w:ascii="仿宋_GB2312" w:hAnsi="宋体" w:eastAsia="仿宋_GB2312" w:cs="宋体"/>
          <w:bCs/>
          <w:sz w:val="28"/>
          <w:szCs w:val="28"/>
        </w:rPr>
        <w:t>具备联动与群控功能：同一区域可以将不低于32套机组进行统一控制管理。控制功能包括：备份自动切换功能，当群组中机组发生故障时，备份机组自动投入运行，提高空调系统的可靠性；轮巡：定时切换备份机组 ；根据机房内热负荷的变化自动控制机组中空调机的运行数量；达到节能的目的 ；避免竞争运行：避免同一机房内多台空调机同时运行在相反的运行状态（制冷/加热、加湿/除湿），达到节能的目的。</w:t>
      </w:r>
    </w:p>
    <w:p>
      <w:pPr>
        <w:widowControl/>
        <w:numPr>
          <w:ilvl w:val="7"/>
          <w:numId w:val="177"/>
        </w:numPr>
        <w:spacing w:line="660" w:lineRule="exact"/>
        <w:ind w:left="0" w:firstLine="0"/>
        <w:textAlignment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精密空调机组全正面维护，机组至少前后两个方向的面板可拆卸，各机电运动部件固定须妥善处理。每台机组标配漏水探测器。</w:t>
      </w:r>
    </w:p>
    <w:p>
      <w:pPr>
        <w:keepNext/>
        <w:keepLines/>
        <w:numPr>
          <w:ilvl w:val="2"/>
          <w:numId w:val="176"/>
        </w:numPr>
        <w:spacing w:before="280" w:beforeLines="0" w:after="290" w:afterLines="0" w:line="372" w:lineRule="auto"/>
        <w:ind w:left="709" w:hanging="709"/>
        <w:jc w:val="both"/>
        <w:outlineLvl w:val="4"/>
        <w:rPr>
          <w:rFonts w:ascii="Calibri" w:hAnsi="Calibri" w:eastAsia="仿宋" w:cs="Times New Roman"/>
          <w:b/>
          <w:bCs/>
          <w:kern w:val="2"/>
          <w:sz w:val="28"/>
          <w:szCs w:val="22"/>
          <w:lang w:val="en-US" w:eastAsia="zh-CN" w:bidi="ar-SA"/>
        </w:rPr>
      </w:pPr>
      <w:r>
        <w:rPr>
          <w:rFonts w:hint="eastAsia" w:ascii="Calibri" w:hAnsi="Calibri" w:eastAsia="仿宋" w:cs="Times New Roman"/>
          <w:b/>
          <w:bCs/>
          <w:kern w:val="2"/>
          <w:sz w:val="28"/>
          <w:szCs w:val="22"/>
          <w:lang w:val="en-US" w:eastAsia="zh-CN" w:bidi="ar-SA"/>
        </w:rPr>
        <w:t>基本工况</w:t>
      </w:r>
    </w:p>
    <w:p>
      <w:pPr>
        <w:widowControl/>
        <w:tabs>
          <w:tab w:val="left" w:pos="425"/>
        </w:tabs>
        <w:spacing w:line="660" w:lineRule="exact"/>
        <w:ind w:firstLine="560" w:firstLineChars="20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在室内温度24℃干球温度，相对湿度45%，室外温度45℃干球温度，相对湿度50%的工况下，空调及电气设备应能正常工作。</w:t>
      </w:r>
    </w:p>
    <w:p>
      <w:pPr>
        <w:keepNext/>
        <w:keepLines/>
        <w:numPr>
          <w:ilvl w:val="2"/>
          <w:numId w:val="176"/>
        </w:numPr>
        <w:spacing w:before="280" w:beforeLines="0" w:after="290" w:afterLines="0" w:line="372" w:lineRule="auto"/>
        <w:ind w:left="709" w:hanging="709"/>
        <w:jc w:val="both"/>
        <w:outlineLvl w:val="4"/>
        <w:rPr>
          <w:rFonts w:ascii="Calibri" w:hAnsi="Calibri" w:eastAsia="仿宋" w:cs="Times New Roman"/>
          <w:b/>
          <w:bCs/>
          <w:kern w:val="2"/>
          <w:sz w:val="28"/>
          <w:szCs w:val="22"/>
          <w:lang w:val="en-US" w:eastAsia="zh-CN" w:bidi="ar-SA"/>
        </w:rPr>
      </w:pPr>
      <w:r>
        <w:rPr>
          <w:rFonts w:hint="eastAsia" w:ascii="Calibri" w:hAnsi="Calibri" w:eastAsia="仿宋" w:cs="Times New Roman"/>
          <w:b/>
          <w:bCs/>
          <w:kern w:val="2"/>
          <w:sz w:val="28"/>
          <w:szCs w:val="22"/>
          <w:lang w:val="en-US" w:eastAsia="zh-CN" w:bidi="ar-SA"/>
        </w:rPr>
        <w:t>使用范围</w:t>
      </w:r>
    </w:p>
    <w:p>
      <w:pPr>
        <w:widowControl/>
        <w:numPr>
          <w:ilvl w:val="7"/>
          <w:numId w:val="177"/>
        </w:numPr>
        <w:spacing w:line="660" w:lineRule="exact"/>
        <w:ind w:left="0" w:firstLine="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制冷量、</w:t>
      </w:r>
      <w:r>
        <w:rPr>
          <w:rFonts w:hint="eastAsia" w:ascii="仿宋_GB2312" w:hAnsi="宋体" w:eastAsia="仿宋_GB2312" w:cs="宋体"/>
          <w:bCs/>
          <w:color w:val="000000"/>
          <w:sz w:val="28"/>
          <w:szCs w:val="28"/>
        </w:rPr>
        <w:t>风量</w:t>
      </w:r>
      <w:r>
        <w:rPr>
          <w:rFonts w:hint="eastAsia" w:ascii="仿宋_GB2312" w:hAnsi="宋体" w:eastAsia="仿宋_GB2312" w:cs="仿宋_GB2312"/>
          <w:bCs/>
          <w:sz w:val="28"/>
          <w:szCs w:val="28"/>
        </w:rPr>
        <w:t>、进出风参数、进出风方式等技术参数满足使用需求。</w:t>
      </w:r>
    </w:p>
    <w:p>
      <w:pPr>
        <w:widowControl/>
        <w:numPr>
          <w:ilvl w:val="7"/>
          <w:numId w:val="177"/>
        </w:numPr>
        <w:spacing w:line="660" w:lineRule="exact"/>
        <w:ind w:left="0" w:firstLine="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机组</w:t>
      </w:r>
      <w:r>
        <w:rPr>
          <w:rFonts w:hint="eastAsia" w:ascii="仿宋_GB2312" w:hAnsi="宋体" w:eastAsia="仿宋_GB2312" w:cs="宋体"/>
          <w:bCs/>
          <w:color w:val="000000"/>
          <w:sz w:val="28"/>
          <w:szCs w:val="28"/>
        </w:rPr>
        <w:t>工作环境</w:t>
      </w:r>
      <w:r>
        <w:rPr>
          <w:rFonts w:hint="eastAsia" w:ascii="仿宋_GB2312" w:hAnsi="宋体" w:eastAsia="仿宋_GB2312" w:cs="仿宋_GB2312"/>
          <w:bCs/>
          <w:sz w:val="28"/>
          <w:szCs w:val="28"/>
        </w:rPr>
        <w:t>温湿度范围：</w:t>
      </w:r>
    </w:p>
    <w:p>
      <w:pPr>
        <w:widowControl/>
        <w:numPr>
          <w:ilvl w:val="8"/>
          <w:numId w:val="177"/>
        </w:numPr>
        <w:spacing w:line="660" w:lineRule="exact"/>
        <w:ind w:left="142" w:firstLine="0"/>
        <w:textAlignment w:val="center"/>
        <w:rPr>
          <w:rFonts w:ascii="仿宋_GB2312" w:hAnsi="宋体" w:eastAsia="仿宋_GB2312" w:cs="宋体"/>
          <w:bCs/>
          <w:color w:val="000000"/>
          <w:sz w:val="28"/>
          <w:szCs w:val="28"/>
        </w:rPr>
      </w:pPr>
      <w:r>
        <w:rPr>
          <w:rFonts w:hint="eastAsia" w:ascii="仿宋_GB2312" w:hAnsi="宋体" w:eastAsia="仿宋_GB2312" w:cs="仿宋_GB2312"/>
          <w:bCs/>
          <w:sz w:val="28"/>
          <w:szCs w:val="28"/>
        </w:rPr>
        <w:t>室内：</w:t>
      </w:r>
      <w:r>
        <w:rPr>
          <w:rFonts w:hint="eastAsia" w:ascii="仿宋_GB2312" w:hAnsi="宋体" w:eastAsia="仿宋_GB2312" w:cs="宋体"/>
          <w:bCs/>
          <w:color w:val="000000"/>
          <w:sz w:val="28"/>
          <w:szCs w:val="28"/>
        </w:rPr>
        <w:t>温度0℃～45℃。</w:t>
      </w:r>
    </w:p>
    <w:p>
      <w:pPr>
        <w:widowControl/>
        <w:numPr>
          <w:ilvl w:val="8"/>
          <w:numId w:val="177"/>
        </w:numPr>
        <w:spacing w:line="660" w:lineRule="exact"/>
        <w:ind w:left="142" w:firstLine="0"/>
        <w:textAlignment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室外：温度‐10℃～45℃。</w:t>
      </w:r>
    </w:p>
    <w:p>
      <w:pPr>
        <w:widowControl/>
        <w:numPr>
          <w:ilvl w:val="8"/>
          <w:numId w:val="177"/>
        </w:numPr>
        <w:spacing w:line="660" w:lineRule="exact"/>
        <w:ind w:left="142" w:firstLine="0"/>
        <w:textAlignment w:val="center"/>
        <w:rPr>
          <w:rFonts w:ascii="仿宋_GB2312" w:hAnsi="宋体" w:eastAsia="仿宋_GB2312" w:cs="仿宋_GB2312"/>
          <w:bCs/>
          <w:sz w:val="28"/>
          <w:szCs w:val="28"/>
        </w:rPr>
      </w:pPr>
      <w:r>
        <w:rPr>
          <w:rFonts w:hint="eastAsia" w:ascii="仿宋_GB2312" w:hAnsi="宋体" w:eastAsia="仿宋_GB2312" w:cs="宋体"/>
          <w:bCs/>
          <w:color w:val="000000"/>
          <w:sz w:val="28"/>
          <w:szCs w:val="28"/>
        </w:rPr>
        <w:t>湿度：≤95</w:t>
      </w:r>
      <w:r>
        <w:rPr>
          <w:rFonts w:hint="eastAsia" w:ascii="仿宋_GB2312" w:hAnsi="宋体" w:eastAsia="仿宋_GB2312" w:cs="仿宋_GB2312"/>
          <w:bCs/>
          <w:sz w:val="28"/>
          <w:szCs w:val="28"/>
        </w:rPr>
        <w:t>％RH。</w:t>
      </w:r>
    </w:p>
    <w:p>
      <w:pPr>
        <w:widowControl/>
        <w:spacing w:line="660" w:lineRule="exact"/>
        <w:ind w:firstLine="560" w:firstLineChars="20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在此温湿度范围内精密空调机组均能正常制冷，且提供设备要求的显冷量。</w:t>
      </w:r>
    </w:p>
    <w:p>
      <w:pPr>
        <w:widowControl/>
        <w:numPr>
          <w:ilvl w:val="7"/>
          <w:numId w:val="177"/>
        </w:numPr>
        <w:spacing w:line="660" w:lineRule="exact"/>
        <w:ind w:left="0" w:firstLine="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设备温、湿度控制要求</w:t>
      </w:r>
    </w:p>
    <w:p>
      <w:pPr>
        <w:widowControl/>
        <w:numPr>
          <w:ilvl w:val="8"/>
          <w:numId w:val="177"/>
        </w:numPr>
        <w:spacing w:line="660" w:lineRule="exact"/>
        <w:ind w:left="142" w:firstLine="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温度控制精度：±1℃，温度变化率&lt;±5℃/H。</w:t>
      </w:r>
    </w:p>
    <w:p>
      <w:pPr>
        <w:widowControl/>
        <w:numPr>
          <w:ilvl w:val="0"/>
          <w:numId w:val="178"/>
        </w:numPr>
        <w:autoSpaceDE w:val="0"/>
        <w:autoSpaceDN w:val="0"/>
        <w:adjustRightInd w:val="0"/>
        <w:spacing w:line="360" w:lineRule="auto"/>
        <w:ind w:right="278"/>
        <w:textAlignment w:val="bottom"/>
        <w:rPr>
          <w:rFonts w:ascii="仿宋_GB2312" w:hAnsi="宋体" w:eastAsia="仿宋_GB2312" w:cs="仿宋_GB2312"/>
          <w:bCs/>
          <w:sz w:val="28"/>
          <w:szCs w:val="28"/>
        </w:rPr>
      </w:pPr>
      <w:r>
        <w:rPr>
          <w:rFonts w:hint="eastAsia" w:ascii="仿宋_GB2312" w:hAnsi="宋体" w:eastAsia="仿宋_GB2312" w:cs="仿宋_GB2312"/>
          <w:bCs/>
          <w:sz w:val="28"/>
          <w:szCs w:val="28"/>
        </w:rPr>
        <w:t>温度控制范围：17～35℃，温度调节精度±</w:t>
      </w:r>
      <w:r>
        <w:rPr>
          <w:rFonts w:ascii="仿宋_GB2312" w:hAnsi="宋体" w:eastAsia="仿宋_GB2312" w:cs="仿宋_GB2312"/>
          <w:bCs/>
          <w:sz w:val="28"/>
          <w:szCs w:val="28"/>
        </w:rPr>
        <w:t>1</w:t>
      </w:r>
      <w:r>
        <w:rPr>
          <w:rFonts w:hint="eastAsia" w:ascii="仿宋_GB2312" w:hAnsi="宋体" w:eastAsia="仿宋_GB2312" w:cs="仿宋_GB2312"/>
          <w:bCs/>
          <w:sz w:val="28"/>
          <w:szCs w:val="28"/>
        </w:rPr>
        <w:t>℃，温度变化率</w:t>
      </w:r>
      <w:r>
        <w:rPr>
          <w:rFonts w:ascii="仿宋_GB2312" w:hAnsi="宋体" w:eastAsia="仿宋_GB2312" w:cs="仿宋_GB2312"/>
          <w:bCs/>
          <w:sz w:val="28"/>
          <w:szCs w:val="28"/>
        </w:rPr>
        <w:t>&lt; 5</w:t>
      </w:r>
      <w:r>
        <w:rPr>
          <w:rFonts w:hint="eastAsia" w:ascii="仿宋_GB2312" w:hAnsi="宋体" w:eastAsia="仿宋_GB2312" w:cs="仿宋_GB2312"/>
          <w:bCs/>
          <w:sz w:val="28"/>
          <w:szCs w:val="28"/>
        </w:rPr>
        <w:t>℃</w:t>
      </w:r>
      <w:r>
        <w:rPr>
          <w:rFonts w:ascii="仿宋_GB2312" w:hAnsi="宋体" w:eastAsia="仿宋_GB2312" w:cs="仿宋_GB2312"/>
          <w:bCs/>
          <w:sz w:val="28"/>
          <w:szCs w:val="28"/>
        </w:rPr>
        <w:t>/</w:t>
      </w:r>
      <w:r>
        <w:rPr>
          <w:rFonts w:hint="eastAsia" w:ascii="仿宋_GB2312" w:hAnsi="宋体" w:eastAsia="仿宋_GB2312" w:cs="仿宋_GB2312"/>
          <w:bCs/>
          <w:sz w:val="28"/>
          <w:szCs w:val="28"/>
        </w:rPr>
        <w:t>小时，</w:t>
      </w:r>
    </w:p>
    <w:p>
      <w:pPr>
        <w:widowControl/>
        <w:numPr>
          <w:ilvl w:val="8"/>
          <w:numId w:val="177"/>
        </w:numPr>
        <w:spacing w:line="660" w:lineRule="exact"/>
        <w:ind w:left="142" w:firstLine="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湿度控制范围：30%～80%RH。</w:t>
      </w:r>
    </w:p>
    <w:p>
      <w:pPr>
        <w:widowControl/>
        <w:numPr>
          <w:ilvl w:val="8"/>
          <w:numId w:val="177"/>
        </w:numPr>
        <w:spacing w:line="660" w:lineRule="exact"/>
        <w:ind w:left="142" w:firstLine="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湿度控制精度：±5%RH，温、湿度波动超限能发出报警信号。</w:t>
      </w:r>
    </w:p>
    <w:p>
      <w:pPr>
        <w:keepNext/>
        <w:keepLines/>
        <w:numPr>
          <w:ilvl w:val="2"/>
          <w:numId w:val="176"/>
        </w:numPr>
        <w:spacing w:before="280" w:beforeLines="0" w:after="290" w:afterLines="0" w:line="372" w:lineRule="auto"/>
        <w:ind w:left="709" w:hanging="709"/>
        <w:jc w:val="both"/>
        <w:outlineLvl w:val="4"/>
        <w:rPr>
          <w:rFonts w:ascii="Calibri" w:hAnsi="Calibri" w:eastAsia="仿宋" w:cs="Times New Roman"/>
          <w:b/>
          <w:bCs/>
          <w:kern w:val="2"/>
          <w:sz w:val="28"/>
          <w:szCs w:val="22"/>
          <w:lang w:val="en-US" w:eastAsia="zh-CN" w:bidi="ar-SA"/>
        </w:rPr>
      </w:pPr>
      <w:r>
        <w:rPr>
          <w:rFonts w:hint="eastAsia" w:ascii="Calibri" w:hAnsi="Calibri" w:eastAsia="仿宋" w:cs="Times New Roman"/>
          <w:b/>
          <w:bCs/>
          <w:kern w:val="2"/>
          <w:sz w:val="28"/>
          <w:szCs w:val="22"/>
          <w:lang w:val="en-US" w:eastAsia="zh-CN" w:bidi="ar-SA"/>
        </w:rPr>
        <w:t>性能要求</w:t>
      </w:r>
    </w:p>
    <w:p>
      <w:pPr>
        <w:widowControl/>
        <w:numPr>
          <w:ilvl w:val="7"/>
          <w:numId w:val="177"/>
        </w:numPr>
        <w:spacing w:line="660" w:lineRule="exact"/>
        <w:ind w:left="0" w:firstLine="0"/>
        <w:textAlignment w:val="center"/>
        <w:rPr>
          <w:rFonts w:ascii="仿宋_GB2312" w:hAnsi="宋体" w:eastAsia="仿宋_GB2312" w:cs="仿宋_GB2312"/>
          <w:bCs/>
          <w:sz w:val="28"/>
          <w:szCs w:val="28"/>
        </w:rPr>
      </w:pPr>
      <w:r>
        <w:rPr>
          <w:rFonts w:hint="eastAsia" w:ascii="仿宋_GB2312" w:hAnsi="宋体" w:eastAsia="仿宋_GB2312" w:cs="宋体"/>
          <w:bCs/>
          <w:color w:val="000000"/>
          <w:sz w:val="28"/>
          <w:szCs w:val="28"/>
        </w:rPr>
        <w:t>精密空调机组应满足数据机房高热湿比、长时间运行、高可靠性、安全性的要求</w:t>
      </w:r>
      <w:r>
        <w:rPr>
          <w:rFonts w:hint="eastAsia" w:ascii="仿宋_GB2312" w:hAnsi="宋体" w:eastAsia="仿宋_GB2312" w:cs="仿宋_GB2312"/>
          <w:bCs/>
          <w:sz w:val="28"/>
          <w:szCs w:val="28"/>
        </w:rPr>
        <w:t>，空调机组为24h×365天不间断运行，要求整机连续运行寿命不少于1</w:t>
      </w:r>
      <w:r>
        <w:rPr>
          <w:rFonts w:ascii="仿宋_GB2312" w:hAnsi="宋体" w:eastAsia="仿宋_GB2312" w:cs="仿宋_GB2312"/>
          <w:bCs/>
          <w:sz w:val="28"/>
          <w:szCs w:val="28"/>
        </w:rPr>
        <w:t>0</w:t>
      </w:r>
      <w:r>
        <w:rPr>
          <w:rFonts w:hint="eastAsia" w:ascii="仿宋_GB2312" w:hAnsi="宋体" w:eastAsia="仿宋_GB2312" w:cs="仿宋_GB2312"/>
          <w:bCs/>
          <w:sz w:val="28"/>
          <w:szCs w:val="28"/>
        </w:rPr>
        <w:t>年。</w:t>
      </w:r>
    </w:p>
    <w:p>
      <w:pPr>
        <w:widowControl/>
        <w:numPr>
          <w:ilvl w:val="7"/>
          <w:numId w:val="177"/>
        </w:numPr>
        <w:spacing w:line="660" w:lineRule="exact"/>
        <w:ind w:left="0" w:firstLine="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机组送风风机应选用20%~100%无级调速，</w:t>
      </w:r>
      <w:r>
        <w:rPr>
          <w:rFonts w:hint="eastAsia" w:ascii="仿宋" w:hAnsi="仿宋" w:eastAsia="仿宋" w:cs="Times New Roman"/>
          <w:sz w:val="28"/>
          <w:szCs w:val="28"/>
        </w:rPr>
        <w:t>第二代航空级复合材料</w:t>
      </w:r>
      <w:r>
        <w:rPr>
          <w:rFonts w:hint="eastAsia" w:ascii="仿宋_GB2312" w:hAnsi="宋体" w:eastAsia="仿宋_GB2312" w:cs="仿宋_GB2312"/>
          <w:bCs/>
          <w:sz w:val="28"/>
          <w:szCs w:val="28"/>
        </w:rPr>
        <w:t>离心EC风机，机外余压可调，噪音低，效率高。</w:t>
      </w:r>
    </w:p>
    <w:p>
      <w:pPr>
        <w:widowControl/>
        <w:numPr>
          <w:ilvl w:val="7"/>
          <w:numId w:val="177"/>
        </w:numPr>
        <w:spacing w:line="660" w:lineRule="exact"/>
        <w:ind w:left="0" w:firstLine="0"/>
        <w:textAlignment w:val="center"/>
        <w:rPr>
          <w:rFonts w:ascii="仿宋_GB2312" w:hAnsi="宋体" w:eastAsia="仿宋_GB2312" w:cs="Times New Roman"/>
          <w:bCs/>
          <w:color w:val="000000"/>
          <w:sz w:val="28"/>
          <w:szCs w:val="28"/>
        </w:rPr>
      </w:pPr>
      <w:r>
        <w:rPr>
          <w:rFonts w:hint="eastAsia" w:ascii="仿宋_GB2312" w:hAnsi="宋体" w:eastAsia="仿宋_GB2312" w:cs="仿宋_GB2312"/>
          <w:bCs/>
          <w:sz w:val="28"/>
          <w:szCs w:val="28"/>
        </w:rPr>
        <w:t>电源性能</w:t>
      </w:r>
    </w:p>
    <w:p>
      <w:pPr>
        <w:widowControl/>
        <w:numPr>
          <w:ilvl w:val="8"/>
          <w:numId w:val="177"/>
        </w:numPr>
        <w:spacing w:line="660" w:lineRule="exact"/>
        <w:ind w:left="142" w:firstLine="0"/>
        <w:textAlignment w:val="center"/>
        <w:rPr>
          <w:rFonts w:ascii="仿宋_GB2312" w:hAnsi="宋体" w:eastAsia="仿宋_GB2312" w:cs="仿宋_GB2312"/>
          <w:bCs/>
          <w:sz w:val="28"/>
          <w:szCs w:val="28"/>
        </w:rPr>
      </w:pPr>
      <w:r>
        <w:rPr>
          <w:rFonts w:hint="eastAsia" w:ascii="仿宋_GB2312" w:hAnsi="宋体" w:eastAsia="仿宋_GB2312" w:cs="Times New Roman"/>
          <w:bCs/>
          <w:color w:val="000000"/>
          <w:sz w:val="28"/>
          <w:szCs w:val="28"/>
        </w:rPr>
        <w:t>精密空调</w:t>
      </w:r>
      <w:r>
        <w:rPr>
          <w:rFonts w:hint="eastAsia" w:ascii="仿宋_GB2312" w:hAnsi="宋体" w:eastAsia="仿宋_GB2312" w:cs="仿宋_GB2312"/>
          <w:bCs/>
          <w:sz w:val="28"/>
          <w:szCs w:val="28"/>
        </w:rPr>
        <w:t>机组的电气性能应符合国家相关标准。</w:t>
      </w:r>
    </w:p>
    <w:p>
      <w:pPr>
        <w:widowControl/>
        <w:numPr>
          <w:ilvl w:val="8"/>
          <w:numId w:val="177"/>
        </w:numPr>
        <w:spacing w:line="660" w:lineRule="exact"/>
        <w:ind w:left="142" w:firstLine="0"/>
        <w:textAlignment w:val="center"/>
        <w:rPr>
          <w:rFonts w:ascii="仿宋_GB2312" w:hAnsi="宋体" w:eastAsia="仿宋_GB2312" w:cs="仿宋_GB2312"/>
          <w:bCs/>
          <w:sz w:val="28"/>
          <w:szCs w:val="28"/>
        </w:rPr>
      </w:pPr>
      <w:r>
        <w:rPr>
          <w:rFonts w:hint="eastAsia" w:ascii="仿宋_GB2312" w:hAnsi="宋体" w:eastAsia="仿宋_GB2312" w:cs="Times New Roman"/>
          <w:sz w:val="28"/>
          <w:szCs w:val="28"/>
        </w:rPr>
        <w:t>精密空调</w:t>
      </w:r>
      <w:r>
        <w:rPr>
          <w:rFonts w:hint="eastAsia" w:ascii="仿宋_GB2312" w:hAnsi="宋体" w:eastAsia="仿宋_GB2312" w:cs="仿宋_GB2312"/>
          <w:sz w:val="28"/>
          <w:szCs w:val="28"/>
        </w:rPr>
        <w:t>机组面板需配置</w:t>
      </w:r>
      <w:r>
        <w:rPr>
          <w:rFonts w:hint="eastAsia" w:ascii="仿宋_GB2312" w:hAnsi="宋体" w:eastAsia="仿宋_GB2312" w:cs="宋体"/>
          <w:sz w:val="28"/>
          <w:szCs w:val="28"/>
        </w:rPr>
        <w:t>紧急总开关，机组内空开、接触器、辅助接点需使用</w:t>
      </w:r>
      <w:r>
        <w:rPr>
          <w:rFonts w:hint="eastAsia" w:ascii="仿宋_GB2312" w:hAnsi="宋体" w:eastAsia="仿宋_GB2312" w:cs="宋体"/>
          <w:b/>
          <w:sz w:val="28"/>
          <w:szCs w:val="28"/>
        </w:rPr>
        <w:t>“施耐德、ABB、EATON”</w:t>
      </w:r>
      <w:r>
        <w:rPr>
          <w:rFonts w:hint="eastAsia" w:ascii="仿宋_GB2312" w:hAnsi="宋体" w:eastAsia="仿宋_GB2312" w:cs="宋体"/>
          <w:sz w:val="28"/>
          <w:szCs w:val="28"/>
        </w:rPr>
        <w:t>品牌产品。</w:t>
      </w:r>
    </w:p>
    <w:p>
      <w:pPr>
        <w:widowControl/>
        <w:numPr>
          <w:ilvl w:val="8"/>
          <w:numId w:val="177"/>
        </w:numPr>
        <w:spacing w:line="660" w:lineRule="exact"/>
        <w:ind w:left="142" w:firstLine="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设备电源允许波动范围：交流三相+PE+N，380V±10% ，频率：50Hz±0.5Hz，接地电阻：≤0.5Ω。</w:t>
      </w:r>
    </w:p>
    <w:p>
      <w:pPr>
        <w:widowControl/>
        <w:numPr>
          <w:ilvl w:val="8"/>
          <w:numId w:val="177"/>
        </w:numPr>
        <w:spacing w:line="660" w:lineRule="exact"/>
        <w:ind w:left="142" w:firstLine="0"/>
        <w:textAlignment w:val="center"/>
        <w:rPr>
          <w:rFonts w:ascii="仿宋_GB2312" w:hAnsi="宋体" w:eastAsia="仿宋_GB2312" w:cs="Times New Roman"/>
          <w:bCs/>
          <w:color w:val="000000"/>
          <w:sz w:val="28"/>
          <w:szCs w:val="28"/>
        </w:rPr>
      </w:pPr>
      <w:r>
        <w:rPr>
          <w:rFonts w:hint="eastAsia" w:ascii="仿宋_GB2312" w:hAnsi="宋体" w:eastAsia="仿宋_GB2312" w:cs="仿宋_GB2312"/>
          <w:bCs/>
          <w:sz w:val="28"/>
          <w:szCs w:val="28"/>
        </w:rPr>
        <w:t>设备和系统的电磁兼容性应满足IEC801‐2、IEC801‐6、IEC801‐3、IEC801‐4 规定的要求。电源停电和恢复时，应有告警功能，电源恢复后能自动再启动。控制电路应对交流电源和设备用电</w:t>
      </w:r>
      <w:r>
        <w:rPr>
          <w:rFonts w:hint="eastAsia" w:ascii="仿宋_GB2312" w:hAnsi="宋体" w:eastAsia="仿宋_GB2312" w:cs="Times New Roman"/>
          <w:bCs/>
          <w:color w:val="000000"/>
          <w:sz w:val="28"/>
          <w:szCs w:val="28"/>
        </w:rPr>
        <w:t>的过流、过压、欠压、缺相、过热、短路有可靠的保护装置，并有故障诊断，告警记录功能，以及自动保护，自动恢复，自动重启动等功能。</w:t>
      </w:r>
    </w:p>
    <w:p>
      <w:pPr>
        <w:widowControl/>
        <w:spacing w:line="660" w:lineRule="exact"/>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具备以下性能：</w:t>
      </w:r>
    </w:p>
    <w:p>
      <w:pPr>
        <w:widowControl/>
        <w:numPr>
          <w:ilvl w:val="8"/>
          <w:numId w:val="177"/>
        </w:numPr>
        <w:spacing w:line="660" w:lineRule="exact"/>
        <w:ind w:left="142" w:firstLine="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遥测项目：回风温度、回风湿度、显示机组工作状态等。</w:t>
      </w:r>
    </w:p>
    <w:p>
      <w:pPr>
        <w:widowControl/>
        <w:numPr>
          <w:ilvl w:val="8"/>
          <w:numId w:val="177"/>
        </w:numPr>
        <w:spacing w:line="660" w:lineRule="exact"/>
        <w:ind w:left="142" w:firstLine="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遥信项目：开/关机，回风温度过高/低，回风湿度过高/低，过滤器正常/堵塞，风机正常/故障，压缩机正常/故障等 。</w:t>
      </w:r>
    </w:p>
    <w:p>
      <w:pPr>
        <w:widowControl/>
        <w:numPr>
          <w:ilvl w:val="8"/>
          <w:numId w:val="177"/>
        </w:numPr>
        <w:spacing w:line="660" w:lineRule="exact"/>
        <w:ind w:left="142" w:firstLine="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遥控项目：空调开/关机。</w:t>
      </w:r>
    </w:p>
    <w:p>
      <w:pPr>
        <w:widowControl/>
        <w:numPr>
          <w:ilvl w:val="8"/>
          <w:numId w:val="177"/>
        </w:numPr>
        <w:spacing w:line="660" w:lineRule="exact"/>
        <w:ind w:left="142" w:firstLine="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三遥量准确度：开关量和控制操作准确度应达到  100%；</w:t>
      </w:r>
    </w:p>
    <w:p>
      <w:pPr>
        <w:widowControl/>
        <w:numPr>
          <w:ilvl w:val="8"/>
          <w:numId w:val="177"/>
        </w:numPr>
        <w:spacing w:line="660" w:lineRule="exact"/>
        <w:ind w:left="142" w:firstLine="0"/>
        <w:textAlignment w:val="center"/>
        <w:rPr>
          <w:rFonts w:ascii="仿宋_GB2312" w:hAnsi="宋体" w:eastAsia="仿宋_GB2312" w:cs="Times New Roman"/>
          <w:bCs/>
          <w:color w:val="000000"/>
          <w:sz w:val="28"/>
          <w:szCs w:val="28"/>
        </w:rPr>
      </w:pPr>
      <w:r>
        <w:rPr>
          <w:rFonts w:hint="eastAsia" w:ascii="仿宋_GB2312" w:hAnsi="宋体" w:eastAsia="仿宋_GB2312" w:cs="仿宋_GB2312"/>
          <w:bCs/>
          <w:sz w:val="28"/>
          <w:szCs w:val="28"/>
        </w:rPr>
        <w:t>模拟量精确度应达到：交流电量误差 ≤2%；非电量误差 ≤5%</w:t>
      </w:r>
    </w:p>
    <w:p>
      <w:pPr>
        <w:widowControl/>
        <w:numPr>
          <w:ilvl w:val="7"/>
          <w:numId w:val="177"/>
        </w:numPr>
        <w:spacing w:line="660" w:lineRule="exact"/>
        <w:ind w:left="0" w:firstLine="0"/>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噪声与隔振</w:t>
      </w:r>
    </w:p>
    <w:p>
      <w:pPr>
        <w:widowControl/>
        <w:numPr>
          <w:ilvl w:val="8"/>
          <w:numId w:val="177"/>
        </w:numPr>
        <w:spacing w:line="660" w:lineRule="exact"/>
        <w:ind w:left="142" w:firstLine="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须提供设备的噪音指标，精密空调的噪声值需满足《数据中心设计规范》GB50174-</w:t>
      </w:r>
      <w:r>
        <w:rPr>
          <w:rFonts w:ascii="仿宋_GB2312" w:hAnsi="宋体" w:eastAsia="仿宋_GB2312" w:cs="仿宋_GB2312"/>
          <w:bCs/>
          <w:sz w:val="28"/>
          <w:szCs w:val="28"/>
        </w:rPr>
        <w:t>2017</w:t>
      </w:r>
      <w:r>
        <w:rPr>
          <w:rFonts w:hint="eastAsia" w:ascii="仿宋_GB2312" w:hAnsi="宋体" w:eastAsia="仿宋_GB2312" w:cs="仿宋_GB2312"/>
          <w:bCs/>
          <w:sz w:val="28"/>
          <w:szCs w:val="28"/>
        </w:rPr>
        <w:t>的要求。</w:t>
      </w:r>
    </w:p>
    <w:p>
      <w:pPr>
        <w:widowControl/>
        <w:numPr>
          <w:ilvl w:val="7"/>
          <w:numId w:val="177"/>
        </w:numPr>
        <w:spacing w:line="660" w:lineRule="exact"/>
        <w:ind w:left="0" w:firstLine="0"/>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漆面</w:t>
      </w:r>
    </w:p>
    <w:p>
      <w:pPr>
        <w:widowControl/>
        <w:numPr>
          <w:ilvl w:val="8"/>
          <w:numId w:val="177"/>
        </w:numPr>
        <w:spacing w:line="660" w:lineRule="exact"/>
        <w:ind w:left="142" w:firstLine="0"/>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空调机组应在工厂喷漆。颜色由业主确定，在订货时提出。</w:t>
      </w:r>
    </w:p>
    <w:p>
      <w:pPr>
        <w:widowControl/>
        <w:numPr>
          <w:ilvl w:val="8"/>
          <w:numId w:val="177"/>
        </w:numPr>
        <w:spacing w:line="660" w:lineRule="exact"/>
        <w:ind w:left="142" w:firstLine="0"/>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若在运输、储存、安装中造成的漆面损坏都应进行修补或直接更换。</w:t>
      </w:r>
    </w:p>
    <w:p>
      <w:pPr>
        <w:widowControl/>
        <w:numPr>
          <w:ilvl w:val="0"/>
          <w:numId w:val="179"/>
        </w:numPr>
        <w:spacing w:line="660" w:lineRule="exact"/>
        <w:textAlignment w:val="center"/>
        <w:rPr>
          <w:rFonts w:hint="eastAsia"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.室外机</w:t>
      </w:r>
    </w:p>
    <w:p>
      <w:pPr>
        <w:widowControl/>
        <w:numPr>
          <w:ilvl w:val="8"/>
          <w:numId w:val="177"/>
        </w:numPr>
        <w:spacing w:line="660" w:lineRule="exact"/>
        <w:ind w:left="142" w:firstLine="0"/>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每个制冷系统对应独立的风冷冷凝器，具备独立调速功能，提高系统可靠性。</w:t>
      </w:r>
    </w:p>
    <w:p>
      <w:pPr>
        <w:widowControl/>
        <w:numPr>
          <w:ilvl w:val="8"/>
          <w:numId w:val="177"/>
        </w:numPr>
        <w:spacing w:line="660" w:lineRule="exact"/>
        <w:ind w:left="142" w:firstLine="0"/>
        <w:textAlignment w:val="center"/>
        <w:rPr>
          <w:rFonts w:ascii="仿宋_GB2312" w:hAnsi="宋体" w:eastAsia="仿宋_GB2312" w:cs="Times New Roman"/>
          <w:bCs/>
          <w:sz w:val="28"/>
          <w:szCs w:val="28"/>
        </w:rPr>
      </w:pPr>
      <w:r>
        <w:rPr>
          <w:rFonts w:hint="eastAsia" w:ascii="仿宋_GB2312" w:hAnsi="宋体" w:eastAsia="仿宋_GB2312" w:cs="Times New Roman"/>
          <w:bCs/>
          <w:sz w:val="28"/>
          <w:szCs w:val="28"/>
        </w:rPr>
        <w:t>集中式冷凝器配置D级以上防雷器</w:t>
      </w:r>
      <w:r>
        <w:rPr>
          <w:rFonts w:ascii="仿宋_GB2312" w:hAnsi="宋体" w:eastAsia="仿宋_GB2312" w:cs="Times New Roman"/>
          <w:bCs/>
          <w:sz w:val="28"/>
          <w:szCs w:val="28"/>
        </w:rPr>
        <w:t>，并提供照片。</w:t>
      </w:r>
    </w:p>
    <w:p>
      <w:pPr>
        <w:widowControl/>
        <w:numPr>
          <w:ilvl w:val="8"/>
          <w:numId w:val="177"/>
        </w:numPr>
        <w:spacing w:line="660" w:lineRule="exact"/>
        <w:ind w:left="142" w:firstLine="0"/>
        <w:textAlignment w:val="center"/>
        <w:rPr>
          <w:rFonts w:hint="eastAsia"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出厂时应保压，管路端口应有防止异物进入的措施。</w:t>
      </w:r>
    </w:p>
    <w:p>
      <w:pPr>
        <w:keepNext/>
        <w:keepLines/>
        <w:numPr>
          <w:ilvl w:val="2"/>
          <w:numId w:val="176"/>
        </w:numPr>
        <w:spacing w:before="280" w:beforeLines="0" w:after="290" w:afterLines="0" w:line="372" w:lineRule="auto"/>
        <w:ind w:left="709" w:hanging="709"/>
        <w:jc w:val="both"/>
        <w:outlineLvl w:val="4"/>
        <w:rPr>
          <w:rFonts w:ascii="Calibri" w:hAnsi="Calibri" w:eastAsia="仿宋" w:cs="Times New Roman"/>
          <w:b/>
          <w:bCs/>
          <w:kern w:val="2"/>
          <w:sz w:val="28"/>
          <w:szCs w:val="22"/>
          <w:lang w:val="en-US" w:eastAsia="zh-CN" w:bidi="ar-SA"/>
        </w:rPr>
      </w:pPr>
      <w:r>
        <w:rPr>
          <w:rFonts w:hint="eastAsia" w:ascii="Calibri" w:hAnsi="Calibri" w:eastAsia="仿宋" w:cs="Times New Roman"/>
          <w:b/>
          <w:bCs/>
          <w:kern w:val="2"/>
          <w:sz w:val="28"/>
          <w:szCs w:val="22"/>
          <w:lang w:val="en-US" w:eastAsia="zh-CN" w:bidi="ar-SA"/>
        </w:rPr>
        <w:t>告警及保护功能</w:t>
      </w:r>
    </w:p>
    <w:p>
      <w:pPr>
        <w:widowControl/>
        <w:spacing w:line="660" w:lineRule="exact"/>
        <w:ind w:left="420" w:firstLine="140" w:firstLineChars="50"/>
        <w:textAlignment w:val="center"/>
        <w:rPr>
          <w:rFonts w:ascii="仿宋_GB2312" w:hAnsi="宋体" w:eastAsia="仿宋_GB2312" w:cs="仿宋_GB2312"/>
          <w:bCs/>
          <w:sz w:val="28"/>
          <w:szCs w:val="28"/>
        </w:rPr>
      </w:pPr>
      <w:r>
        <w:rPr>
          <w:rFonts w:hint="eastAsia" w:ascii="仿宋_GB2312" w:hAnsi="宋体" w:eastAsia="仿宋_GB2312" w:cs="仿宋_GB2312"/>
          <w:bCs/>
          <w:sz w:val="28"/>
          <w:szCs w:val="28"/>
        </w:rPr>
        <w:t>精密空调机组具备以下报警内容及报警记录功能：</w:t>
      </w:r>
    </w:p>
    <w:p>
      <w:pPr>
        <w:widowControl/>
        <w:numPr>
          <w:ilvl w:val="8"/>
          <w:numId w:val="177"/>
        </w:numPr>
        <w:spacing w:line="660" w:lineRule="exact"/>
        <w:ind w:left="142" w:firstLine="0"/>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压缩机故障报警。</w:t>
      </w:r>
    </w:p>
    <w:p>
      <w:pPr>
        <w:widowControl/>
        <w:numPr>
          <w:ilvl w:val="8"/>
          <w:numId w:val="177"/>
        </w:numPr>
        <w:spacing w:line="660" w:lineRule="exact"/>
        <w:ind w:left="142" w:firstLine="0"/>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漏水报警。</w:t>
      </w:r>
    </w:p>
    <w:p>
      <w:pPr>
        <w:widowControl/>
        <w:numPr>
          <w:ilvl w:val="8"/>
          <w:numId w:val="177"/>
        </w:numPr>
        <w:spacing w:line="660" w:lineRule="exact"/>
        <w:ind w:left="142" w:firstLine="0"/>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高温报警。</w:t>
      </w:r>
    </w:p>
    <w:p>
      <w:pPr>
        <w:widowControl/>
        <w:numPr>
          <w:ilvl w:val="8"/>
          <w:numId w:val="177"/>
        </w:numPr>
        <w:spacing w:line="660" w:lineRule="exact"/>
        <w:ind w:left="142" w:firstLine="0"/>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低温报警。</w:t>
      </w:r>
    </w:p>
    <w:p>
      <w:pPr>
        <w:keepNext/>
        <w:keepLines/>
        <w:numPr>
          <w:ilvl w:val="2"/>
          <w:numId w:val="176"/>
        </w:numPr>
        <w:spacing w:before="280" w:beforeLines="0" w:after="290" w:afterLines="0" w:line="372" w:lineRule="auto"/>
        <w:ind w:left="709" w:hanging="709"/>
        <w:jc w:val="both"/>
        <w:outlineLvl w:val="4"/>
        <w:rPr>
          <w:rFonts w:ascii="Calibri" w:hAnsi="Calibri" w:eastAsia="仿宋" w:cs="Times New Roman"/>
          <w:b/>
          <w:bCs/>
          <w:kern w:val="2"/>
          <w:sz w:val="28"/>
          <w:szCs w:val="22"/>
          <w:lang w:val="en-US" w:eastAsia="zh-CN" w:bidi="ar-SA"/>
        </w:rPr>
      </w:pPr>
      <w:bookmarkStart w:id="750" w:name="_Toc25651182"/>
      <w:r>
        <w:rPr>
          <w:rFonts w:hint="eastAsia" w:ascii="Calibri" w:hAnsi="Calibri" w:eastAsia="仿宋" w:cs="Times New Roman"/>
          <w:b/>
          <w:bCs/>
          <w:kern w:val="2"/>
          <w:sz w:val="28"/>
          <w:szCs w:val="22"/>
          <w:lang w:val="en-US" w:eastAsia="zh-CN" w:bidi="ar-SA"/>
        </w:rPr>
        <w:t>空调机组的过滤网需求</w:t>
      </w:r>
    </w:p>
    <w:p>
      <w:pPr>
        <w:widowControl/>
        <w:spacing w:line="660" w:lineRule="exact"/>
        <w:ind w:firstLine="560" w:firstLineChars="200"/>
        <w:textAlignment w:val="center"/>
        <w:rPr>
          <w:rFonts w:ascii="仿宋_GB2312" w:hAnsi="宋体" w:eastAsia="仿宋_GB2312" w:cs="Times New Roman"/>
          <w:bCs/>
          <w:sz w:val="28"/>
          <w:szCs w:val="28"/>
        </w:rPr>
      </w:pPr>
      <w:r>
        <w:rPr>
          <w:rFonts w:hint="eastAsia" w:ascii="仿宋_GB2312" w:hAnsi="宋体" w:eastAsia="仿宋_GB2312" w:cs="Times New Roman"/>
          <w:bCs/>
          <w:sz w:val="28"/>
          <w:szCs w:val="28"/>
        </w:rPr>
        <w:t>在试运行期结束后，IT设备准备上架前，精密空调必须更换一次全新的过滤网。</w:t>
      </w:r>
      <w:bookmarkEnd w:id="750"/>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751" w:name="_Toc18763"/>
      <w:r>
        <w:rPr>
          <w:rFonts w:hint="eastAsia" w:ascii="楷体" w:hAnsi="楷体" w:eastAsia="仿宋" w:cs="Times New Roman"/>
          <w:b/>
          <w:kern w:val="2"/>
          <w:sz w:val="28"/>
          <w:lang w:val="en-US" w:eastAsia="zh-CN" w:bidi="ar-SA"/>
        </w:rPr>
        <w:t>湿膜加湿器</w:t>
      </w:r>
      <w:bookmarkEnd w:id="751"/>
    </w:p>
    <w:p>
      <w:pPr>
        <w:widowControl/>
        <w:spacing w:line="560" w:lineRule="exact"/>
        <w:ind w:firstLine="540"/>
        <w:rPr>
          <w:rFonts w:hint="eastAsia" w:ascii="仿宋" w:hAnsi="仿宋" w:eastAsia="仿宋" w:cs="仿宋"/>
          <w:sz w:val="28"/>
          <w:szCs w:val="28"/>
        </w:rPr>
      </w:pPr>
      <w:r>
        <w:rPr>
          <w:rFonts w:hint="eastAsia" w:ascii="仿宋" w:hAnsi="仿宋" w:eastAsia="仿宋" w:cs="仿宋"/>
          <w:sz w:val="28"/>
          <w:szCs w:val="28"/>
        </w:rPr>
        <w:t>机房加湿采用外置加湿方式，在每个机房模块的空调间需设置2台独立的湿膜加湿器（单台加湿能力</w:t>
      </w:r>
      <w:r>
        <w:rPr>
          <w:rFonts w:hint="eastAsia" w:ascii="仿宋" w:hAnsi="仿宋" w:eastAsia="仿宋" w:cs="仿宋"/>
          <w:sz w:val="28"/>
          <w:szCs w:val="28"/>
          <w:lang w:val="en-US" w:eastAsia="zh-CN"/>
        </w:rPr>
        <w:t>8</w:t>
      </w:r>
      <w:r>
        <w:rPr>
          <w:rFonts w:hint="eastAsia" w:ascii="仿宋" w:hAnsi="仿宋" w:eastAsia="仿宋" w:cs="仿宋"/>
          <w:sz w:val="28"/>
          <w:szCs w:val="28"/>
        </w:rPr>
        <w:t>KG/h，风量≥</w:t>
      </w:r>
      <w:r>
        <w:rPr>
          <w:rFonts w:hint="eastAsia" w:ascii="仿宋" w:hAnsi="仿宋" w:eastAsia="仿宋" w:cs="仿宋"/>
          <w:sz w:val="28"/>
          <w:szCs w:val="28"/>
          <w:lang w:val="en-US" w:eastAsia="zh-CN"/>
        </w:rPr>
        <w:t>25</w:t>
      </w:r>
      <w:r>
        <w:rPr>
          <w:rFonts w:hint="eastAsia" w:ascii="仿宋" w:hAnsi="仿宋" w:eastAsia="仿宋" w:cs="仿宋"/>
          <w:sz w:val="28"/>
          <w:szCs w:val="28"/>
        </w:rPr>
        <w:t>00m3/h。运行噪音值应不超65DB）。</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整体要求</w:t>
      </w:r>
    </w:p>
    <w:p>
      <w:pPr>
        <w:widowControl/>
        <w:numPr>
          <w:ilvl w:val="0"/>
          <w:numId w:val="18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设备要求满足24小时连续运行，整机寿命不低于8年。采用柜式湿膜直排水加湿方式。</w:t>
      </w:r>
    </w:p>
    <w:p>
      <w:pPr>
        <w:widowControl/>
        <w:numPr>
          <w:ilvl w:val="0"/>
          <w:numId w:val="18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湿膜加湿器组成包括：加湿模块、给水装置、泄水盘、风机、柜体、湿度传感器、微处理器控制系统（LCD显示）、前置过滤器等。</w:t>
      </w:r>
    </w:p>
    <w:p>
      <w:pPr>
        <w:widowControl/>
        <w:numPr>
          <w:ilvl w:val="0"/>
          <w:numId w:val="18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加湿模块：（原装进口）亲水性高分子纤维材料，加湿材具有难燃、自熄特性（需提供国家空调设备质量监督检验中心相关检测报告），加湿材具有抗菌性（需提供抗军团菌检验报告），可以多次清洗、重复使用，寿命达到8～10年以上。</w:t>
      </w:r>
    </w:p>
    <w:p>
      <w:pPr>
        <w:widowControl/>
        <w:numPr>
          <w:ilvl w:val="0"/>
          <w:numId w:val="18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给水装置：过滤器、减压阀、电磁阀、节流量孔、带嵌入式淋水嘴的淋水管组成供水系统。</w:t>
      </w:r>
    </w:p>
    <w:p>
      <w:pPr>
        <w:widowControl/>
        <w:numPr>
          <w:ilvl w:val="0"/>
          <w:numId w:val="180"/>
        </w:numPr>
        <w:spacing w:line="560" w:lineRule="exact"/>
        <w:ind w:left="0" w:firstLine="0"/>
        <w:rPr>
          <w:rFonts w:ascii="仿宋" w:hAnsi="仿宋" w:eastAsia="仿宋" w:cs="Times New Roman"/>
          <w:sz w:val="28"/>
          <w:szCs w:val="28"/>
          <w:lang w:val="zh-CN"/>
        </w:rPr>
      </w:pPr>
      <w:r>
        <w:rPr>
          <w:rFonts w:hint="eastAsia" w:ascii="仿宋" w:hAnsi="仿宋" w:eastAsia="仿宋" w:cs="Times New Roman"/>
          <w:sz w:val="28"/>
          <w:szCs w:val="28"/>
          <w:lang w:val="zh-CN"/>
        </w:rPr>
        <w:t>风机：控制精度在±3%RH—±10%RH范围内，设备均有风机联锁功能。</w:t>
      </w:r>
    </w:p>
    <w:p>
      <w:pPr>
        <w:widowControl/>
        <w:numPr>
          <w:ilvl w:val="0"/>
          <w:numId w:val="18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机房专用湿膜加湿器应能应解决机房的加湿需求，同时实现大幅的节能，湿功比（每小时加湿量/整机功率）符合厂家的计算要求。</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适用条件</w:t>
      </w:r>
    </w:p>
    <w:p>
      <w:pPr>
        <w:widowControl/>
        <w:numPr>
          <w:ilvl w:val="0"/>
          <w:numId w:val="18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适应水质：软化水或纯水，并对机房空气无污染；</w:t>
      </w:r>
    </w:p>
    <w:p>
      <w:pPr>
        <w:widowControl/>
        <w:numPr>
          <w:ilvl w:val="0"/>
          <w:numId w:val="18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供水压力：0.05－0.75Mpa；</w:t>
      </w:r>
    </w:p>
    <w:p>
      <w:pPr>
        <w:widowControl/>
        <w:numPr>
          <w:ilvl w:val="0"/>
          <w:numId w:val="18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给水量：给水量为加湿量的1.2～1.5倍，为防止水中军团菌等细菌的滋生，必须使用直排水，不得使用循环水。</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功能控制</w:t>
      </w:r>
    </w:p>
    <w:p>
      <w:pPr>
        <w:widowControl/>
        <w:numPr>
          <w:ilvl w:val="0"/>
          <w:numId w:val="18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采用先进的微处理器控制，LCD显示，自动显示运转状态及故障信息，方便监控及设备维护。</w:t>
      </w:r>
    </w:p>
    <w:p>
      <w:pPr>
        <w:widowControl/>
        <w:numPr>
          <w:ilvl w:val="0"/>
          <w:numId w:val="18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安全保护功能：泄水盘高水位检测；箱体底部漏水检测；风机异常检测（停机/异常显示灯亮）。</w:t>
      </w:r>
    </w:p>
    <w:p>
      <w:pPr>
        <w:widowControl/>
        <w:numPr>
          <w:ilvl w:val="0"/>
          <w:numId w:val="18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风机延时运转功能，在停止加湿需求后，将加湿模块吹干。</w:t>
      </w:r>
    </w:p>
    <w:p>
      <w:pPr>
        <w:widowControl/>
        <w:numPr>
          <w:ilvl w:val="0"/>
          <w:numId w:val="18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湿度传感器检测到回风湿度小于设定值时，自动打开给水电磁阀，经减压阀（电磁阀）、节流量孔、嵌入式淋水嘴三级减压后均匀地向加湿材滴水，开启风机进行加湿。</w:t>
      </w:r>
    </w:p>
    <w:p>
      <w:pPr>
        <w:widowControl/>
        <w:numPr>
          <w:ilvl w:val="0"/>
          <w:numId w:val="18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通过内置的BA通讯接口机房环境集中监控系统，实时远程监测、控制设备状态；反馈设备运转、异常等均以无电压接点信号获取。</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752" w:name="_Toc29487"/>
      <w:r>
        <w:rPr>
          <w:rFonts w:hint="eastAsia" w:ascii="楷体" w:hAnsi="楷体" w:eastAsia="仿宋" w:cs="Times New Roman"/>
          <w:b/>
          <w:kern w:val="2"/>
          <w:sz w:val="28"/>
          <w:lang w:val="en-US" w:eastAsia="zh-CN" w:bidi="ar-SA"/>
        </w:rPr>
        <w:t>舒适空调</w:t>
      </w:r>
      <w:bookmarkEnd w:id="752"/>
    </w:p>
    <w:p>
      <w:pPr>
        <w:widowControl/>
        <w:numPr>
          <w:ilvl w:val="0"/>
          <w:numId w:val="18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需具变频节能、制冷/制热、舒适、运转平稳、功能齐全的控制系统等特点，而且各房间可独立调节，能满足不同房间不同空调负荷的需求。其中监控中心的末端需配合装修合理配置。（所选的系统应满足24h*365天）</w:t>
      </w:r>
    </w:p>
    <w:p>
      <w:pPr>
        <w:widowControl/>
        <w:numPr>
          <w:ilvl w:val="0"/>
          <w:numId w:val="18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管道穿墙穿板处应设置钢套管。套管管径比保温后的管外径应保持适量空间。穿墙套管应与墙体装饰面平齐，穿楼板套管高出装饰地面。管道焊缝接头不得置于套管内。管道与套管间的空隙用防火材料填塞密实，外加防水处理。</w:t>
      </w:r>
    </w:p>
    <w:p>
      <w:pPr>
        <w:widowControl/>
        <w:numPr>
          <w:ilvl w:val="0"/>
          <w:numId w:val="18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室外机应安装在热镀锌钢制支架上并釆用不锈钢锣栓固定，周边散热距离需满足厂家安装说明需求，且排水顺畅。</w:t>
      </w:r>
    </w:p>
    <w:p>
      <w:pPr>
        <w:widowControl/>
        <w:numPr>
          <w:ilvl w:val="0"/>
          <w:numId w:val="18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焊接铜管的接头表面清洁光亮，表面不得有油迹、各种污染，否则影响焊口质量。铜管焊接过程中，管内保持通入0.02~0.05MPa的氮气保护，直至焊口冷却。不可以用冷水冷却铜管，以免焊缝骤然冷却可能产生裂纹。</w:t>
      </w:r>
    </w:p>
    <w:p>
      <w:pPr>
        <w:widowControl/>
        <w:numPr>
          <w:ilvl w:val="0"/>
          <w:numId w:val="18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管道焊接完毕，应用氮气冲洗。用耐压软管把氮气钢瓶、联程表、室外机的液侧配管连接，先按住室外机的气侧配管口，打开氮气阀门，使铜管内氮气压力升至0.5MPa，再迅速打开管口，使氮气快速从管口喷出。反复几次，直至无脏物与水分为止。</w:t>
      </w:r>
    </w:p>
    <w:p>
      <w:pPr>
        <w:widowControl/>
        <w:numPr>
          <w:ilvl w:val="0"/>
          <w:numId w:val="18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空调制冷剂配管完工后，要对整个制冷系统进行气密试验。管道试压在室外机气侧与液侧的截止阀关闭的状态下进行，铜管测试压力为30Kg，并保持压力24小时，管内压力计算修正值后无下降，管道无泄露为合格。（如加压时与观察时的气温不同，气温每升降1℃其压力约升降0.01MPa）。</w:t>
      </w:r>
    </w:p>
    <w:p>
      <w:pPr>
        <w:widowControl/>
        <w:numPr>
          <w:ilvl w:val="0"/>
          <w:numId w:val="18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气密试验合格完成后，要对系统进行真空干燥。把铜管内氮气放出后，用真空泵抽真空2小时以上，在真空度达到-775mmHg以下时，放置1小时，真空表指示不上升为合格。指示上升表示管内仍有水分或漏气口。</w:t>
      </w:r>
    </w:p>
    <w:p>
      <w:pPr>
        <w:widowControl/>
        <w:numPr>
          <w:ilvl w:val="0"/>
          <w:numId w:val="18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如真空度达不到-775mmHg以下，或放置1小时真空表指示上升，需修补漏口或管道干燥处理，直至合格。</w:t>
      </w:r>
    </w:p>
    <w:p>
      <w:pPr>
        <w:widowControl/>
        <w:numPr>
          <w:ilvl w:val="0"/>
          <w:numId w:val="18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所有冷媒管需做托盘承托，室外冷媒管还需做热镀锌槽保护。如槽过大，在中位还需作加固支撑。</w:t>
      </w:r>
    </w:p>
    <w:p>
      <w:pPr>
        <w:widowControl/>
        <w:numPr>
          <w:ilvl w:val="0"/>
          <w:numId w:val="183"/>
        </w:numPr>
        <w:spacing w:line="560" w:lineRule="exact"/>
        <w:ind w:left="0" w:firstLine="0"/>
        <w:rPr>
          <w:rFonts w:ascii="仿宋" w:hAnsi="仿宋" w:eastAsia="仿宋" w:cs="Times New Roman"/>
          <w:sz w:val="28"/>
          <w:szCs w:val="28"/>
          <w:lang w:val="zh-CN"/>
        </w:rPr>
      </w:pPr>
      <w:r>
        <w:rPr>
          <w:rFonts w:hint="eastAsia" w:ascii="仿宋" w:hAnsi="仿宋" w:eastAsia="仿宋" w:cs="Times New Roman"/>
          <w:sz w:val="28"/>
          <w:szCs w:val="28"/>
          <w:lang w:val="zh-CN"/>
        </w:rPr>
        <w:t>施工中每个节点需备有经招标人、监理签字的确认的报告。</w:t>
      </w:r>
    </w:p>
    <w:p>
      <w:pPr>
        <w:keepLines/>
        <w:numPr>
          <w:ilvl w:val="2"/>
          <w:numId w:val="2"/>
        </w:numPr>
        <w:adjustRightInd w:val="0"/>
        <w:spacing w:before="0" w:beforeLines="0" w:after="0" w:afterLines="0" w:line="560" w:lineRule="exact"/>
        <w:ind w:left="0" w:firstLine="0"/>
        <w:jc w:val="left"/>
        <w:textAlignment w:val="baseline"/>
        <w:outlineLvl w:val="2"/>
        <w:rPr>
          <w:rFonts w:ascii="楷体" w:hAnsi="楷体" w:eastAsia="仿宋" w:cs="Times New Roman"/>
          <w:b/>
          <w:kern w:val="2"/>
          <w:sz w:val="28"/>
          <w:lang w:val="en-US" w:eastAsia="zh-CN" w:bidi="ar-SA"/>
        </w:rPr>
      </w:pPr>
      <w:bookmarkStart w:id="753" w:name="_Toc22841"/>
      <w:r>
        <w:rPr>
          <w:rFonts w:hint="eastAsia" w:ascii="楷体" w:hAnsi="楷体" w:eastAsia="仿宋" w:cs="Times New Roman"/>
          <w:b/>
          <w:kern w:val="2"/>
          <w:sz w:val="28"/>
          <w:lang w:val="en-US" w:eastAsia="zh-CN" w:bidi="ar-SA"/>
        </w:rPr>
        <w:t>配电间精密空调</w:t>
      </w:r>
      <w:bookmarkEnd w:id="753"/>
    </w:p>
    <w:p>
      <w:pPr>
        <w:autoSpaceDE w:val="0"/>
        <w:autoSpaceDN w:val="0"/>
        <w:adjustRightInd w:val="0"/>
        <w:spacing w:line="360" w:lineRule="auto"/>
        <w:ind w:right="22" w:firstLine="0"/>
        <w:jc w:val="both"/>
        <w:textAlignment w:val="baseline"/>
        <w:rPr>
          <w:rFonts w:ascii="仿宋体" w:hAnsi="Times New Roman" w:eastAsia="仿宋体" w:cs="Times New Roman"/>
          <w:b/>
          <w:kern w:val="0"/>
          <w:sz w:val="24"/>
          <w:szCs w:val="20"/>
          <w:lang w:val="en-US" w:eastAsia="zh-CN" w:bidi="ar-SA"/>
        </w:rPr>
      </w:pPr>
      <w:r>
        <w:rPr>
          <w:rFonts w:hint="eastAsia" w:ascii="仿宋体" w:hAnsi="Times New Roman" w:eastAsia="仿宋体" w:cs="Times New Roman"/>
          <w:b/>
          <w:kern w:val="0"/>
          <w:sz w:val="24"/>
          <w:szCs w:val="20"/>
          <w:lang w:val="en-US" w:eastAsia="zh-CN" w:bidi="ar-SA"/>
        </w:rPr>
        <w:t>机房专用空调机组的机械性能</w:t>
      </w:r>
    </w:p>
    <w:p>
      <w:pPr>
        <w:widowControl/>
        <w:numPr>
          <w:ilvl w:val="0"/>
          <w:numId w:val="184"/>
        </w:numPr>
        <w:autoSpaceDE w:val="0"/>
        <w:autoSpaceDN w:val="0"/>
        <w:adjustRightInd w:val="0"/>
        <w:spacing w:line="360" w:lineRule="auto"/>
        <w:ind w:right="278"/>
        <w:textAlignment w:val="bottom"/>
        <w:rPr>
          <w:rFonts w:hint="eastAsia" w:ascii="仿宋体" w:hAnsi="Calibri" w:eastAsia="仿宋体" w:cs="Times New Roman"/>
          <w:sz w:val="24"/>
          <w:szCs w:val="20"/>
        </w:rPr>
      </w:pPr>
      <w:r>
        <w:rPr>
          <w:rFonts w:hint="eastAsia" w:ascii="仿宋体" w:hAnsi="Calibri" w:eastAsia="仿宋体" w:cs="Times New Roman"/>
          <w:sz w:val="24"/>
          <w:szCs w:val="20"/>
        </w:rPr>
        <w:t>外观工艺、检查：机柜表面喷涂均匀、无破损；信号灯、开关、测量显示装置布局合理。</w:t>
      </w:r>
    </w:p>
    <w:p>
      <w:pPr>
        <w:widowControl/>
        <w:numPr>
          <w:ilvl w:val="0"/>
          <w:numId w:val="184"/>
        </w:numPr>
        <w:autoSpaceDE w:val="0"/>
        <w:autoSpaceDN w:val="0"/>
        <w:adjustRightInd w:val="0"/>
        <w:spacing w:line="360" w:lineRule="auto"/>
        <w:ind w:right="278"/>
        <w:textAlignment w:val="bottom"/>
        <w:rPr>
          <w:rFonts w:hint="eastAsia" w:ascii="仿宋体" w:hAnsi="Calibri" w:eastAsia="仿宋体" w:cs="Times New Roman"/>
          <w:sz w:val="24"/>
          <w:szCs w:val="20"/>
        </w:rPr>
      </w:pPr>
      <w:r>
        <w:rPr>
          <w:rFonts w:hint="eastAsia" w:ascii="仿宋体" w:hAnsi="Calibri" w:eastAsia="仿宋体" w:cs="Times New Roman"/>
          <w:sz w:val="24"/>
          <w:szCs w:val="20"/>
        </w:rPr>
        <w:t>操作及维修安全、方便。</w:t>
      </w:r>
    </w:p>
    <w:p>
      <w:pPr>
        <w:widowControl w:val="0"/>
        <w:numPr>
          <w:ilvl w:val="0"/>
          <w:numId w:val="184"/>
        </w:numPr>
        <w:adjustRightInd w:val="0"/>
        <w:spacing w:line="360" w:lineRule="auto"/>
        <w:ind w:right="-471"/>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结构工艺：部件排列合理、整齐；导线颜色和截面合理，布放平整；接插件牢固；进出线符合工程需要；具备抗震措施。</w:t>
      </w:r>
    </w:p>
    <w:p>
      <w:pPr>
        <w:autoSpaceDE w:val="0"/>
        <w:autoSpaceDN w:val="0"/>
        <w:adjustRightInd w:val="0"/>
        <w:spacing w:line="360" w:lineRule="auto"/>
        <w:ind w:right="22" w:firstLine="0"/>
        <w:jc w:val="both"/>
        <w:textAlignment w:val="baseline"/>
        <w:rPr>
          <w:rFonts w:ascii="仿宋体" w:hAnsi="Times New Roman" w:eastAsia="仿宋体" w:cs="Times New Roman"/>
          <w:b/>
          <w:kern w:val="0"/>
          <w:sz w:val="24"/>
          <w:szCs w:val="20"/>
          <w:lang w:val="en-US" w:eastAsia="zh-CN" w:bidi="ar-SA"/>
        </w:rPr>
      </w:pPr>
      <w:r>
        <w:rPr>
          <w:rFonts w:hint="eastAsia" w:ascii="仿宋体" w:hAnsi="Times New Roman" w:eastAsia="仿宋体" w:cs="Times New Roman"/>
          <w:b/>
          <w:kern w:val="0"/>
          <w:sz w:val="24"/>
          <w:szCs w:val="20"/>
          <w:lang w:val="en-US" w:eastAsia="zh-CN" w:bidi="ar-SA"/>
        </w:rPr>
        <w:t>2．机房专用空调机组的电气性能</w:t>
      </w:r>
    </w:p>
    <w:p>
      <w:pPr>
        <w:widowControl w:val="0"/>
        <w:numPr>
          <w:ilvl w:val="0"/>
          <w:numId w:val="185"/>
        </w:numPr>
        <w:adjustRightInd w:val="0"/>
        <w:spacing w:line="360" w:lineRule="auto"/>
        <w:ind w:left="360" w:hanging="36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机房专用空调机组的的电气性能应符合IEC标准</w:t>
      </w:r>
    </w:p>
    <w:p>
      <w:pPr>
        <w:widowControl w:val="0"/>
        <w:numPr>
          <w:ilvl w:val="0"/>
          <w:numId w:val="185"/>
        </w:numPr>
        <w:adjustRightInd w:val="0"/>
        <w:spacing w:line="360" w:lineRule="auto"/>
        <w:ind w:left="360" w:hanging="360"/>
        <w:textAlignment w:val="baseline"/>
        <w:rPr>
          <w:rFonts w:ascii="仿宋体" w:hAnsi="Calibri" w:eastAsia="仿宋体" w:cs="Times New Roman"/>
          <w:sz w:val="24"/>
          <w:szCs w:val="20"/>
        </w:rPr>
      </w:pPr>
      <w:r>
        <w:rPr>
          <w:rFonts w:hint="eastAsia" w:ascii="仿宋体" w:hAnsi="Calibri" w:eastAsia="仿宋体" w:cs="Times New Roman"/>
          <w:sz w:val="24"/>
          <w:szCs w:val="20"/>
        </w:rPr>
        <w:t>输入电压允许波动范围：380V +15</w:t>
      </w:r>
      <w:r>
        <w:rPr>
          <w:rFonts w:ascii="仿宋体" w:hAnsi="Calibri" w:eastAsia="仿宋体" w:cs="Times New Roman"/>
          <w:sz w:val="24"/>
          <w:szCs w:val="20"/>
        </w:rPr>
        <w:t>%</w:t>
      </w:r>
      <w:r>
        <w:rPr>
          <w:rFonts w:hint="eastAsia" w:ascii="仿宋体" w:hAnsi="Calibri" w:eastAsia="仿宋体" w:cs="Times New Roman"/>
          <w:sz w:val="24"/>
          <w:szCs w:val="20"/>
        </w:rPr>
        <w:t xml:space="preserve"> </w:t>
      </w:r>
      <w:r>
        <w:rPr>
          <w:rFonts w:hint="eastAsia" w:ascii="仿宋体" w:hAnsi="Calibri" w:eastAsia="仿宋体" w:cs="Times New Roman"/>
          <w:sz w:val="24"/>
          <w:szCs w:val="20"/>
        </w:rPr>
        <w:sym w:font="Symbol" w:char="F07E"/>
      </w:r>
      <w:r>
        <w:rPr>
          <w:rFonts w:ascii="仿宋体" w:hAnsi="Calibri" w:eastAsia="仿宋体" w:cs="Times New Roman"/>
          <w:sz w:val="24"/>
          <w:szCs w:val="20"/>
        </w:rPr>
        <w:t xml:space="preserve"> </w:t>
      </w:r>
      <w:r>
        <w:rPr>
          <w:rFonts w:hint="eastAsia" w:ascii="仿宋体" w:hAnsi="Calibri" w:eastAsia="仿宋体" w:cs="Times New Roman"/>
          <w:sz w:val="24"/>
          <w:szCs w:val="20"/>
        </w:rPr>
        <w:t>-15%</w:t>
      </w:r>
    </w:p>
    <w:p>
      <w:pPr>
        <w:widowControl w:val="0"/>
        <w:numPr>
          <w:ilvl w:val="0"/>
          <w:numId w:val="185"/>
        </w:numPr>
        <w:adjustRightInd w:val="0"/>
        <w:spacing w:line="360" w:lineRule="auto"/>
        <w:ind w:left="360" w:hanging="360"/>
        <w:textAlignment w:val="baseline"/>
        <w:rPr>
          <w:rFonts w:hint="eastAsia" w:ascii="仿宋体" w:hAnsi="Calibri" w:eastAsia="仿宋体" w:cs="Times New Roman"/>
          <w:kern w:val="0"/>
          <w:sz w:val="28"/>
          <w:szCs w:val="20"/>
        </w:rPr>
      </w:pPr>
      <w:r>
        <w:rPr>
          <w:rFonts w:hint="eastAsia" w:ascii="仿宋体" w:hAnsi="Calibri" w:eastAsia="仿宋体" w:cs="Times New Roman"/>
          <w:sz w:val="24"/>
          <w:szCs w:val="20"/>
        </w:rPr>
        <w:t xml:space="preserve">频率：50HZ </w:t>
      </w:r>
      <w:r>
        <w:rPr>
          <w:rFonts w:hint="eastAsia" w:ascii="仿宋体" w:hAnsi="Calibri" w:eastAsia="仿宋体" w:cs="Times New Roman"/>
          <w:sz w:val="24"/>
          <w:szCs w:val="20"/>
        </w:rPr>
        <w:sym w:font="Symbol" w:char="F0B1"/>
      </w:r>
      <w:r>
        <w:rPr>
          <w:rFonts w:hint="eastAsia" w:ascii="仿宋体" w:hAnsi="Calibri" w:eastAsia="仿宋体" w:cs="Times New Roman"/>
          <w:sz w:val="24"/>
          <w:szCs w:val="20"/>
        </w:rPr>
        <w:t xml:space="preserve"> 2HZ </w:t>
      </w:r>
    </w:p>
    <w:p>
      <w:pPr>
        <w:widowControl w:val="0"/>
        <w:numPr>
          <w:ilvl w:val="0"/>
          <w:numId w:val="186"/>
        </w:numPr>
        <w:adjustRightInd w:val="0"/>
        <w:spacing w:line="360" w:lineRule="auto"/>
        <w:ind w:left="360" w:hanging="360"/>
        <w:textAlignment w:val="baseline"/>
        <w:rPr>
          <w:rFonts w:hint="eastAsia" w:ascii="仿宋体" w:hAnsi="Calibri" w:eastAsia="仿宋体" w:cs="Times New Roman"/>
          <w:b/>
          <w:sz w:val="24"/>
          <w:szCs w:val="20"/>
        </w:rPr>
      </w:pPr>
      <w:r>
        <w:rPr>
          <w:rFonts w:hint="eastAsia" w:ascii="仿宋体" w:hAnsi="Calibri" w:eastAsia="仿宋体" w:cs="Times New Roman"/>
          <w:b/>
          <w:sz w:val="24"/>
          <w:szCs w:val="20"/>
        </w:rPr>
        <w:t>机房专用空调机组的适应环境</w:t>
      </w:r>
    </w:p>
    <w:p>
      <w:pPr>
        <w:widowControl/>
        <w:spacing w:line="360" w:lineRule="auto"/>
        <w:ind w:left="360"/>
        <w:rPr>
          <w:rFonts w:hint="eastAsia" w:ascii="仿宋体" w:hAnsi="Calibri" w:eastAsia="仿宋体" w:cs="Times New Roman"/>
          <w:sz w:val="24"/>
          <w:szCs w:val="20"/>
        </w:rPr>
      </w:pPr>
      <w:r>
        <w:rPr>
          <w:rFonts w:hint="eastAsia" w:ascii="仿宋体" w:hAnsi="Calibri" w:eastAsia="仿宋体" w:cs="Times New Roman"/>
          <w:sz w:val="24"/>
          <w:szCs w:val="20"/>
        </w:rPr>
        <w:t xml:space="preserve">温度：室内  -10℃ </w:t>
      </w:r>
      <w:r>
        <w:rPr>
          <w:rFonts w:hint="eastAsia" w:ascii="仿宋体" w:hAnsi="Calibri" w:eastAsia="仿宋体" w:cs="Times New Roman"/>
          <w:sz w:val="24"/>
          <w:szCs w:val="20"/>
        </w:rPr>
        <w:sym w:font="Symbol" w:char="F07E"/>
      </w:r>
      <w:r>
        <w:rPr>
          <w:rFonts w:hint="eastAsia" w:ascii="仿宋体" w:hAnsi="Calibri" w:eastAsia="仿宋体" w:cs="Times New Roman"/>
          <w:sz w:val="24"/>
          <w:szCs w:val="20"/>
        </w:rPr>
        <w:t xml:space="preserve"> +30℃</w:t>
      </w:r>
    </w:p>
    <w:p>
      <w:pPr>
        <w:widowControl/>
        <w:spacing w:line="360" w:lineRule="auto"/>
        <w:ind w:left="360"/>
        <w:rPr>
          <w:rFonts w:hint="eastAsia" w:ascii="仿宋体" w:hAnsi="Calibri" w:eastAsia="仿宋体" w:cs="Times New Roman"/>
          <w:sz w:val="24"/>
          <w:szCs w:val="20"/>
        </w:rPr>
      </w:pPr>
      <w:r>
        <w:rPr>
          <w:rFonts w:hint="eastAsia" w:ascii="仿宋体" w:hAnsi="Calibri" w:eastAsia="仿宋体" w:cs="Times New Roman"/>
          <w:sz w:val="24"/>
          <w:szCs w:val="20"/>
        </w:rPr>
        <w:t xml:space="preserve">       室外 </w:t>
      </w:r>
      <w:r>
        <w:rPr>
          <w:rFonts w:hint="eastAsia" w:ascii="仿宋体" w:hAnsi="Calibri" w:eastAsia="仿宋体" w:cs="Times New Roman"/>
          <w:b/>
          <w:sz w:val="24"/>
          <w:szCs w:val="20"/>
        </w:rPr>
        <w:t xml:space="preserve"> -15℃</w:t>
      </w:r>
      <w:r>
        <w:rPr>
          <w:rFonts w:hint="eastAsia" w:ascii="仿宋体" w:hAnsi="Calibri" w:eastAsia="仿宋体" w:cs="Times New Roman"/>
          <w:sz w:val="24"/>
          <w:szCs w:val="20"/>
        </w:rPr>
        <w:t xml:space="preserve"> </w:t>
      </w:r>
      <w:r>
        <w:rPr>
          <w:rFonts w:hint="eastAsia" w:ascii="仿宋体" w:hAnsi="Calibri" w:eastAsia="仿宋体" w:cs="Times New Roman"/>
          <w:sz w:val="24"/>
          <w:szCs w:val="20"/>
        </w:rPr>
        <w:sym w:font="Symbol" w:char="F07E"/>
      </w:r>
      <w:r>
        <w:rPr>
          <w:rFonts w:hint="eastAsia" w:ascii="仿宋体" w:hAnsi="Calibri" w:eastAsia="仿宋体" w:cs="Times New Roman"/>
          <w:sz w:val="24"/>
          <w:szCs w:val="20"/>
        </w:rPr>
        <w:t xml:space="preserve"> +4</w:t>
      </w:r>
      <w:r>
        <w:rPr>
          <w:rFonts w:ascii="仿宋体" w:hAnsi="Calibri" w:eastAsia="仿宋体" w:cs="Times New Roman"/>
          <w:sz w:val="24"/>
          <w:szCs w:val="20"/>
        </w:rPr>
        <w:t>5</w:t>
      </w:r>
      <w:r>
        <w:rPr>
          <w:rFonts w:hint="eastAsia" w:ascii="仿宋体" w:hAnsi="Calibri" w:eastAsia="仿宋体" w:cs="Times New Roman"/>
          <w:sz w:val="24"/>
          <w:szCs w:val="20"/>
        </w:rPr>
        <w:t>℃</w:t>
      </w:r>
    </w:p>
    <w:p>
      <w:pPr>
        <w:widowControl/>
        <w:spacing w:line="360" w:lineRule="auto"/>
        <w:ind w:left="360"/>
        <w:rPr>
          <w:rFonts w:hint="eastAsia" w:ascii="仿宋体" w:hAnsi="Calibri" w:eastAsia="仿宋体" w:cs="Times New Roman"/>
          <w:sz w:val="24"/>
          <w:szCs w:val="20"/>
        </w:rPr>
      </w:pPr>
      <w:r>
        <w:rPr>
          <w:rFonts w:hint="eastAsia" w:ascii="仿宋体" w:hAnsi="Calibri" w:eastAsia="仿宋体" w:cs="Times New Roman"/>
          <w:sz w:val="24"/>
          <w:szCs w:val="20"/>
        </w:rPr>
        <w:t>湿度：≤95%RH</w:t>
      </w:r>
    </w:p>
    <w:p>
      <w:pPr>
        <w:widowControl/>
        <w:spacing w:line="360" w:lineRule="auto"/>
        <w:rPr>
          <w:rFonts w:hint="eastAsia" w:ascii="仿宋体" w:hAnsi="Calibri" w:eastAsia="仿宋体" w:cs="Times New Roman"/>
          <w:b/>
          <w:sz w:val="24"/>
          <w:szCs w:val="20"/>
        </w:rPr>
      </w:pPr>
      <w:r>
        <w:rPr>
          <w:rFonts w:hint="eastAsia" w:ascii="仿宋体" w:hAnsi="Calibri" w:eastAsia="仿宋体" w:cs="Times New Roman"/>
          <w:b/>
          <w:sz w:val="24"/>
          <w:szCs w:val="20"/>
        </w:rPr>
        <w:t>4  机房专用空调机组的温度、湿度控制性能</w:t>
      </w:r>
    </w:p>
    <w:p>
      <w:pPr>
        <w:widowControl w:val="0"/>
        <w:numPr>
          <w:ilvl w:val="0"/>
          <w:numId w:val="187"/>
        </w:numPr>
        <w:adjustRightInd w:val="0"/>
        <w:spacing w:line="360" w:lineRule="auto"/>
        <w:ind w:left="42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机房专用空调应能按要求自动调节室内温度，具有制冷、加热、除湿等功能。</w:t>
      </w:r>
    </w:p>
    <w:p>
      <w:pPr>
        <w:widowControl w:val="0"/>
        <w:numPr>
          <w:ilvl w:val="0"/>
          <w:numId w:val="187"/>
        </w:numPr>
        <w:adjustRightInd w:val="0"/>
        <w:spacing w:line="360" w:lineRule="auto"/>
        <w:ind w:left="42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 xml:space="preserve">温度调节范围：+17℃ </w:t>
      </w:r>
      <w:r>
        <w:rPr>
          <w:rFonts w:hint="eastAsia" w:ascii="仿宋体" w:hAnsi="Calibri" w:eastAsia="仿宋体" w:cs="Times New Roman"/>
          <w:sz w:val="24"/>
          <w:szCs w:val="20"/>
        </w:rPr>
        <w:sym w:font="Symbol" w:char="F07E"/>
      </w:r>
      <w:r>
        <w:rPr>
          <w:rFonts w:hint="eastAsia" w:ascii="仿宋体" w:hAnsi="Calibri" w:eastAsia="仿宋体" w:cs="Times New Roman"/>
          <w:sz w:val="24"/>
          <w:szCs w:val="20"/>
        </w:rPr>
        <w:t xml:space="preserve"> +28℃</w:t>
      </w:r>
    </w:p>
    <w:p>
      <w:pPr>
        <w:widowControl w:val="0"/>
        <w:numPr>
          <w:ilvl w:val="0"/>
          <w:numId w:val="187"/>
        </w:numPr>
        <w:adjustRightInd w:val="0"/>
        <w:spacing w:line="360" w:lineRule="auto"/>
        <w:ind w:left="42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温度调节精度：</w:t>
      </w:r>
    </w:p>
    <w:p>
      <w:pPr>
        <w:widowControl/>
        <w:spacing w:line="360" w:lineRule="auto"/>
        <w:ind w:left="420"/>
        <w:rPr>
          <w:rFonts w:hint="eastAsia" w:ascii="仿宋体" w:hAnsi="Calibri" w:eastAsia="仿宋体" w:cs="Times New Roman"/>
          <w:sz w:val="24"/>
          <w:szCs w:val="20"/>
        </w:rPr>
      </w:pPr>
      <w:r>
        <w:rPr>
          <w:rFonts w:hint="eastAsia" w:ascii="仿宋体" w:hAnsi="Calibri" w:eastAsia="仿宋体" w:cs="Times New Roman"/>
          <w:sz w:val="24"/>
          <w:szCs w:val="20"/>
        </w:rPr>
        <w:tab/>
      </w:r>
      <w:r>
        <w:rPr>
          <w:rFonts w:hint="eastAsia" w:ascii="仿宋体" w:hAnsi="Calibri" w:eastAsia="仿宋体" w:cs="Times New Roman"/>
          <w:sz w:val="24"/>
          <w:szCs w:val="20"/>
        </w:rPr>
        <w:tab/>
      </w:r>
      <w:r>
        <w:rPr>
          <w:rFonts w:hint="eastAsia" w:ascii="仿宋体" w:hAnsi="Calibri" w:eastAsia="仿宋体" w:cs="Times New Roman"/>
          <w:sz w:val="24"/>
          <w:szCs w:val="20"/>
        </w:rPr>
        <w:sym w:font="Symbol" w:char="F0B1"/>
      </w:r>
      <w:r>
        <w:rPr>
          <w:rFonts w:hint="eastAsia" w:ascii="仿宋体" w:hAnsi="Calibri" w:eastAsia="仿宋体" w:cs="Times New Roman"/>
          <w:sz w:val="24"/>
          <w:szCs w:val="20"/>
        </w:rPr>
        <w:t>2℃ （制冷量&lt; 20KW）温度变化率&lt; 5℃/小时</w:t>
      </w:r>
      <w:r>
        <w:rPr>
          <w:rFonts w:hint="eastAsia" w:ascii="仿宋体" w:hAnsi="Calibri" w:eastAsia="仿宋体" w:cs="Times New Roman"/>
          <w:sz w:val="24"/>
          <w:szCs w:val="20"/>
        </w:rPr>
        <w:tab/>
      </w:r>
    </w:p>
    <w:p>
      <w:pPr>
        <w:widowControl w:val="0"/>
        <w:numPr>
          <w:ilvl w:val="0"/>
          <w:numId w:val="187"/>
        </w:numPr>
        <w:adjustRightInd w:val="0"/>
        <w:spacing w:line="360" w:lineRule="auto"/>
        <w:ind w:left="42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温度波动超限应能发出报警信号</w:t>
      </w:r>
    </w:p>
    <w:p>
      <w:pPr>
        <w:widowControl w:val="0"/>
        <w:adjustRightInd w:val="0"/>
        <w:spacing w:line="360" w:lineRule="auto"/>
        <w:jc w:val="both"/>
        <w:textAlignment w:val="baseline"/>
        <w:rPr>
          <w:rFonts w:hint="eastAsia" w:ascii="仿宋体" w:hAnsi="Times New Roman" w:eastAsia="仿宋体" w:cs="Times New Roman"/>
          <w:kern w:val="0"/>
          <w:sz w:val="24"/>
          <w:lang w:val="en-US" w:eastAsia="zh-CN" w:bidi="ar-SA"/>
        </w:rPr>
      </w:pPr>
    </w:p>
    <w:p>
      <w:pPr>
        <w:widowControl w:val="0"/>
        <w:numPr>
          <w:ilvl w:val="0"/>
          <w:numId w:val="188"/>
        </w:numPr>
        <w:adjustRightInd w:val="0"/>
        <w:spacing w:line="360" w:lineRule="auto"/>
        <w:ind w:left="42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机房专用空调应具有高效节能性，压缩机选用具有较高的能效比的涡旋压缩机</w:t>
      </w:r>
    </w:p>
    <w:p>
      <w:pPr>
        <w:widowControl w:val="0"/>
        <w:numPr>
          <w:ilvl w:val="0"/>
          <w:numId w:val="188"/>
        </w:numPr>
        <w:adjustRightInd w:val="0"/>
        <w:spacing w:line="360" w:lineRule="auto"/>
        <w:ind w:left="42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机房专用空调系统应具有高可靠性，应选用高可靠性的谷轮（Copeland）等优质品牌涡旋压缩机、高可靠性机械热力膨胀阀、全金属室内风机等高可靠性部件，满足全年365天，每天24小时不间断运行</w:t>
      </w:r>
    </w:p>
    <w:p>
      <w:pPr>
        <w:widowControl w:val="0"/>
        <w:numPr>
          <w:ilvl w:val="0"/>
          <w:numId w:val="188"/>
        </w:numPr>
        <w:adjustRightInd w:val="0"/>
        <w:spacing w:line="360" w:lineRule="auto"/>
        <w:ind w:left="42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机房专用空调运行的平均无故障时间MTBF≥</w:t>
      </w:r>
      <w:r>
        <w:rPr>
          <w:rFonts w:ascii="仿宋体" w:hAnsi="Calibri" w:eastAsia="仿宋体" w:cs="Times New Roman"/>
          <w:sz w:val="24"/>
          <w:szCs w:val="20"/>
        </w:rPr>
        <w:t>10</w:t>
      </w:r>
      <w:r>
        <w:rPr>
          <w:rFonts w:hint="eastAsia" w:ascii="仿宋体" w:hAnsi="Calibri" w:eastAsia="仿宋体" w:cs="Times New Roman"/>
          <w:sz w:val="24"/>
          <w:szCs w:val="20"/>
        </w:rPr>
        <w:t>万小时。</w:t>
      </w:r>
    </w:p>
    <w:p>
      <w:pPr>
        <w:widowControl w:val="0"/>
        <w:numPr>
          <w:ilvl w:val="0"/>
          <w:numId w:val="188"/>
        </w:numPr>
        <w:adjustRightInd w:val="0"/>
        <w:spacing w:line="360" w:lineRule="auto"/>
        <w:ind w:left="42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机房专用空调应具备安装灵活特点，可靠墙摆放于地面。</w:t>
      </w:r>
    </w:p>
    <w:p>
      <w:pPr>
        <w:widowControl w:val="0"/>
        <w:numPr>
          <w:ilvl w:val="0"/>
          <w:numId w:val="188"/>
        </w:numPr>
        <w:adjustRightInd w:val="0"/>
        <w:spacing w:line="360" w:lineRule="auto"/>
        <w:ind w:left="420" w:hanging="420"/>
        <w:textAlignment w:val="baseline"/>
        <w:rPr>
          <w:rFonts w:hint="eastAsia" w:ascii="仿宋体" w:hAnsi="Calibri" w:eastAsia="仿宋体" w:cs="Times New Roman"/>
          <w:b/>
          <w:sz w:val="24"/>
          <w:szCs w:val="20"/>
          <w:u w:val="single"/>
        </w:rPr>
      </w:pPr>
      <w:r>
        <w:rPr>
          <w:rFonts w:hint="eastAsia" w:ascii="仿宋体" w:hAnsi="Calibri" w:eastAsia="仿宋体" w:cs="Times New Roman"/>
          <w:sz w:val="24"/>
          <w:szCs w:val="20"/>
          <w:u w:val="single"/>
        </w:rPr>
        <w:t>每台机房专用空调应具备一个主回风口和两个侧面辅助回风口，有利于提高机组性能</w:t>
      </w:r>
      <w:r>
        <w:rPr>
          <w:rFonts w:hint="eastAsia" w:ascii="仿宋体" w:hAnsi="Calibri" w:eastAsia="仿宋体" w:cs="Times New Roman"/>
          <w:b/>
          <w:sz w:val="24"/>
          <w:szCs w:val="20"/>
          <w:u w:val="single"/>
        </w:rPr>
        <w:t>。</w:t>
      </w:r>
      <w:r>
        <w:rPr>
          <w:rFonts w:hint="eastAsia" w:ascii="仿宋体" w:hAnsi="Calibri" w:eastAsia="仿宋体" w:cs="Times New Roman"/>
          <w:sz w:val="24"/>
          <w:szCs w:val="20"/>
        </w:rPr>
        <w:t>空调应具备来电自启动功能，满足机房无人值守的要求。</w:t>
      </w:r>
    </w:p>
    <w:p>
      <w:pPr>
        <w:widowControl w:val="0"/>
        <w:numPr>
          <w:ilvl w:val="0"/>
          <w:numId w:val="188"/>
        </w:numPr>
        <w:adjustRightInd w:val="0"/>
        <w:spacing w:line="360" w:lineRule="auto"/>
        <w:ind w:left="42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机房专用空调机组的噪音：</w:t>
      </w:r>
    </w:p>
    <w:p>
      <w:pPr>
        <w:widowControl/>
        <w:spacing w:line="360" w:lineRule="auto"/>
        <w:rPr>
          <w:rFonts w:hint="eastAsia" w:ascii="仿宋体" w:hAnsi="Calibri" w:eastAsia="仿宋体" w:cs="Times New Roman"/>
          <w:sz w:val="24"/>
          <w:szCs w:val="20"/>
        </w:rPr>
      </w:pPr>
      <w:r>
        <w:rPr>
          <w:rFonts w:hint="eastAsia" w:ascii="仿宋体" w:hAnsi="Calibri" w:eastAsia="仿宋体" w:cs="Times New Roman"/>
          <w:sz w:val="24"/>
          <w:szCs w:val="20"/>
        </w:rPr>
        <w:t xml:space="preserve">   室内机组：距机组2米处自由空间声压级</w:t>
      </w:r>
      <w:r>
        <w:rPr>
          <w:rFonts w:hint="eastAsia" w:ascii="仿宋体" w:hAnsi="Calibri" w:eastAsia="仿宋体" w:cs="Times New Roman"/>
          <w:sz w:val="24"/>
          <w:szCs w:val="20"/>
        </w:rPr>
        <w:sym w:font="Symbol" w:char="F03C"/>
      </w:r>
      <w:r>
        <w:rPr>
          <w:rFonts w:hint="eastAsia" w:ascii="仿宋体" w:hAnsi="Calibri" w:eastAsia="仿宋体" w:cs="Times New Roman"/>
          <w:sz w:val="24"/>
          <w:szCs w:val="20"/>
        </w:rPr>
        <w:t xml:space="preserve"> 60dB(A)</w:t>
      </w:r>
    </w:p>
    <w:p>
      <w:pPr>
        <w:widowControl/>
        <w:spacing w:line="360" w:lineRule="auto"/>
        <w:rPr>
          <w:rFonts w:hint="eastAsia" w:ascii="仿宋体" w:hAnsi="Calibri" w:eastAsia="仿宋体" w:cs="Times New Roman"/>
          <w:sz w:val="24"/>
          <w:szCs w:val="20"/>
        </w:rPr>
      </w:pPr>
      <w:r>
        <w:rPr>
          <w:rFonts w:hint="eastAsia" w:ascii="仿宋体" w:hAnsi="Calibri" w:eastAsia="仿宋体" w:cs="Times New Roman"/>
          <w:sz w:val="24"/>
          <w:szCs w:val="20"/>
        </w:rPr>
        <w:t xml:space="preserve">   室外机组：距机组10米处自由空间声压级</w:t>
      </w:r>
      <w:r>
        <w:rPr>
          <w:rFonts w:hint="eastAsia" w:ascii="仿宋体" w:hAnsi="Calibri" w:eastAsia="仿宋体" w:cs="Times New Roman"/>
          <w:sz w:val="24"/>
          <w:szCs w:val="20"/>
        </w:rPr>
        <w:sym w:font="Symbol" w:char="F03C"/>
      </w:r>
      <w:r>
        <w:rPr>
          <w:rFonts w:hint="eastAsia" w:ascii="仿宋体" w:hAnsi="Calibri" w:eastAsia="仿宋体" w:cs="Times New Roman"/>
          <w:sz w:val="24"/>
          <w:szCs w:val="20"/>
        </w:rPr>
        <w:t xml:space="preserve"> 50dB(A)</w:t>
      </w:r>
    </w:p>
    <w:p>
      <w:pPr>
        <w:widowControl w:val="0"/>
        <w:numPr>
          <w:ilvl w:val="0"/>
          <w:numId w:val="188"/>
        </w:numPr>
        <w:adjustRightInd w:val="0"/>
        <w:spacing w:line="360" w:lineRule="auto"/>
        <w:ind w:left="42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机房专用空调的空气洁净度：</w:t>
      </w:r>
    </w:p>
    <w:p>
      <w:pPr>
        <w:widowControl/>
        <w:spacing w:line="360" w:lineRule="auto"/>
        <w:rPr>
          <w:rFonts w:hint="eastAsia" w:ascii="仿宋体" w:hAnsi="Calibri" w:eastAsia="仿宋体" w:cs="Times New Roman"/>
          <w:sz w:val="24"/>
          <w:szCs w:val="20"/>
        </w:rPr>
      </w:pPr>
      <w:r>
        <w:rPr>
          <w:rFonts w:hint="eastAsia" w:ascii="仿宋体" w:hAnsi="Calibri" w:eastAsia="仿宋体" w:cs="Times New Roman"/>
          <w:sz w:val="24"/>
          <w:szCs w:val="20"/>
        </w:rPr>
        <w:t xml:space="preserve">   应安装具有高过滤能力的空气过滤器，空气过滤器应便于更换</w:t>
      </w:r>
    </w:p>
    <w:p>
      <w:pPr>
        <w:widowControl w:val="0"/>
        <w:numPr>
          <w:ilvl w:val="0"/>
          <w:numId w:val="188"/>
        </w:numPr>
        <w:adjustRightInd w:val="0"/>
        <w:spacing w:line="360" w:lineRule="auto"/>
        <w:ind w:left="42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机房专用空调的控制系统：</w:t>
      </w:r>
    </w:p>
    <w:p>
      <w:pPr>
        <w:widowControl w:val="0"/>
        <w:numPr>
          <w:ilvl w:val="2"/>
          <w:numId w:val="189"/>
        </w:numPr>
        <w:adjustRightInd w:val="0"/>
        <w:spacing w:line="360" w:lineRule="auto"/>
        <w:ind w:left="126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应具有先进的微处理控制器，可存储200条历史告警信息。</w:t>
      </w:r>
    </w:p>
    <w:p>
      <w:pPr>
        <w:widowControl w:val="0"/>
        <w:numPr>
          <w:ilvl w:val="2"/>
          <w:numId w:val="189"/>
        </w:numPr>
        <w:adjustRightInd w:val="0"/>
        <w:spacing w:line="360" w:lineRule="auto"/>
        <w:ind w:left="1260" w:hanging="420"/>
        <w:textAlignment w:val="baseline"/>
        <w:rPr>
          <w:rFonts w:hint="eastAsia" w:ascii="仿宋体" w:hAnsi="Calibri" w:eastAsia="仿宋体" w:cs="Times New Roman"/>
          <w:sz w:val="24"/>
          <w:szCs w:val="20"/>
        </w:rPr>
      </w:pPr>
      <w:r>
        <w:rPr>
          <w:rFonts w:hint="eastAsia" w:ascii="Calibri" w:hAnsi="Calibri" w:eastAsia="仿宋" w:cs="Times New Roman"/>
          <w:sz w:val="24"/>
          <w:szCs w:val="20"/>
        </w:rPr>
        <w:t>微处理器可以储存一周七天，每天两次控制变换的程序。</w:t>
      </w:r>
    </w:p>
    <w:p>
      <w:pPr>
        <w:widowControl w:val="0"/>
        <w:numPr>
          <w:ilvl w:val="2"/>
          <w:numId w:val="189"/>
        </w:numPr>
        <w:adjustRightInd w:val="0"/>
        <w:spacing w:line="360" w:lineRule="auto"/>
        <w:ind w:left="126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机组应具有过压 、欠压等报警及故、障诊断，告警记录功能，自动保护，自动恢复等功能。</w:t>
      </w:r>
    </w:p>
    <w:p>
      <w:pPr>
        <w:widowControl w:val="0"/>
        <w:numPr>
          <w:ilvl w:val="2"/>
          <w:numId w:val="189"/>
        </w:numPr>
        <w:adjustRightInd w:val="0"/>
        <w:spacing w:line="360" w:lineRule="auto"/>
        <w:ind w:left="1260" w:hanging="420"/>
        <w:textAlignment w:val="baseline"/>
        <w:rPr>
          <w:rFonts w:hint="eastAsia" w:ascii="仿宋体" w:hAnsi="Calibri" w:eastAsia="仿宋体" w:cs="Times New Roman"/>
          <w:sz w:val="24"/>
          <w:szCs w:val="20"/>
        </w:rPr>
      </w:pPr>
      <w:r>
        <w:rPr>
          <w:rFonts w:hint="eastAsia" w:ascii="仿宋体" w:hAnsi="Calibri" w:eastAsia="仿宋体" w:cs="Times New Roman"/>
          <w:bCs/>
          <w:sz w:val="24"/>
          <w:szCs w:val="20"/>
        </w:rPr>
        <w:t>可直接在室内机的显示屏上读取室外机风机输入电压、压力信息，监测更加全面，更易判断整机运行状态的健康性。</w:t>
      </w:r>
    </w:p>
    <w:p>
      <w:pPr>
        <w:widowControl w:val="0"/>
        <w:numPr>
          <w:ilvl w:val="2"/>
          <w:numId w:val="189"/>
        </w:numPr>
        <w:adjustRightInd w:val="0"/>
        <w:spacing w:line="360" w:lineRule="auto"/>
        <w:ind w:left="1260" w:hanging="420"/>
        <w:textAlignment w:val="baseline"/>
        <w:rPr>
          <w:rFonts w:hint="eastAsia" w:ascii="仿宋体" w:hAnsi="Calibri" w:eastAsia="仿宋体" w:cs="Times New Roman"/>
          <w:sz w:val="24"/>
          <w:szCs w:val="20"/>
        </w:rPr>
      </w:pPr>
      <w:r>
        <w:rPr>
          <w:rFonts w:hint="eastAsia" w:ascii="仿宋体" w:hAnsi="Calibri" w:eastAsia="仿宋体" w:cs="Times New Roman"/>
          <w:bCs/>
          <w:sz w:val="24"/>
          <w:szCs w:val="20"/>
        </w:rPr>
        <w:t>具备气流丢失检测及告警功能：可检测由于风机故障、过滤网堵塞等原因造成风量异常减少的信息。</w:t>
      </w:r>
    </w:p>
    <w:p>
      <w:pPr>
        <w:widowControl w:val="0"/>
        <w:numPr>
          <w:ilvl w:val="2"/>
          <w:numId w:val="189"/>
        </w:numPr>
        <w:adjustRightInd w:val="0"/>
        <w:spacing w:line="360" w:lineRule="auto"/>
        <w:ind w:left="1260" w:hanging="420"/>
        <w:textAlignment w:val="baseline"/>
        <w:rPr>
          <w:rFonts w:hint="eastAsia" w:ascii="仿宋体" w:hAnsi="Calibri" w:eastAsia="仿宋体" w:cs="Times New Roman"/>
          <w:sz w:val="24"/>
          <w:szCs w:val="20"/>
        </w:rPr>
      </w:pPr>
      <w:r>
        <w:rPr>
          <w:rFonts w:hint="eastAsia" w:ascii="仿宋体" w:hAnsi="Calibri" w:eastAsia="仿宋体" w:cs="Times New Roman"/>
          <w:bCs/>
          <w:sz w:val="24"/>
          <w:szCs w:val="20"/>
        </w:rPr>
        <w:t>要求必须具备来电自启动功能、延时启动功能、延时启动的时间可设、双机互备份功能。</w:t>
      </w:r>
    </w:p>
    <w:p>
      <w:pPr>
        <w:autoSpaceDE w:val="0"/>
        <w:autoSpaceDN w:val="0"/>
        <w:adjustRightInd w:val="0"/>
        <w:spacing w:line="360" w:lineRule="auto"/>
        <w:ind w:right="22" w:firstLine="0"/>
        <w:jc w:val="both"/>
        <w:textAlignment w:val="baseline"/>
        <w:rPr>
          <w:rFonts w:hint="eastAsia" w:ascii="仿宋体" w:hAnsi="Times New Roman" w:eastAsia="仿宋体" w:cs="Times New Roman"/>
          <w:b/>
          <w:kern w:val="0"/>
          <w:sz w:val="24"/>
          <w:szCs w:val="20"/>
          <w:lang w:val="en-US" w:eastAsia="zh-CN" w:bidi="ar-SA"/>
        </w:rPr>
      </w:pPr>
      <w:r>
        <w:rPr>
          <w:rFonts w:hint="eastAsia" w:ascii="仿宋体" w:hAnsi="Times New Roman" w:eastAsia="仿宋体" w:cs="Times New Roman"/>
          <w:b/>
          <w:kern w:val="0"/>
          <w:sz w:val="24"/>
          <w:szCs w:val="20"/>
          <w:lang w:val="en-US" w:eastAsia="zh-CN" w:bidi="ar-SA"/>
        </w:rPr>
        <w:t>6．机房专用空调机组的监控性能</w:t>
      </w:r>
    </w:p>
    <w:p>
      <w:pPr>
        <w:widowControl w:val="0"/>
        <w:numPr>
          <w:ilvl w:val="0"/>
          <w:numId w:val="190"/>
        </w:numPr>
        <w:adjustRightInd w:val="0"/>
        <w:spacing w:line="360" w:lineRule="auto"/>
        <w:ind w:right="-471"/>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机房专用空调机组应具有方便的现场监控及远程监控能力</w:t>
      </w:r>
    </w:p>
    <w:p>
      <w:pPr>
        <w:widowControl w:val="0"/>
        <w:numPr>
          <w:ilvl w:val="0"/>
          <w:numId w:val="190"/>
        </w:numPr>
        <w:adjustRightInd w:val="0"/>
        <w:spacing w:line="360" w:lineRule="auto"/>
        <w:ind w:right="-471"/>
        <w:textAlignment w:val="baseline"/>
        <w:rPr>
          <w:rFonts w:ascii="仿宋体" w:hAnsi="Calibri" w:eastAsia="仿宋体" w:cs="Times New Roman"/>
          <w:sz w:val="24"/>
          <w:szCs w:val="20"/>
        </w:rPr>
      </w:pPr>
      <w:r>
        <w:rPr>
          <w:rFonts w:hint="eastAsia" w:ascii="仿宋体" w:hAnsi="Calibri" w:eastAsia="仿宋体" w:cs="Times New Roman"/>
          <w:sz w:val="24"/>
          <w:szCs w:val="20"/>
        </w:rPr>
        <w:t>系统应具有三遥性能</w:t>
      </w:r>
    </w:p>
    <w:p>
      <w:pPr>
        <w:widowControl/>
        <w:spacing w:line="360" w:lineRule="auto"/>
        <w:rPr>
          <w:rFonts w:hint="eastAsia" w:ascii="仿宋体" w:hAnsi="Calibri" w:eastAsia="仿宋体" w:cs="Times New Roman"/>
          <w:sz w:val="24"/>
          <w:szCs w:val="20"/>
        </w:rPr>
      </w:pPr>
      <w:r>
        <w:rPr>
          <w:rFonts w:hint="eastAsia" w:ascii="仿宋体" w:hAnsi="Calibri" w:eastAsia="仿宋体" w:cs="Times New Roman"/>
          <w:sz w:val="24"/>
          <w:szCs w:val="20"/>
        </w:rPr>
        <w:t>遥测项目：回风温度、回风湿度、显示机组工作状态等</w:t>
      </w:r>
    </w:p>
    <w:p>
      <w:pPr>
        <w:widowControl/>
        <w:spacing w:line="360" w:lineRule="auto"/>
        <w:rPr>
          <w:rFonts w:ascii="仿宋体" w:hAnsi="Calibri" w:eastAsia="仿宋体" w:cs="Times New Roman"/>
          <w:sz w:val="24"/>
          <w:szCs w:val="20"/>
        </w:rPr>
      </w:pPr>
      <w:r>
        <w:rPr>
          <w:rFonts w:hint="eastAsia" w:ascii="仿宋体" w:hAnsi="Calibri" w:eastAsia="仿宋体" w:cs="Times New Roman"/>
          <w:sz w:val="24"/>
          <w:szCs w:val="20"/>
        </w:rPr>
        <w:t>遥信项目：开</w:t>
      </w:r>
      <w:r>
        <w:rPr>
          <w:rFonts w:ascii="仿宋体" w:hAnsi="Calibri" w:eastAsia="仿宋体" w:cs="Times New Roman"/>
          <w:sz w:val="24"/>
          <w:szCs w:val="20"/>
        </w:rPr>
        <w:t>/</w:t>
      </w:r>
      <w:r>
        <w:rPr>
          <w:rFonts w:hint="eastAsia" w:ascii="仿宋体" w:hAnsi="Calibri" w:eastAsia="仿宋体" w:cs="Times New Roman"/>
          <w:sz w:val="24"/>
          <w:szCs w:val="20"/>
        </w:rPr>
        <w:t>关机，电压、电流过高/低，回风温度过高</w:t>
      </w:r>
      <w:r>
        <w:rPr>
          <w:rFonts w:ascii="仿宋体" w:hAnsi="Calibri" w:eastAsia="仿宋体" w:cs="Times New Roman"/>
          <w:sz w:val="24"/>
          <w:szCs w:val="20"/>
        </w:rPr>
        <w:t>/</w:t>
      </w:r>
      <w:r>
        <w:rPr>
          <w:rFonts w:hint="eastAsia" w:ascii="仿宋体" w:hAnsi="Calibri" w:eastAsia="仿宋体" w:cs="Times New Roman"/>
          <w:sz w:val="24"/>
          <w:szCs w:val="20"/>
        </w:rPr>
        <w:t>低，回风湿度过高/低，风机正常</w:t>
      </w:r>
      <w:r>
        <w:rPr>
          <w:rFonts w:ascii="仿宋体" w:hAnsi="Calibri" w:eastAsia="仿宋体" w:cs="Times New Roman"/>
          <w:sz w:val="24"/>
          <w:szCs w:val="20"/>
        </w:rPr>
        <w:t>/</w:t>
      </w:r>
      <w:r>
        <w:rPr>
          <w:rFonts w:hint="eastAsia" w:ascii="仿宋体" w:hAnsi="Calibri" w:eastAsia="仿宋体" w:cs="Times New Roman"/>
          <w:sz w:val="24"/>
          <w:szCs w:val="20"/>
        </w:rPr>
        <w:t>故障，压缩机正常</w:t>
      </w:r>
      <w:r>
        <w:rPr>
          <w:rFonts w:ascii="仿宋体" w:hAnsi="Calibri" w:eastAsia="仿宋体" w:cs="Times New Roman"/>
          <w:sz w:val="24"/>
          <w:szCs w:val="20"/>
        </w:rPr>
        <w:t>/</w:t>
      </w:r>
      <w:r>
        <w:rPr>
          <w:rFonts w:hint="eastAsia" w:ascii="仿宋体" w:hAnsi="Calibri" w:eastAsia="仿宋体" w:cs="Times New Roman"/>
          <w:sz w:val="24"/>
          <w:szCs w:val="20"/>
        </w:rPr>
        <w:t>故障等</w:t>
      </w:r>
      <w:r>
        <w:rPr>
          <w:rFonts w:ascii="仿宋体" w:hAnsi="Calibri" w:eastAsia="仿宋体" w:cs="Times New Roman"/>
          <w:sz w:val="24"/>
          <w:szCs w:val="20"/>
        </w:rPr>
        <w:t xml:space="preserve"> </w:t>
      </w:r>
    </w:p>
    <w:p>
      <w:pPr>
        <w:widowControl/>
        <w:spacing w:line="360" w:lineRule="auto"/>
        <w:rPr>
          <w:rFonts w:ascii="仿宋体" w:hAnsi="Calibri" w:eastAsia="仿宋体" w:cs="Times New Roman"/>
          <w:sz w:val="24"/>
          <w:szCs w:val="20"/>
        </w:rPr>
      </w:pPr>
      <w:r>
        <w:rPr>
          <w:rFonts w:hint="eastAsia" w:ascii="仿宋体" w:hAnsi="Calibri" w:eastAsia="仿宋体" w:cs="Times New Roman"/>
          <w:sz w:val="24"/>
          <w:szCs w:val="20"/>
        </w:rPr>
        <w:t>遥控项目：空调开</w:t>
      </w:r>
      <w:r>
        <w:rPr>
          <w:rFonts w:ascii="仿宋体" w:hAnsi="Calibri" w:eastAsia="仿宋体" w:cs="Times New Roman"/>
          <w:sz w:val="24"/>
          <w:szCs w:val="20"/>
        </w:rPr>
        <w:t>/</w:t>
      </w:r>
      <w:r>
        <w:rPr>
          <w:rFonts w:hint="eastAsia" w:ascii="仿宋体" w:hAnsi="Calibri" w:eastAsia="仿宋体" w:cs="Times New Roman"/>
          <w:sz w:val="24"/>
          <w:szCs w:val="20"/>
        </w:rPr>
        <w:t>关机</w:t>
      </w:r>
    </w:p>
    <w:p>
      <w:pPr>
        <w:widowControl w:val="0"/>
        <w:numPr>
          <w:ilvl w:val="0"/>
          <w:numId w:val="190"/>
        </w:numPr>
        <w:adjustRightInd w:val="0"/>
        <w:spacing w:line="360" w:lineRule="auto"/>
        <w:ind w:right="-471"/>
        <w:textAlignment w:val="baseline"/>
        <w:rPr>
          <w:rFonts w:ascii="仿宋体" w:hAnsi="Calibri" w:eastAsia="仿宋体" w:cs="Times New Roman"/>
          <w:sz w:val="24"/>
          <w:szCs w:val="20"/>
        </w:rPr>
      </w:pPr>
      <w:r>
        <w:rPr>
          <w:rFonts w:hint="eastAsia" w:ascii="仿宋体" w:hAnsi="Calibri" w:eastAsia="仿宋体" w:cs="Times New Roman"/>
          <w:sz w:val="24"/>
          <w:szCs w:val="20"/>
        </w:rPr>
        <w:t>系统应具备通信接口</w:t>
      </w:r>
    </w:p>
    <w:p>
      <w:pPr>
        <w:widowControl w:val="0"/>
        <w:numPr>
          <w:ilvl w:val="0"/>
          <w:numId w:val="191"/>
        </w:numPr>
        <w:adjustRightInd w:val="0"/>
        <w:spacing w:line="360" w:lineRule="auto"/>
        <w:ind w:right="-49"/>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具备RS232和RS485(或</w:t>
      </w:r>
      <w:r>
        <w:rPr>
          <w:rFonts w:ascii="仿宋体" w:hAnsi="Calibri" w:eastAsia="仿宋体" w:cs="Times New Roman"/>
          <w:sz w:val="24"/>
          <w:szCs w:val="20"/>
        </w:rPr>
        <w:t>RS422</w:t>
      </w:r>
      <w:r>
        <w:rPr>
          <w:rFonts w:hint="eastAsia" w:ascii="仿宋体" w:hAnsi="Calibri" w:eastAsia="仿宋体" w:cs="Times New Roman"/>
          <w:sz w:val="24"/>
          <w:szCs w:val="20"/>
        </w:rPr>
        <w:t>)接口，且应具有良好的电气隔离(信号端子对地承受直流电压500V、1分钟不击穿或闪烁)；</w:t>
      </w:r>
    </w:p>
    <w:p>
      <w:pPr>
        <w:widowControl w:val="0"/>
        <w:numPr>
          <w:ilvl w:val="0"/>
          <w:numId w:val="192"/>
        </w:numPr>
        <w:adjustRightInd w:val="0"/>
        <w:spacing w:line="360" w:lineRule="auto"/>
        <w:ind w:left="425" w:hanging="425"/>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协议格式必须符合电网交1999(625)号文《通信局（站）电源、空调及环境集中监控管理系统前端智能设备通讯协议》。</w:t>
      </w:r>
    </w:p>
    <w:p>
      <w:pPr>
        <w:widowControl w:val="0"/>
        <w:numPr>
          <w:ilvl w:val="0"/>
          <w:numId w:val="192"/>
        </w:numPr>
        <w:adjustRightInd w:val="0"/>
        <w:spacing w:line="360" w:lineRule="auto"/>
        <w:ind w:left="425" w:hanging="425"/>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免费提供通讯协议。</w:t>
      </w:r>
    </w:p>
    <w:p>
      <w:pPr>
        <w:widowControl w:val="0"/>
        <w:numPr>
          <w:ilvl w:val="0"/>
          <w:numId w:val="190"/>
        </w:numPr>
        <w:adjustRightInd w:val="0"/>
        <w:spacing w:line="360" w:lineRule="auto"/>
        <w:ind w:right="-471"/>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u w:val="single"/>
        </w:rPr>
        <w:t>投</w:t>
      </w:r>
      <w:r>
        <w:rPr>
          <w:rFonts w:hint="eastAsia" w:ascii="仿宋体" w:hAnsi="Calibri" w:eastAsia="仿宋体" w:cs="Times New Roman"/>
          <w:sz w:val="24"/>
          <w:szCs w:val="20"/>
        </w:rPr>
        <w:t>标机组需免费提供空调单机远程监控软件，需能实现远程开关机、状态查看、参数设置、告警查看及设置等功能，可实现告警邮件通知等功能。</w:t>
      </w:r>
    </w:p>
    <w:p>
      <w:pPr>
        <w:widowControl w:val="0"/>
        <w:numPr>
          <w:ilvl w:val="0"/>
          <w:numId w:val="190"/>
        </w:numPr>
        <w:adjustRightInd w:val="0"/>
        <w:spacing w:line="360" w:lineRule="auto"/>
        <w:ind w:right="-471"/>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设备运行参数的设置：设备应具有智能判断功能，对于超常规的参数设置（错误命令），应能自动拒绝。</w:t>
      </w:r>
    </w:p>
    <w:p>
      <w:pPr>
        <w:widowControl w:val="0"/>
        <w:numPr>
          <w:ilvl w:val="0"/>
          <w:numId w:val="190"/>
        </w:numPr>
        <w:adjustRightInd w:val="0"/>
        <w:spacing w:line="360" w:lineRule="auto"/>
        <w:ind w:right="-471"/>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准确度</w:t>
      </w:r>
    </w:p>
    <w:p>
      <w:pPr>
        <w:widowControl/>
        <w:spacing w:line="360" w:lineRule="auto"/>
        <w:ind w:firstLine="480"/>
        <w:rPr>
          <w:rFonts w:hint="eastAsia" w:ascii="仿宋体" w:hAnsi="Calibri" w:eastAsia="仿宋体" w:cs="Times New Roman"/>
          <w:sz w:val="24"/>
          <w:szCs w:val="20"/>
        </w:rPr>
      </w:pPr>
      <w:r>
        <w:rPr>
          <w:rFonts w:hint="eastAsia" w:ascii="仿宋体" w:hAnsi="Calibri" w:eastAsia="仿宋体" w:cs="Times New Roman"/>
          <w:sz w:val="24"/>
          <w:szCs w:val="20"/>
        </w:rPr>
        <w:t>对三遥量：</w:t>
      </w:r>
    </w:p>
    <w:p>
      <w:pPr>
        <w:widowControl/>
        <w:spacing w:line="360" w:lineRule="auto"/>
        <w:ind w:firstLine="480"/>
        <w:rPr>
          <w:rFonts w:hint="eastAsia" w:ascii="仿宋体" w:hAnsi="Calibri" w:eastAsia="仿宋体" w:cs="Times New Roman"/>
          <w:sz w:val="24"/>
          <w:szCs w:val="20"/>
        </w:rPr>
      </w:pPr>
      <w:r>
        <w:rPr>
          <w:rFonts w:hint="eastAsia" w:ascii="仿宋体" w:hAnsi="Calibri" w:eastAsia="仿宋体" w:cs="Times New Roman"/>
          <w:sz w:val="24"/>
          <w:szCs w:val="20"/>
        </w:rPr>
        <w:t>开关量和控制操作准确度应达到  100%；</w:t>
      </w:r>
    </w:p>
    <w:p>
      <w:pPr>
        <w:widowControl/>
        <w:spacing w:line="360" w:lineRule="auto"/>
        <w:ind w:firstLine="480"/>
        <w:rPr>
          <w:rFonts w:hint="eastAsia" w:ascii="仿宋体" w:hAnsi="Calibri" w:eastAsia="仿宋体" w:cs="Times New Roman"/>
          <w:sz w:val="24"/>
          <w:szCs w:val="20"/>
        </w:rPr>
      </w:pPr>
      <w:r>
        <w:rPr>
          <w:rFonts w:hint="eastAsia" w:ascii="仿宋体" w:hAnsi="Calibri" w:eastAsia="仿宋体" w:cs="Times New Roman"/>
          <w:sz w:val="24"/>
          <w:szCs w:val="20"/>
        </w:rPr>
        <w:t>模拟量精确度应达到  交流电量误差 ≤2</w:t>
      </w:r>
      <w:r>
        <w:rPr>
          <w:rFonts w:ascii="仿宋体" w:hAnsi="Calibri" w:eastAsia="仿宋体" w:cs="Times New Roman"/>
          <w:sz w:val="24"/>
          <w:szCs w:val="20"/>
        </w:rPr>
        <w:t>%</w:t>
      </w:r>
    </w:p>
    <w:p>
      <w:pPr>
        <w:widowControl/>
        <w:spacing w:line="360" w:lineRule="auto"/>
        <w:ind w:firstLine="480"/>
        <w:rPr>
          <w:rFonts w:hint="eastAsia" w:ascii="仿宋体" w:hAnsi="Calibri" w:eastAsia="仿宋体" w:cs="Times New Roman"/>
          <w:sz w:val="24"/>
          <w:szCs w:val="20"/>
        </w:rPr>
      </w:pPr>
      <w:r>
        <w:rPr>
          <w:rFonts w:ascii="仿宋体" w:hAnsi="Calibri" w:eastAsia="仿宋体" w:cs="Times New Roman"/>
          <w:sz w:val="24"/>
          <w:szCs w:val="20"/>
        </w:rPr>
        <w:t xml:space="preserve">                  </w:t>
      </w:r>
      <w:r>
        <w:rPr>
          <w:rFonts w:hint="eastAsia" w:ascii="仿宋体" w:hAnsi="Calibri" w:eastAsia="仿宋体" w:cs="Times New Roman"/>
          <w:sz w:val="24"/>
          <w:szCs w:val="20"/>
        </w:rPr>
        <w:t xml:space="preserve">    非电量误差 ≤5</w:t>
      </w:r>
      <w:r>
        <w:rPr>
          <w:rFonts w:ascii="仿宋体" w:hAnsi="Calibri" w:eastAsia="仿宋体" w:cs="Times New Roman"/>
          <w:sz w:val="24"/>
          <w:szCs w:val="20"/>
        </w:rPr>
        <w:t>%</w:t>
      </w:r>
    </w:p>
    <w:p>
      <w:pPr>
        <w:widowControl/>
        <w:spacing w:line="360" w:lineRule="auto"/>
        <w:ind w:firstLine="480"/>
        <w:rPr>
          <w:rFonts w:hint="eastAsia" w:ascii="仿宋体" w:hAnsi="Calibri" w:eastAsia="仿宋体" w:cs="Times New Roman"/>
          <w:sz w:val="24"/>
          <w:szCs w:val="20"/>
        </w:rPr>
      </w:pPr>
      <w:r>
        <w:rPr>
          <w:rFonts w:hint="eastAsia" w:ascii="仿宋体" w:hAnsi="Calibri" w:eastAsia="仿宋体" w:cs="Times New Roman"/>
          <w:sz w:val="24"/>
          <w:szCs w:val="20"/>
        </w:rPr>
        <w:t>设备显示面板或表头显示值应与从通信接口读出的三遥量值保持一致。</w:t>
      </w:r>
    </w:p>
    <w:p>
      <w:pPr>
        <w:widowControl/>
        <w:spacing w:line="360" w:lineRule="auto"/>
        <w:ind w:firstLine="480"/>
        <w:rPr>
          <w:rFonts w:hint="eastAsia" w:ascii="仿宋体" w:hAnsi="Calibri" w:eastAsia="仿宋体" w:cs="Times New Roman"/>
          <w:sz w:val="24"/>
          <w:szCs w:val="20"/>
        </w:rPr>
      </w:pPr>
    </w:p>
    <w:p>
      <w:pPr>
        <w:widowControl w:val="0"/>
        <w:numPr>
          <w:ilvl w:val="0"/>
          <w:numId w:val="193"/>
        </w:numPr>
        <w:adjustRightInd w:val="0"/>
        <w:spacing w:line="360" w:lineRule="auto"/>
        <w:ind w:left="360" w:hanging="360"/>
        <w:textAlignment w:val="baseline"/>
        <w:rPr>
          <w:rFonts w:hint="eastAsia" w:ascii="仿宋体" w:hAnsi="Calibri" w:eastAsia="仿宋体" w:cs="Times New Roman"/>
          <w:b/>
          <w:sz w:val="24"/>
          <w:szCs w:val="20"/>
        </w:rPr>
      </w:pPr>
      <w:r>
        <w:rPr>
          <w:rFonts w:hint="eastAsia" w:ascii="仿宋体" w:hAnsi="Calibri" w:eastAsia="仿宋体" w:cs="Times New Roman"/>
          <w:b/>
          <w:sz w:val="24"/>
          <w:szCs w:val="20"/>
        </w:rPr>
        <w:t>机房专用空调机组的冷却设备</w:t>
      </w:r>
    </w:p>
    <w:p>
      <w:pPr>
        <w:widowControl w:val="0"/>
        <w:numPr>
          <w:ilvl w:val="0"/>
          <w:numId w:val="194"/>
        </w:numPr>
        <w:adjustRightInd w:val="0"/>
        <w:spacing w:line="360" w:lineRule="auto"/>
        <w:ind w:left="42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机房专用空调机组应采用风冷冷却方式。</w:t>
      </w:r>
    </w:p>
    <w:p>
      <w:pPr>
        <w:widowControl w:val="0"/>
        <w:numPr>
          <w:ilvl w:val="0"/>
          <w:numId w:val="194"/>
        </w:numPr>
        <w:adjustRightInd w:val="0"/>
        <w:spacing w:line="360" w:lineRule="auto"/>
        <w:ind w:left="42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机房专用室外冷凝器的选配应根据当地的气象条件(</w:t>
      </w:r>
      <w:r>
        <w:rPr>
          <w:rFonts w:hint="eastAsia" w:ascii="仿宋体" w:hAnsi="Calibri" w:eastAsia="仿宋体" w:cs="Times New Roman"/>
          <w:sz w:val="24"/>
          <w:szCs w:val="22"/>
        </w:rPr>
        <w:t>室外工作环境45℃)</w:t>
      </w:r>
      <w:r>
        <w:rPr>
          <w:rFonts w:hint="eastAsia" w:ascii="仿宋体" w:hAnsi="Calibri" w:eastAsia="仿宋体" w:cs="Times New Roman"/>
          <w:sz w:val="24"/>
          <w:szCs w:val="20"/>
        </w:rPr>
        <w:t>，并提供相关参数，保证足够的散热量需求。</w:t>
      </w:r>
    </w:p>
    <w:p>
      <w:pPr>
        <w:widowControl w:val="0"/>
        <w:numPr>
          <w:ilvl w:val="0"/>
          <w:numId w:val="194"/>
        </w:numPr>
        <w:adjustRightInd w:val="0"/>
        <w:spacing w:line="360" w:lineRule="auto"/>
        <w:ind w:left="42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机房专用空调室外机应具有良好的刚性和防腐性能，适应多种环境条件。</w:t>
      </w:r>
    </w:p>
    <w:p>
      <w:pPr>
        <w:widowControl w:val="0"/>
        <w:numPr>
          <w:ilvl w:val="0"/>
          <w:numId w:val="194"/>
        </w:numPr>
        <w:adjustRightInd w:val="0"/>
        <w:spacing w:line="360" w:lineRule="auto"/>
        <w:ind w:left="420" w:hanging="420"/>
        <w:textAlignment w:val="baseline"/>
        <w:rPr>
          <w:rFonts w:hint="eastAsia" w:ascii="仿宋体" w:hAnsi="Calibri" w:eastAsia="仿宋体" w:cs="Times New Roman"/>
          <w:sz w:val="24"/>
          <w:szCs w:val="20"/>
        </w:rPr>
      </w:pPr>
      <w:r>
        <w:rPr>
          <w:rFonts w:hint="eastAsia" w:ascii="仿宋体" w:hAnsi="Calibri" w:eastAsia="仿宋体" w:cs="Times New Roman"/>
          <w:sz w:val="24"/>
          <w:szCs w:val="20"/>
        </w:rPr>
        <w:t>机房专用空调机组的风冷型室外冷凝器应采用无级全调速装置，保证系统冷凝压力的稳定并降低噪声。</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754" w:name="_Toc8807"/>
      <w:r>
        <w:rPr>
          <w:rFonts w:hint="eastAsia" w:ascii="楷体" w:hAnsi="楷体" w:eastAsia="仿宋" w:cs="Times New Roman"/>
          <w:b/>
          <w:kern w:val="2"/>
          <w:sz w:val="28"/>
          <w:lang w:val="en-US" w:eastAsia="zh-CN" w:bidi="ar-SA"/>
        </w:rPr>
        <w:t>新风机技术要求</w:t>
      </w:r>
      <w:bookmarkEnd w:id="754"/>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采用的规范和适用标准</w:t>
      </w:r>
    </w:p>
    <w:p>
      <w:pPr>
        <w:widowControl/>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本需求书中主要采用的规范及标准（如下述内容中不为最新版本，请按最新版本采用）</w:t>
      </w:r>
    </w:p>
    <w:p>
      <w:pPr>
        <w:widowControl/>
        <w:numPr>
          <w:ilvl w:val="0"/>
          <w:numId w:val="1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GB50174-2017    《数据中心设计规范》</w:t>
      </w:r>
    </w:p>
    <w:p>
      <w:pPr>
        <w:widowControl/>
        <w:numPr>
          <w:ilvl w:val="0"/>
          <w:numId w:val="1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GB50019-2015    《工业建筑供暖通风与空气调节设计规范》</w:t>
      </w:r>
    </w:p>
    <w:p>
      <w:pPr>
        <w:widowControl/>
        <w:numPr>
          <w:ilvl w:val="0"/>
          <w:numId w:val="19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GB50243-2016    《通风与空调工程施工质量验收规范》</w:t>
      </w:r>
    </w:p>
    <w:p>
      <w:pPr>
        <w:numPr>
          <w:ilvl w:val="3"/>
          <w:numId w:val="2"/>
        </w:numPr>
        <w:spacing w:before="0" w:beforeLines="0" w:after="0" w:afterLines="0" w:line="560" w:lineRule="exact"/>
        <w:ind w:left="0" w:firstLine="0"/>
        <w:jc w:val="both"/>
        <w:outlineLvl w:val="3"/>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技术</w:t>
      </w:r>
      <w:r>
        <w:rPr>
          <w:rFonts w:hint="eastAsia" w:ascii="楷体" w:hAnsi="楷体" w:eastAsia="仿宋" w:cs="Times New Roman"/>
          <w:b w:val="0"/>
          <w:bCs/>
          <w:kern w:val="2"/>
          <w:sz w:val="28"/>
          <w:szCs w:val="20"/>
          <w:lang w:val="en-US" w:eastAsia="zh-CN" w:bidi="ar-SA"/>
        </w:rPr>
        <w:t>要求</w:t>
      </w:r>
    </w:p>
    <w:p>
      <w:pPr>
        <w:widowControl/>
        <w:numPr>
          <w:ilvl w:val="0"/>
          <w:numId w:val="1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风量：参照规范要求，结合实际需求选取。</w:t>
      </w:r>
    </w:p>
    <w:p>
      <w:pPr>
        <w:widowControl/>
        <w:numPr>
          <w:ilvl w:val="0"/>
          <w:numId w:val="1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轻薄设计，外型美观，机组吊装安装。</w:t>
      </w:r>
    </w:p>
    <w:p>
      <w:pPr>
        <w:widowControl/>
        <w:numPr>
          <w:ilvl w:val="0"/>
          <w:numId w:val="1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功能需求：新风机具备粗、中效、亚高效三级过滤，并具备温控功能。</w:t>
      </w:r>
    </w:p>
    <w:p>
      <w:pPr>
        <w:widowControl/>
        <w:numPr>
          <w:ilvl w:val="0"/>
          <w:numId w:val="1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新风机具备温度预处理功能，需考虑加热或制冷功能。 </w:t>
      </w:r>
    </w:p>
    <w:p>
      <w:pPr>
        <w:widowControl/>
        <w:numPr>
          <w:ilvl w:val="0"/>
          <w:numId w:val="1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人性化设计，过滤器可以</w:t>
      </w:r>
      <w:r>
        <w:rPr>
          <w:rFonts w:hint="eastAsia" w:ascii="仿宋" w:hAnsi="仿宋" w:eastAsia="仿宋" w:cs="Times New Roman"/>
          <w:b/>
          <w:bCs/>
          <w:sz w:val="28"/>
          <w:szCs w:val="28"/>
          <w:lang w:val="zh-CN"/>
        </w:rPr>
        <w:t>从左右两方抽取</w:t>
      </w:r>
      <w:r>
        <w:rPr>
          <w:rFonts w:hint="eastAsia" w:ascii="仿宋" w:hAnsi="仿宋" w:eastAsia="仿宋" w:cs="Times New Roman"/>
          <w:sz w:val="28"/>
          <w:szCs w:val="28"/>
          <w:lang w:val="zh-CN"/>
        </w:rPr>
        <w:t>，维护方便。</w:t>
      </w:r>
    </w:p>
    <w:p>
      <w:pPr>
        <w:widowControl/>
        <w:numPr>
          <w:ilvl w:val="0"/>
          <w:numId w:val="1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墙面控制盒，LCD液晶显示，具有定时、温显功能。</w:t>
      </w:r>
    </w:p>
    <w:p>
      <w:pPr>
        <w:widowControl/>
        <w:numPr>
          <w:ilvl w:val="0"/>
          <w:numId w:val="1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具备来电记忆功能，即掉电重新上电后恢复原有运行状态。</w:t>
      </w:r>
    </w:p>
    <w:p>
      <w:pPr>
        <w:widowControl/>
        <w:numPr>
          <w:ilvl w:val="0"/>
          <w:numId w:val="1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高、中、低三档风速可调，可根据机房的不同需求任意调节送风量。</w:t>
      </w:r>
    </w:p>
    <w:p>
      <w:pPr>
        <w:widowControl/>
        <w:numPr>
          <w:ilvl w:val="0"/>
          <w:numId w:val="19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采用装滤堵报警，提醒维护，保障设备运行正常；可实现新风与消防联动。</w:t>
      </w:r>
    </w:p>
    <w:p>
      <w:pPr>
        <w:spacing w:line="560" w:lineRule="exact"/>
        <w:rPr>
          <w:rFonts w:hint="eastAsia" w:ascii="仿宋" w:hAnsi="仿宋"/>
          <w:szCs w:val="28"/>
          <w:lang w:val="zh-CN"/>
        </w:rPr>
        <w:sectPr>
          <w:pgSz w:w="11906" w:h="16838"/>
          <w:pgMar w:top="1440" w:right="1800" w:bottom="1440" w:left="1800" w:header="851" w:footer="992" w:gutter="0"/>
          <w:pgNumType w:fmt="decimal"/>
          <w:cols w:space="720" w:num="1"/>
          <w:titlePg/>
          <w:docGrid w:type="lines" w:linePitch="381" w:charSpace="0"/>
        </w:sectPr>
      </w:pP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755" w:name="_Toc8618"/>
      <w:bookmarkStart w:id="756" w:name="_Toc441654327"/>
      <w:bookmarkStart w:id="757" w:name="_Toc441654321"/>
      <w:r>
        <w:rPr>
          <w:rFonts w:hint="eastAsia" w:ascii="仿宋" w:hAnsi="仿宋" w:eastAsia="仿宋" w:cs="仿宋"/>
          <w:b/>
          <w:bCs/>
          <w:kern w:val="2"/>
          <w:sz w:val="28"/>
          <w:szCs w:val="28"/>
          <w:lang w:val="en-US" w:eastAsia="zh-CN" w:bidi="ar-SA"/>
        </w:rPr>
        <w:t>智能化系统工程</w:t>
      </w:r>
      <w:bookmarkEnd w:id="755"/>
    </w:p>
    <w:bookmarkEnd w:id="756"/>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szCs w:val="22"/>
          <w:lang w:val="en-US" w:eastAsia="zh-CN" w:bidi="ar-SA"/>
        </w:rPr>
      </w:pPr>
      <w:bookmarkStart w:id="758" w:name="_Toc25651272"/>
      <w:bookmarkStart w:id="759" w:name="_Toc28010"/>
      <w:r>
        <w:rPr>
          <w:rFonts w:hint="eastAsia" w:ascii="楷体" w:hAnsi="楷体" w:eastAsia="仿宋" w:cs="Times New Roman"/>
          <w:b/>
          <w:kern w:val="2"/>
          <w:sz w:val="28"/>
          <w:szCs w:val="22"/>
          <w:lang w:val="en-US" w:eastAsia="zh-CN" w:bidi="ar-SA"/>
        </w:rPr>
        <w:t>数据中心基础设施管理系统(DCIM)设备要求</w:t>
      </w:r>
      <w:bookmarkEnd w:id="758"/>
      <w:bookmarkEnd w:id="759"/>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4"/>
          <w:lang w:val="en-US" w:eastAsia="zh-CN" w:bidi="ar-SA"/>
        </w:rPr>
      </w:pPr>
      <w:r>
        <w:rPr>
          <w:rFonts w:hint="eastAsia" w:ascii="仿宋" w:hAnsi="仿宋" w:eastAsia="仿宋" w:cs="仿宋"/>
          <w:b/>
          <w:kern w:val="2"/>
          <w:sz w:val="28"/>
          <w:szCs w:val="28"/>
          <w:lang w:val="en-US" w:eastAsia="zh-CN" w:bidi="ar-SA"/>
        </w:rPr>
        <w:t>DCIM系统性能要求</w:t>
      </w:r>
    </w:p>
    <w:p>
      <w:pPr>
        <w:keepNext/>
        <w:keepLines/>
        <w:numPr>
          <w:ilvl w:val="4"/>
          <w:numId w:val="2"/>
        </w:numPr>
        <w:spacing w:before="0" w:beforeLines="0" w:after="0" w:afterLines="0" w:line="560" w:lineRule="exact"/>
        <w:ind w:left="0" w:firstLine="0"/>
        <w:jc w:val="both"/>
        <w:outlineLvl w:val="4"/>
        <w:rPr>
          <w:rFonts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可靠性</w:t>
      </w:r>
    </w:p>
    <w:p>
      <w:pPr>
        <w:widowControl/>
        <w:spacing w:line="560" w:lineRule="exact"/>
        <w:ind w:firstLine="560" w:firstLineChars="200"/>
        <w:rPr>
          <w:rFonts w:ascii="仿宋" w:hAnsi="仿宋" w:eastAsia="仿宋" w:cs="Times New Roman"/>
          <w:sz w:val="28"/>
          <w:szCs w:val="20"/>
        </w:rPr>
      </w:pPr>
      <w:r>
        <w:rPr>
          <w:rFonts w:hint="eastAsia" w:ascii="仿宋" w:hAnsi="仿宋" w:eastAsia="仿宋" w:cs="Times New Roman"/>
          <w:sz w:val="28"/>
          <w:szCs w:val="20"/>
        </w:rPr>
        <w:t>监控系统软件应连续稳定运行，适应全天候7×24小时不间断工作的要求。系统的硬件平均无故障时间(MTBF)大于50万小时，平均修复时间(MTTR)小于0.5小时。</w:t>
      </w:r>
    </w:p>
    <w:p>
      <w:pPr>
        <w:widowControl/>
        <w:spacing w:line="560" w:lineRule="exact"/>
        <w:ind w:firstLine="560" w:firstLineChars="200"/>
        <w:rPr>
          <w:rFonts w:ascii="仿宋" w:hAnsi="仿宋" w:eastAsia="仿宋" w:cs="Times New Roman"/>
          <w:sz w:val="28"/>
          <w:szCs w:val="20"/>
        </w:rPr>
      </w:pPr>
      <w:r>
        <w:rPr>
          <w:rFonts w:hint="eastAsia" w:ascii="仿宋" w:hAnsi="仿宋" w:eastAsia="仿宋" w:cs="Times New Roman"/>
          <w:sz w:val="28"/>
          <w:szCs w:val="20"/>
        </w:rPr>
        <w:t>为保证系统的稳定性，各服务器在用户正常使用的情况下，每个月的CPU、内存的平均使用率不超过65%，且CPU、内存使用率超过85%的时长不超过0.5%，磁盘空间使用率不超过65%。</w:t>
      </w:r>
    </w:p>
    <w:p>
      <w:pPr>
        <w:keepNext/>
        <w:keepLines/>
        <w:numPr>
          <w:ilvl w:val="4"/>
          <w:numId w:val="2"/>
        </w:numPr>
        <w:spacing w:before="0" w:beforeLines="0" w:after="0" w:afterLines="0" w:line="560" w:lineRule="exact"/>
        <w:ind w:left="0" w:firstLine="0"/>
        <w:jc w:val="both"/>
        <w:outlineLvl w:val="4"/>
        <w:rPr>
          <w:rFonts w:ascii="仿宋" w:hAnsi="仿宋" w:eastAsia="仿宋" w:cs="仿宋"/>
          <w:b w:val="0"/>
          <w:bCs/>
          <w:kern w:val="2"/>
          <w:sz w:val="28"/>
          <w:szCs w:val="28"/>
          <w:lang w:val="en-US" w:eastAsia="zh-CN" w:bidi="ar-SA"/>
        </w:rPr>
      </w:pPr>
      <w:bookmarkStart w:id="760" w:name="_Toc419720347"/>
      <w:r>
        <w:rPr>
          <w:rFonts w:hint="eastAsia" w:ascii="仿宋" w:hAnsi="仿宋" w:eastAsia="仿宋" w:cs="仿宋"/>
          <w:b w:val="0"/>
          <w:bCs/>
          <w:kern w:val="2"/>
          <w:sz w:val="28"/>
          <w:szCs w:val="28"/>
          <w:lang w:val="en-US" w:eastAsia="zh-CN" w:bidi="ar-SA"/>
        </w:rPr>
        <w:t>响应时间</w:t>
      </w:r>
      <w:bookmarkEnd w:id="760"/>
    </w:p>
    <w:p>
      <w:pPr>
        <w:widowControl/>
        <w:spacing w:line="560" w:lineRule="exact"/>
        <w:ind w:firstLine="560" w:firstLineChars="200"/>
        <w:rPr>
          <w:rFonts w:ascii="仿宋" w:hAnsi="仿宋" w:eastAsia="仿宋" w:cs="Times New Roman"/>
          <w:sz w:val="28"/>
          <w:szCs w:val="20"/>
        </w:rPr>
      </w:pPr>
      <w:r>
        <w:rPr>
          <w:rFonts w:hint="eastAsia" w:ascii="仿宋" w:hAnsi="仿宋" w:eastAsia="仿宋" w:cs="Times New Roman"/>
          <w:sz w:val="28"/>
          <w:szCs w:val="20"/>
        </w:rPr>
        <w:t>监控数据及时性要求指现场告警或数据变动，到监控中心监控终端显示的反应时间，监控实时数据响应时间要求不超过10秒，告警和控制响应时间不超过5秒。（注：不考虑智能设备和第三方子系统的反应时间。）</w:t>
      </w:r>
    </w:p>
    <w:p>
      <w:pPr>
        <w:keepNext/>
        <w:keepLines/>
        <w:numPr>
          <w:ilvl w:val="4"/>
          <w:numId w:val="2"/>
        </w:numPr>
        <w:spacing w:before="0" w:beforeLines="0" w:after="0" w:afterLines="0" w:line="560" w:lineRule="exact"/>
        <w:ind w:left="0" w:firstLine="0"/>
        <w:jc w:val="both"/>
        <w:outlineLvl w:val="4"/>
        <w:rPr>
          <w:rFonts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准确性要求</w:t>
      </w:r>
    </w:p>
    <w:p>
      <w:pPr>
        <w:widowControl/>
        <w:spacing w:line="560" w:lineRule="exact"/>
        <w:ind w:firstLine="560" w:firstLineChars="200"/>
        <w:rPr>
          <w:rFonts w:ascii="仿宋" w:hAnsi="仿宋" w:eastAsia="仿宋" w:cs="Times New Roman"/>
          <w:sz w:val="28"/>
          <w:szCs w:val="20"/>
        </w:rPr>
      </w:pPr>
      <w:r>
        <w:rPr>
          <w:rFonts w:hint="eastAsia" w:ascii="仿宋" w:hAnsi="仿宋" w:eastAsia="仿宋" w:cs="Times New Roman"/>
          <w:sz w:val="28"/>
          <w:szCs w:val="20"/>
        </w:rPr>
        <w:t>监控系统测量上报的数据、告警要准确，在监控终端上显示的数据精度应符合相关的要求，告警准确性应达到100%。</w:t>
      </w:r>
    </w:p>
    <w:p>
      <w:pPr>
        <w:widowControl/>
        <w:spacing w:line="560" w:lineRule="exact"/>
        <w:ind w:firstLine="560" w:firstLineChars="200"/>
        <w:rPr>
          <w:rFonts w:ascii="仿宋" w:hAnsi="仿宋" w:eastAsia="仿宋" w:cs="Times New Roman"/>
          <w:sz w:val="28"/>
          <w:szCs w:val="20"/>
        </w:rPr>
      </w:pPr>
      <w:r>
        <w:rPr>
          <w:rFonts w:hint="eastAsia" w:ascii="仿宋" w:hAnsi="仿宋" w:eastAsia="仿宋" w:cs="Times New Roman"/>
          <w:sz w:val="28"/>
          <w:szCs w:val="20"/>
        </w:rPr>
        <w:t>AI：直流电压误差应≤0.5% ；蓄电池2V 单体电压测量误差应不大于±5mV，12V 单体电池电压测量误差应不大于±60mV；其他电量应≤2%；非电量一般应≤5%；温度应≤1℃；在环境温度为25℃、湿度范围为30%RH～80%RH时，湿度应≤5%RH，当湿度超出30%RH～80%RH时，湿度应≤10%RH。</w:t>
      </w:r>
    </w:p>
    <w:p>
      <w:pPr>
        <w:widowControl/>
        <w:spacing w:line="560" w:lineRule="exact"/>
        <w:ind w:firstLine="560" w:firstLineChars="200"/>
        <w:rPr>
          <w:rFonts w:ascii="仿宋" w:hAnsi="仿宋" w:eastAsia="仿宋" w:cs="Times New Roman"/>
          <w:sz w:val="28"/>
          <w:szCs w:val="20"/>
        </w:rPr>
      </w:pPr>
      <w:r>
        <w:rPr>
          <w:rFonts w:hint="eastAsia" w:ascii="仿宋" w:hAnsi="仿宋" w:eastAsia="仿宋" w:cs="Times New Roman"/>
          <w:sz w:val="28"/>
          <w:szCs w:val="20"/>
        </w:rPr>
        <w:t>DI：准确率100％。</w:t>
      </w:r>
    </w:p>
    <w:p>
      <w:pPr>
        <w:widowControl/>
        <w:spacing w:line="560" w:lineRule="exact"/>
        <w:ind w:firstLine="560" w:firstLineChars="200"/>
        <w:rPr>
          <w:rFonts w:ascii="仿宋" w:hAnsi="仿宋" w:eastAsia="仿宋" w:cs="Times New Roman"/>
          <w:sz w:val="28"/>
          <w:szCs w:val="20"/>
        </w:rPr>
      </w:pPr>
      <w:r>
        <w:rPr>
          <w:rFonts w:hint="eastAsia" w:ascii="仿宋" w:hAnsi="仿宋" w:eastAsia="仿宋" w:cs="Times New Roman"/>
          <w:sz w:val="28"/>
          <w:szCs w:val="20"/>
        </w:rPr>
        <w:t>DO：准确率100％</w:t>
      </w:r>
      <w:bookmarkStart w:id="761" w:name="_Toc419720348"/>
      <w:r>
        <w:rPr>
          <w:rFonts w:hint="eastAsia" w:ascii="仿宋" w:hAnsi="仿宋" w:eastAsia="仿宋" w:cs="Times New Roman"/>
          <w:sz w:val="28"/>
          <w:szCs w:val="20"/>
        </w:rPr>
        <w:t>。</w:t>
      </w:r>
    </w:p>
    <w:bookmarkEnd w:id="761"/>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4"/>
          <w:lang w:val="en-US" w:eastAsia="zh-CN" w:bidi="ar-SA"/>
        </w:rPr>
      </w:pPr>
      <w:r>
        <w:rPr>
          <w:rFonts w:hint="eastAsia" w:ascii="仿宋" w:hAnsi="仿宋" w:eastAsia="仿宋" w:cs="仿宋"/>
          <w:b/>
          <w:kern w:val="2"/>
          <w:sz w:val="28"/>
          <w:szCs w:val="28"/>
          <w:lang w:val="en-US" w:eastAsia="zh-CN" w:bidi="ar-SA"/>
        </w:rPr>
        <w:t>D</w:t>
      </w:r>
      <w:r>
        <w:rPr>
          <w:rFonts w:ascii="仿宋" w:hAnsi="仿宋" w:eastAsia="仿宋" w:cs="仿宋"/>
          <w:b/>
          <w:kern w:val="2"/>
          <w:sz w:val="28"/>
          <w:szCs w:val="28"/>
          <w:lang w:val="en-US" w:eastAsia="zh-CN" w:bidi="ar-SA"/>
        </w:rPr>
        <w:t>CIM</w:t>
      </w:r>
      <w:r>
        <w:rPr>
          <w:rFonts w:hint="eastAsia" w:ascii="仿宋" w:hAnsi="仿宋" w:eastAsia="仿宋" w:cs="仿宋"/>
          <w:b/>
          <w:kern w:val="2"/>
          <w:sz w:val="28"/>
          <w:szCs w:val="28"/>
          <w:lang w:val="en-US" w:eastAsia="zh-CN" w:bidi="ar-SA"/>
        </w:rPr>
        <w:t>系统主要设备要求</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平台设备</w:t>
      </w:r>
    </w:p>
    <w:p>
      <w:pPr>
        <w:widowControl/>
        <w:numPr>
          <w:ilvl w:val="0"/>
          <w:numId w:val="197"/>
        </w:numPr>
        <w:spacing w:line="360" w:lineRule="auto"/>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要求为“独立设置服务器，须进行冗余配置，双机热备份服务器的数量和软件部署方式由中标方根据自身解决方案进行配置，要求对服务器配置进行详细说明。</w:t>
      </w:r>
    </w:p>
    <w:p>
      <w:pPr>
        <w:widowControl/>
        <w:numPr>
          <w:ilvl w:val="0"/>
          <w:numId w:val="197"/>
        </w:numPr>
        <w:spacing w:line="360" w:lineRule="auto"/>
        <w:ind w:firstLine="560" w:firstLineChars="200"/>
        <w:rPr>
          <w:rFonts w:hint="eastAsia" w:ascii="仿宋" w:hAnsi="仿宋" w:eastAsia="仿宋" w:cs="Times New Roman"/>
          <w:sz w:val="28"/>
          <w:szCs w:val="28"/>
          <w:lang w:val="zh-CN"/>
        </w:rPr>
      </w:pPr>
      <w:bookmarkStart w:id="762" w:name="_Toc307781513"/>
      <w:r>
        <w:rPr>
          <w:rFonts w:hint="eastAsia" w:ascii="仿宋" w:hAnsi="仿宋" w:eastAsia="仿宋" w:cs="Times New Roman"/>
          <w:sz w:val="28"/>
          <w:szCs w:val="28"/>
          <w:lang w:val="zh-CN"/>
        </w:rPr>
        <w:t>服务器硬件基本要求</w:t>
      </w:r>
    </w:p>
    <w:p>
      <w:pPr>
        <w:widowControl/>
        <w:numPr>
          <w:ilvl w:val="0"/>
          <w:numId w:val="198"/>
        </w:numPr>
        <w:spacing w:line="360" w:lineRule="auto"/>
        <w:ind w:left="0" w:firstLine="567"/>
        <w:rPr>
          <w:rFonts w:hint="eastAsia" w:ascii="仿宋" w:hAnsi="仿宋" w:eastAsia="仿宋" w:cs="Times New Roman"/>
          <w:sz w:val="28"/>
          <w:szCs w:val="20"/>
        </w:rPr>
      </w:pPr>
      <w:r>
        <w:rPr>
          <w:rFonts w:hint="eastAsia" w:ascii="仿宋" w:hAnsi="仿宋" w:eastAsia="仿宋" w:cs="Times New Roman"/>
          <w:sz w:val="28"/>
          <w:szCs w:val="20"/>
        </w:rPr>
        <w:t>CPU：6核，主频不低于1.7GHz。</w:t>
      </w:r>
    </w:p>
    <w:p>
      <w:pPr>
        <w:widowControl/>
        <w:numPr>
          <w:ilvl w:val="0"/>
          <w:numId w:val="198"/>
        </w:numPr>
        <w:spacing w:line="360" w:lineRule="auto"/>
        <w:ind w:left="0" w:firstLine="567"/>
        <w:rPr>
          <w:rFonts w:ascii="仿宋" w:hAnsi="仿宋" w:eastAsia="仿宋" w:cs="Times New Roman"/>
          <w:sz w:val="28"/>
          <w:szCs w:val="20"/>
        </w:rPr>
      </w:pPr>
      <w:r>
        <w:rPr>
          <w:rFonts w:hint="eastAsia" w:ascii="仿宋" w:hAnsi="仿宋" w:eastAsia="仿宋" w:cs="Times New Roman"/>
          <w:sz w:val="28"/>
          <w:szCs w:val="20"/>
        </w:rPr>
        <w:t>内存：至少16GB</w:t>
      </w:r>
    </w:p>
    <w:p>
      <w:pPr>
        <w:widowControl/>
        <w:numPr>
          <w:ilvl w:val="0"/>
          <w:numId w:val="198"/>
        </w:numPr>
        <w:spacing w:line="360" w:lineRule="auto"/>
        <w:ind w:left="0" w:firstLine="567"/>
        <w:rPr>
          <w:rFonts w:ascii="仿宋" w:hAnsi="仿宋" w:eastAsia="仿宋" w:cs="Times New Roman"/>
          <w:sz w:val="28"/>
          <w:szCs w:val="20"/>
        </w:rPr>
      </w:pPr>
      <w:r>
        <w:rPr>
          <w:rFonts w:hint="eastAsia" w:ascii="仿宋" w:hAnsi="仿宋" w:eastAsia="仿宋" w:cs="Times New Roman"/>
          <w:sz w:val="28"/>
          <w:szCs w:val="20"/>
        </w:rPr>
        <w:t>硬盘：至少1.8TB</w:t>
      </w:r>
    </w:p>
    <w:p>
      <w:pPr>
        <w:widowControl/>
        <w:numPr>
          <w:ilvl w:val="0"/>
          <w:numId w:val="198"/>
        </w:numPr>
        <w:spacing w:line="360" w:lineRule="auto"/>
        <w:ind w:left="0" w:firstLine="567"/>
        <w:rPr>
          <w:rFonts w:ascii="仿宋" w:hAnsi="仿宋" w:eastAsia="仿宋" w:cs="Times New Roman"/>
          <w:sz w:val="28"/>
          <w:szCs w:val="20"/>
        </w:rPr>
      </w:pPr>
      <w:r>
        <w:rPr>
          <w:rFonts w:hint="eastAsia" w:ascii="仿宋" w:hAnsi="仿宋" w:eastAsia="仿宋" w:cs="Times New Roman"/>
          <w:sz w:val="28"/>
          <w:szCs w:val="20"/>
        </w:rPr>
        <w:t>网口：四端口千兆网口</w:t>
      </w:r>
    </w:p>
    <w:p>
      <w:pPr>
        <w:widowControl/>
        <w:numPr>
          <w:ilvl w:val="0"/>
          <w:numId w:val="198"/>
        </w:numPr>
        <w:spacing w:line="360" w:lineRule="auto"/>
        <w:ind w:left="0" w:firstLine="567"/>
        <w:rPr>
          <w:rFonts w:hint="eastAsia" w:ascii="仿宋" w:hAnsi="仿宋" w:eastAsia="仿宋" w:cs="Times New Roman"/>
          <w:sz w:val="28"/>
          <w:szCs w:val="20"/>
        </w:rPr>
      </w:pPr>
      <w:r>
        <w:rPr>
          <w:rFonts w:hint="eastAsia" w:ascii="仿宋" w:hAnsi="仿宋" w:eastAsia="仿宋" w:cs="Times New Roman"/>
          <w:sz w:val="28"/>
          <w:szCs w:val="20"/>
        </w:rPr>
        <w:t>高度：1</w:t>
      </w:r>
      <w:r>
        <w:rPr>
          <w:rFonts w:ascii="仿宋" w:hAnsi="仿宋" w:eastAsia="仿宋" w:cs="Times New Roman"/>
          <w:sz w:val="28"/>
          <w:szCs w:val="20"/>
        </w:rPr>
        <w:t>U</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监控采集器要求</w:t>
      </w:r>
    </w:p>
    <w:p>
      <w:pPr>
        <w:widowControl/>
        <w:ind w:firstLine="480"/>
        <w:rPr>
          <w:rFonts w:ascii="仿宋" w:hAnsi="仿宋" w:eastAsia="仿宋" w:cs="Times New Roman"/>
          <w:color w:val="000000"/>
          <w:sz w:val="28"/>
          <w:szCs w:val="24"/>
        </w:rPr>
      </w:pPr>
      <w:r>
        <w:rPr>
          <w:rFonts w:hint="eastAsia" w:ascii="仿宋" w:hAnsi="仿宋" w:eastAsia="仿宋" w:cs="Times New Roman"/>
          <w:color w:val="000000"/>
          <w:sz w:val="28"/>
          <w:szCs w:val="24"/>
        </w:rPr>
        <w:t>采集器是设备和环境信息监控的核心平台，应采用集数据处理、存储和采集于一体的智能化采集器，采集器应支持智能串口、I</w:t>
      </w:r>
      <w:r>
        <w:rPr>
          <w:rFonts w:ascii="仿宋" w:hAnsi="仿宋" w:eastAsia="仿宋" w:cs="Times New Roman"/>
          <w:color w:val="000000"/>
          <w:sz w:val="28"/>
          <w:szCs w:val="24"/>
        </w:rPr>
        <w:t>O</w:t>
      </w:r>
      <w:r>
        <w:rPr>
          <w:rFonts w:hint="eastAsia" w:ascii="仿宋" w:hAnsi="仿宋" w:eastAsia="仿宋" w:cs="Times New Roman"/>
          <w:color w:val="000000"/>
          <w:sz w:val="28"/>
          <w:szCs w:val="24"/>
        </w:rPr>
        <w:t>和传输于一体的集成化采集器，要求具备以下功能：</w:t>
      </w:r>
    </w:p>
    <w:p>
      <w:pPr>
        <w:widowControl/>
        <w:numPr>
          <w:ilvl w:val="0"/>
          <w:numId w:val="199"/>
        </w:numPr>
        <w:spacing w:line="360" w:lineRule="auto"/>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采集器内置linux系统，支撑远程升级和加载运行程序。</w:t>
      </w:r>
    </w:p>
    <w:p>
      <w:pPr>
        <w:widowControl/>
        <w:numPr>
          <w:ilvl w:val="0"/>
          <w:numId w:val="199"/>
        </w:numPr>
        <w:spacing w:line="360" w:lineRule="auto"/>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要求支持双路供电，供电电源支持220V交流、240V高压直流。</w:t>
      </w:r>
    </w:p>
    <w:p>
      <w:pPr>
        <w:widowControl/>
        <w:numPr>
          <w:ilvl w:val="0"/>
          <w:numId w:val="199"/>
        </w:numPr>
        <w:spacing w:line="360" w:lineRule="auto"/>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要求全端口高标准防雷，所有端口内置防雷器，防雷标准应满足：</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6"/>
        <w:gridCol w:w="1276"/>
        <w:gridCol w:w="1676"/>
        <w:gridCol w:w="1276"/>
        <w:gridCol w:w="1385"/>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986" w:type="dxa"/>
            <w:noWrap w:val="0"/>
            <w:vAlign w:val="center"/>
          </w:tcPr>
          <w:p>
            <w:pPr>
              <w:ind w:firstLine="0" w:firstLineChars="0"/>
              <w:jc w:val="center"/>
              <w:rPr>
                <w:rFonts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试验端口</w:t>
            </w:r>
          </w:p>
          <w:p>
            <w:pPr>
              <w:ind w:firstLine="0" w:firstLineChars="0"/>
              <w:jc w:val="center"/>
              <w:rPr>
                <w:rFonts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开路试验</w:t>
            </w:r>
          </w:p>
        </w:tc>
        <w:tc>
          <w:tcPr>
            <w:tcW w:w="1276" w:type="dxa"/>
            <w:noWrap w:val="0"/>
            <w:vAlign w:val="center"/>
          </w:tcPr>
          <w:p>
            <w:pPr>
              <w:widowControl/>
              <w:jc w:val="center"/>
              <w:rPr>
                <w:rFonts w:ascii="仿宋" w:hAnsi="仿宋" w:eastAsia="仿宋" w:cs="Times New Roman"/>
                <w:sz w:val="18"/>
                <w:szCs w:val="18"/>
              </w:rPr>
            </w:pPr>
            <w:r>
              <w:rPr>
                <w:rFonts w:hint="eastAsia" w:ascii="仿宋" w:hAnsi="仿宋" w:eastAsia="仿宋" w:cs="Times New Roman"/>
                <w:sz w:val="18"/>
                <w:szCs w:val="18"/>
              </w:rPr>
              <w:t>电源输入口</w:t>
            </w:r>
          </w:p>
        </w:tc>
        <w:tc>
          <w:tcPr>
            <w:tcW w:w="1676" w:type="dxa"/>
            <w:noWrap w:val="0"/>
            <w:vAlign w:val="center"/>
          </w:tcPr>
          <w:p>
            <w:pPr>
              <w:widowControl/>
              <w:jc w:val="center"/>
              <w:rPr>
                <w:rFonts w:ascii="仿宋" w:hAnsi="仿宋" w:eastAsia="仿宋" w:cs="Times New Roman"/>
                <w:sz w:val="18"/>
                <w:szCs w:val="18"/>
              </w:rPr>
            </w:pPr>
            <w:r>
              <w:rPr>
                <w:rFonts w:hint="eastAsia" w:ascii="仿宋" w:hAnsi="仿宋" w:eastAsia="仿宋" w:cs="Times New Roman"/>
                <w:sz w:val="18"/>
                <w:szCs w:val="18"/>
              </w:rPr>
              <w:t>电源输出12V</w:t>
            </w:r>
          </w:p>
        </w:tc>
        <w:tc>
          <w:tcPr>
            <w:tcW w:w="1276" w:type="dxa"/>
            <w:noWrap w:val="0"/>
            <w:vAlign w:val="center"/>
          </w:tcPr>
          <w:p>
            <w:pPr>
              <w:widowControl/>
              <w:jc w:val="center"/>
              <w:rPr>
                <w:rFonts w:ascii="仿宋" w:hAnsi="仿宋" w:eastAsia="仿宋" w:cs="Times New Roman"/>
                <w:sz w:val="18"/>
                <w:szCs w:val="18"/>
              </w:rPr>
            </w:pPr>
            <w:r>
              <w:rPr>
                <w:rFonts w:hint="eastAsia" w:ascii="仿宋" w:hAnsi="仿宋" w:eastAsia="仿宋" w:cs="Times New Roman"/>
                <w:sz w:val="18"/>
                <w:szCs w:val="18"/>
              </w:rPr>
              <w:t>串口</w:t>
            </w:r>
          </w:p>
        </w:tc>
        <w:tc>
          <w:tcPr>
            <w:tcW w:w="1385" w:type="dxa"/>
            <w:noWrap w:val="0"/>
            <w:vAlign w:val="center"/>
          </w:tcPr>
          <w:p>
            <w:pPr>
              <w:widowControl/>
              <w:jc w:val="center"/>
              <w:rPr>
                <w:rFonts w:ascii="仿宋" w:hAnsi="仿宋" w:eastAsia="仿宋" w:cs="Times New Roman"/>
                <w:sz w:val="18"/>
                <w:szCs w:val="18"/>
              </w:rPr>
            </w:pPr>
            <w:r>
              <w:rPr>
                <w:rFonts w:hint="eastAsia" w:ascii="仿宋" w:hAnsi="仿宋" w:eastAsia="仿宋" w:cs="Times New Roman"/>
                <w:sz w:val="18"/>
                <w:szCs w:val="18"/>
              </w:rPr>
              <w:t>IO通道</w:t>
            </w:r>
          </w:p>
        </w:tc>
        <w:tc>
          <w:tcPr>
            <w:tcW w:w="1357" w:type="dxa"/>
            <w:noWrap w:val="0"/>
            <w:vAlign w:val="center"/>
          </w:tcPr>
          <w:p>
            <w:pPr>
              <w:widowControl/>
              <w:jc w:val="center"/>
              <w:rPr>
                <w:rFonts w:ascii="仿宋" w:hAnsi="仿宋" w:eastAsia="仿宋" w:cs="Times New Roman"/>
                <w:sz w:val="18"/>
                <w:szCs w:val="18"/>
              </w:rPr>
            </w:pPr>
            <w:r>
              <w:rPr>
                <w:rFonts w:hint="eastAsia" w:ascii="仿宋" w:hAnsi="仿宋" w:eastAsia="仿宋" w:cs="Times New Roman"/>
                <w:sz w:val="18"/>
                <w:szCs w:val="18"/>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4" w:hRule="atLeast"/>
          <w:jc w:val="center"/>
        </w:trPr>
        <w:tc>
          <w:tcPr>
            <w:tcW w:w="986" w:type="dxa"/>
            <w:noWrap w:val="0"/>
            <w:vAlign w:val="center"/>
          </w:tcPr>
          <w:p>
            <w:pPr>
              <w:widowControl/>
              <w:jc w:val="center"/>
              <w:rPr>
                <w:rFonts w:ascii="仿宋" w:hAnsi="仿宋" w:eastAsia="仿宋" w:cs="Times New Roman"/>
                <w:sz w:val="18"/>
                <w:szCs w:val="18"/>
              </w:rPr>
            </w:pPr>
            <w:r>
              <w:rPr>
                <w:rFonts w:hint="eastAsia" w:ascii="仿宋" w:hAnsi="仿宋" w:eastAsia="仿宋" w:cs="Times New Roman"/>
                <w:sz w:val="18"/>
                <w:szCs w:val="18"/>
              </w:rPr>
              <w:t>线－线</w:t>
            </w:r>
          </w:p>
        </w:tc>
        <w:tc>
          <w:tcPr>
            <w:tcW w:w="1276" w:type="dxa"/>
            <w:noWrap w:val="0"/>
            <w:vAlign w:val="center"/>
          </w:tcPr>
          <w:p>
            <w:pPr>
              <w:widowControl/>
              <w:rPr>
                <w:rFonts w:ascii="仿宋" w:hAnsi="仿宋" w:eastAsia="仿宋" w:cs="Times New Roman"/>
                <w:sz w:val="18"/>
                <w:szCs w:val="18"/>
              </w:rPr>
            </w:pPr>
            <w:r>
              <w:rPr>
                <w:rFonts w:hint="eastAsia" w:ascii="仿宋" w:hAnsi="仿宋" w:eastAsia="仿宋" w:cs="Times New Roman"/>
                <w:sz w:val="18"/>
                <w:szCs w:val="18"/>
              </w:rPr>
              <w:t>±5</w:t>
            </w:r>
            <w:r>
              <w:rPr>
                <w:rFonts w:ascii="仿宋" w:hAnsi="仿宋" w:eastAsia="仿宋" w:cs="Times New Roman"/>
                <w:sz w:val="18"/>
                <w:szCs w:val="18"/>
              </w:rPr>
              <w:t>K</w:t>
            </w:r>
            <w:r>
              <w:rPr>
                <w:rFonts w:hint="eastAsia" w:ascii="仿宋" w:hAnsi="仿宋" w:eastAsia="仿宋" w:cs="Times New Roman"/>
                <w:sz w:val="18"/>
                <w:szCs w:val="18"/>
              </w:rPr>
              <w:t>A（</w:t>
            </w:r>
            <w:r>
              <w:rPr>
                <w:rFonts w:ascii="仿宋" w:hAnsi="仿宋" w:eastAsia="仿宋" w:cs="Times New Roman"/>
                <w:sz w:val="18"/>
                <w:szCs w:val="18"/>
              </w:rPr>
              <w:t>8/20us）</w:t>
            </w:r>
          </w:p>
        </w:tc>
        <w:tc>
          <w:tcPr>
            <w:tcW w:w="1676" w:type="dxa"/>
            <w:noWrap w:val="0"/>
            <w:vAlign w:val="center"/>
          </w:tcPr>
          <w:p>
            <w:pPr>
              <w:widowControl/>
              <w:rPr>
                <w:rFonts w:ascii="仿宋" w:hAnsi="仿宋" w:eastAsia="仿宋" w:cs="Times New Roman"/>
                <w:sz w:val="18"/>
                <w:szCs w:val="18"/>
              </w:rPr>
            </w:pPr>
            <w:r>
              <w:rPr>
                <w:rFonts w:hint="eastAsia" w:ascii="仿宋" w:hAnsi="仿宋" w:eastAsia="仿宋" w:cs="Times New Roman"/>
                <w:sz w:val="18"/>
                <w:szCs w:val="18"/>
              </w:rPr>
              <w:t>±10</w:t>
            </w:r>
            <w:r>
              <w:rPr>
                <w:rFonts w:ascii="仿宋" w:hAnsi="仿宋" w:eastAsia="仿宋" w:cs="Times New Roman"/>
                <w:sz w:val="18"/>
                <w:szCs w:val="18"/>
              </w:rPr>
              <w:t>K</w:t>
            </w:r>
            <w:r>
              <w:rPr>
                <w:rFonts w:hint="eastAsia" w:ascii="仿宋" w:hAnsi="仿宋" w:eastAsia="仿宋" w:cs="Times New Roman"/>
                <w:sz w:val="18"/>
                <w:szCs w:val="18"/>
              </w:rPr>
              <w:t>A（</w:t>
            </w:r>
            <w:r>
              <w:rPr>
                <w:rFonts w:ascii="仿宋" w:hAnsi="仿宋" w:eastAsia="仿宋" w:cs="Times New Roman"/>
                <w:sz w:val="18"/>
                <w:szCs w:val="18"/>
              </w:rPr>
              <w:t>8/20us）</w:t>
            </w:r>
          </w:p>
        </w:tc>
        <w:tc>
          <w:tcPr>
            <w:tcW w:w="1276" w:type="dxa"/>
            <w:noWrap w:val="0"/>
            <w:vAlign w:val="center"/>
          </w:tcPr>
          <w:p>
            <w:pPr>
              <w:widowControl/>
              <w:rPr>
                <w:rFonts w:ascii="仿宋" w:hAnsi="仿宋" w:eastAsia="仿宋" w:cs="Times New Roman"/>
                <w:sz w:val="18"/>
                <w:szCs w:val="18"/>
              </w:rPr>
            </w:pPr>
            <w:r>
              <w:rPr>
                <w:rFonts w:hint="eastAsia" w:ascii="仿宋" w:hAnsi="仿宋" w:eastAsia="仿宋" w:cs="Times New Roman"/>
                <w:sz w:val="18"/>
                <w:szCs w:val="18"/>
              </w:rPr>
              <w:t>±3</w:t>
            </w:r>
            <w:r>
              <w:rPr>
                <w:rFonts w:ascii="仿宋" w:hAnsi="仿宋" w:eastAsia="仿宋" w:cs="Times New Roman"/>
                <w:sz w:val="18"/>
                <w:szCs w:val="18"/>
              </w:rPr>
              <w:t>K</w:t>
            </w:r>
            <w:r>
              <w:rPr>
                <w:rFonts w:hint="eastAsia" w:ascii="仿宋" w:hAnsi="仿宋" w:eastAsia="仿宋" w:cs="Times New Roman"/>
                <w:sz w:val="18"/>
                <w:szCs w:val="18"/>
              </w:rPr>
              <w:t>A（</w:t>
            </w:r>
            <w:r>
              <w:rPr>
                <w:rFonts w:ascii="仿宋" w:hAnsi="仿宋" w:eastAsia="仿宋" w:cs="Times New Roman"/>
                <w:sz w:val="18"/>
                <w:szCs w:val="18"/>
              </w:rPr>
              <w:t>8/20us）</w:t>
            </w:r>
          </w:p>
        </w:tc>
        <w:tc>
          <w:tcPr>
            <w:tcW w:w="1385" w:type="dxa"/>
            <w:noWrap w:val="0"/>
            <w:vAlign w:val="center"/>
          </w:tcPr>
          <w:p>
            <w:pPr>
              <w:widowControl/>
              <w:rPr>
                <w:rFonts w:ascii="仿宋" w:hAnsi="仿宋" w:eastAsia="仿宋" w:cs="Times New Roman"/>
                <w:sz w:val="18"/>
                <w:szCs w:val="18"/>
              </w:rPr>
            </w:pPr>
            <w:r>
              <w:rPr>
                <w:rFonts w:hint="eastAsia" w:ascii="仿宋" w:hAnsi="仿宋" w:eastAsia="仿宋" w:cs="Times New Roman"/>
                <w:sz w:val="18"/>
                <w:szCs w:val="18"/>
              </w:rPr>
              <w:t>±3</w:t>
            </w:r>
            <w:r>
              <w:rPr>
                <w:rFonts w:ascii="仿宋" w:hAnsi="仿宋" w:eastAsia="仿宋" w:cs="Times New Roman"/>
                <w:sz w:val="18"/>
                <w:szCs w:val="18"/>
              </w:rPr>
              <w:t>K</w:t>
            </w:r>
            <w:r>
              <w:rPr>
                <w:rFonts w:hint="eastAsia" w:ascii="仿宋" w:hAnsi="仿宋" w:eastAsia="仿宋" w:cs="Times New Roman"/>
                <w:sz w:val="18"/>
                <w:szCs w:val="18"/>
              </w:rPr>
              <w:t>A（</w:t>
            </w:r>
            <w:r>
              <w:rPr>
                <w:rFonts w:ascii="仿宋" w:hAnsi="仿宋" w:eastAsia="仿宋" w:cs="Times New Roman"/>
                <w:sz w:val="18"/>
                <w:szCs w:val="18"/>
              </w:rPr>
              <w:t>8/20us）</w:t>
            </w:r>
          </w:p>
        </w:tc>
        <w:tc>
          <w:tcPr>
            <w:tcW w:w="1357" w:type="dxa"/>
            <w:noWrap w:val="0"/>
            <w:vAlign w:val="center"/>
          </w:tcPr>
          <w:p>
            <w:pPr>
              <w:widowControl/>
              <w:rPr>
                <w:rFonts w:ascii="仿宋" w:hAnsi="仿宋" w:eastAsia="仿宋" w:cs="Times New Roman"/>
                <w:sz w:val="18"/>
                <w:szCs w:val="18"/>
              </w:rPr>
            </w:pPr>
            <w:r>
              <w:rPr>
                <w:rFonts w:hint="eastAsia" w:ascii="仿宋" w:hAnsi="仿宋" w:eastAsia="仿宋" w:cs="Times New Roman"/>
                <w:sz w:val="18"/>
                <w:szCs w:val="18"/>
              </w:rPr>
              <w:t>±3</w:t>
            </w:r>
            <w:r>
              <w:rPr>
                <w:rFonts w:ascii="仿宋" w:hAnsi="仿宋" w:eastAsia="仿宋" w:cs="Times New Roman"/>
                <w:sz w:val="18"/>
                <w:szCs w:val="18"/>
              </w:rPr>
              <w:t>K</w:t>
            </w:r>
            <w:r>
              <w:rPr>
                <w:rFonts w:hint="eastAsia" w:ascii="仿宋" w:hAnsi="仿宋" w:eastAsia="仿宋" w:cs="Times New Roman"/>
                <w:sz w:val="18"/>
                <w:szCs w:val="18"/>
              </w:rPr>
              <w:t>A（</w:t>
            </w:r>
            <w:r>
              <w:rPr>
                <w:rFonts w:ascii="仿宋" w:hAnsi="仿宋" w:eastAsia="仿宋" w:cs="Times New Roman"/>
                <w:sz w:val="18"/>
                <w:szCs w:val="18"/>
              </w:rPr>
              <w:t>8/20us）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7" w:hRule="atLeast"/>
          <w:jc w:val="center"/>
        </w:trPr>
        <w:tc>
          <w:tcPr>
            <w:tcW w:w="986" w:type="dxa"/>
            <w:noWrap w:val="0"/>
            <w:vAlign w:val="center"/>
          </w:tcPr>
          <w:p>
            <w:pPr>
              <w:widowControl/>
              <w:jc w:val="center"/>
              <w:rPr>
                <w:rFonts w:ascii="仿宋" w:hAnsi="仿宋" w:eastAsia="仿宋" w:cs="Times New Roman"/>
                <w:sz w:val="18"/>
                <w:szCs w:val="18"/>
              </w:rPr>
            </w:pPr>
            <w:r>
              <w:rPr>
                <w:rFonts w:hint="eastAsia" w:ascii="仿宋" w:hAnsi="仿宋" w:eastAsia="仿宋" w:cs="Times New Roman"/>
                <w:sz w:val="18"/>
                <w:szCs w:val="18"/>
              </w:rPr>
              <w:t>线－地</w:t>
            </w:r>
          </w:p>
        </w:tc>
        <w:tc>
          <w:tcPr>
            <w:tcW w:w="1276" w:type="dxa"/>
            <w:noWrap w:val="0"/>
            <w:vAlign w:val="center"/>
          </w:tcPr>
          <w:p>
            <w:pPr>
              <w:widowControl/>
              <w:rPr>
                <w:rFonts w:ascii="仿宋" w:hAnsi="仿宋" w:eastAsia="仿宋" w:cs="Times New Roman"/>
                <w:sz w:val="18"/>
                <w:szCs w:val="18"/>
              </w:rPr>
            </w:pPr>
            <w:r>
              <w:rPr>
                <w:rFonts w:hint="eastAsia" w:ascii="仿宋" w:hAnsi="仿宋" w:eastAsia="仿宋" w:cs="Times New Roman"/>
                <w:sz w:val="18"/>
                <w:szCs w:val="18"/>
              </w:rPr>
              <w:t>±5</w:t>
            </w:r>
            <w:r>
              <w:rPr>
                <w:rFonts w:ascii="仿宋" w:hAnsi="仿宋" w:eastAsia="仿宋" w:cs="Times New Roman"/>
                <w:sz w:val="18"/>
                <w:szCs w:val="18"/>
              </w:rPr>
              <w:t>K</w:t>
            </w:r>
            <w:r>
              <w:rPr>
                <w:rFonts w:hint="eastAsia" w:ascii="仿宋" w:hAnsi="仿宋" w:eastAsia="仿宋" w:cs="Times New Roman"/>
                <w:sz w:val="18"/>
                <w:szCs w:val="18"/>
              </w:rPr>
              <w:t>A（</w:t>
            </w:r>
            <w:r>
              <w:rPr>
                <w:rFonts w:ascii="仿宋" w:hAnsi="仿宋" w:eastAsia="仿宋" w:cs="Times New Roman"/>
                <w:sz w:val="18"/>
                <w:szCs w:val="18"/>
              </w:rPr>
              <w:t>8/20us）</w:t>
            </w:r>
          </w:p>
        </w:tc>
        <w:tc>
          <w:tcPr>
            <w:tcW w:w="1676" w:type="dxa"/>
            <w:noWrap w:val="0"/>
            <w:vAlign w:val="center"/>
          </w:tcPr>
          <w:p>
            <w:pPr>
              <w:widowControl/>
              <w:rPr>
                <w:rFonts w:ascii="仿宋" w:hAnsi="仿宋" w:eastAsia="仿宋" w:cs="Times New Roman"/>
                <w:sz w:val="18"/>
                <w:szCs w:val="18"/>
              </w:rPr>
            </w:pPr>
            <w:r>
              <w:rPr>
                <w:rFonts w:hint="eastAsia" w:ascii="仿宋" w:hAnsi="仿宋" w:eastAsia="仿宋" w:cs="Times New Roman"/>
                <w:sz w:val="18"/>
                <w:szCs w:val="18"/>
              </w:rPr>
              <w:t>±10</w:t>
            </w:r>
            <w:r>
              <w:rPr>
                <w:rFonts w:ascii="仿宋" w:hAnsi="仿宋" w:eastAsia="仿宋" w:cs="Times New Roman"/>
                <w:sz w:val="18"/>
                <w:szCs w:val="18"/>
              </w:rPr>
              <w:t>K</w:t>
            </w:r>
            <w:r>
              <w:rPr>
                <w:rFonts w:hint="eastAsia" w:ascii="仿宋" w:hAnsi="仿宋" w:eastAsia="仿宋" w:cs="Times New Roman"/>
                <w:sz w:val="18"/>
                <w:szCs w:val="18"/>
              </w:rPr>
              <w:t>A（</w:t>
            </w:r>
            <w:r>
              <w:rPr>
                <w:rFonts w:ascii="仿宋" w:hAnsi="仿宋" w:eastAsia="仿宋" w:cs="Times New Roman"/>
                <w:sz w:val="18"/>
                <w:szCs w:val="18"/>
              </w:rPr>
              <w:t>8/20us）</w:t>
            </w:r>
          </w:p>
        </w:tc>
        <w:tc>
          <w:tcPr>
            <w:tcW w:w="1276" w:type="dxa"/>
            <w:noWrap w:val="0"/>
            <w:vAlign w:val="center"/>
          </w:tcPr>
          <w:p>
            <w:pPr>
              <w:widowControl/>
              <w:rPr>
                <w:rFonts w:ascii="仿宋" w:hAnsi="仿宋" w:eastAsia="仿宋" w:cs="Times New Roman"/>
                <w:sz w:val="18"/>
                <w:szCs w:val="18"/>
              </w:rPr>
            </w:pPr>
            <w:r>
              <w:rPr>
                <w:rFonts w:hint="eastAsia" w:ascii="仿宋" w:hAnsi="仿宋" w:eastAsia="仿宋" w:cs="Times New Roman"/>
                <w:sz w:val="18"/>
                <w:szCs w:val="18"/>
              </w:rPr>
              <w:t>±3</w:t>
            </w:r>
            <w:r>
              <w:rPr>
                <w:rFonts w:ascii="仿宋" w:hAnsi="仿宋" w:eastAsia="仿宋" w:cs="Times New Roman"/>
                <w:sz w:val="18"/>
                <w:szCs w:val="18"/>
              </w:rPr>
              <w:t>K</w:t>
            </w:r>
            <w:r>
              <w:rPr>
                <w:rFonts w:hint="eastAsia" w:ascii="仿宋" w:hAnsi="仿宋" w:eastAsia="仿宋" w:cs="Times New Roman"/>
                <w:sz w:val="18"/>
                <w:szCs w:val="18"/>
              </w:rPr>
              <w:t>A（</w:t>
            </w:r>
            <w:r>
              <w:rPr>
                <w:rFonts w:ascii="仿宋" w:hAnsi="仿宋" w:eastAsia="仿宋" w:cs="Times New Roman"/>
                <w:sz w:val="18"/>
                <w:szCs w:val="18"/>
              </w:rPr>
              <w:t>8/20us）</w:t>
            </w:r>
          </w:p>
        </w:tc>
        <w:tc>
          <w:tcPr>
            <w:tcW w:w="1385" w:type="dxa"/>
            <w:noWrap w:val="0"/>
            <w:vAlign w:val="center"/>
          </w:tcPr>
          <w:p>
            <w:pPr>
              <w:widowControl/>
              <w:rPr>
                <w:rFonts w:ascii="仿宋" w:hAnsi="仿宋" w:eastAsia="仿宋" w:cs="Times New Roman"/>
                <w:sz w:val="18"/>
                <w:szCs w:val="18"/>
              </w:rPr>
            </w:pPr>
            <w:r>
              <w:rPr>
                <w:rFonts w:hint="eastAsia" w:ascii="仿宋" w:hAnsi="仿宋" w:eastAsia="仿宋" w:cs="Times New Roman"/>
                <w:sz w:val="18"/>
                <w:szCs w:val="18"/>
              </w:rPr>
              <w:t>±3</w:t>
            </w:r>
            <w:r>
              <w:rPr>
                <w:rFonts w:ascii="仿宋" w:hAnsi="仿宋" w:eastAsia="仿宋" w:cs="Times New Roman"/>
                <w:sz w:val="18"/>
                <w:szCs w:val="18"/>
              </w:rPr>
              <w:t>K</w:t>
            </w:r>
            <w:r>
              <w:rPr>
                <w:rFonts w:hint="eastAsia" w:ascii="仿宋" w:hAnsi="仿宋" w:eastAsia="仿宋" w:cs="Times New Roman"/>
                <w:sz w:val="18"/>
                <w:szCs w:val="18"/>
              </w:rPr>
              <w:t>A（</w:t>
            </w:r>
            <w:r>
              <w:rPr>
                <w:rFonts w:ascii="仿宋" w:hAnsi="仿宋" w:eastAsia="仿宋" w:cs="Times New Roman"/>
                <w:sz w:val="18"/>
                <w:szCs w:val="18"/>
              </w:rPr>
              <w:t>8/20us）</w:t>
            </w:r>
          </w:p>
        </w:tc>
        <w:tc>
          <w:tcPr>
            <w:tcW w:w="1357" w:type="dxa"/>
            <w:noWrap w:val="0"/>
            <w:vAlign w:val="center"/>
          </w:tcPr>
          <w:p>
            <w:pPr>
              <w:widowControl/>
              <w:rPr>
                <w:rFonts w:ascii="仿宋" w:hAnsi="仿宋" w:eastAsia="仿宋" w:cs="Times New Roman"/>
                <w:sz w:val="18"/>
                <w:szCs w:val="18"/>
              </w:rPr>
            </w:pPr>
            <w:r>
              <w:rPr>
                <w:rFonts w:hint="eastAsia" w:ascii="仿宋" w:hAnsi="仿宋" w:eastAsia="仿宋" w:cs="Times New Roman"/>
                <w:sz w:val="18"/>
                <w:szCs w:val="18"/>
              </w:rPr>
              <w:t>±3</w:t>
            </w:r>
            <w:r>
              <w:rPr>
                <w:rFonts w:ascii="仿宋" w:hAnsi="仿宋" w:eastAsia="仿宋" w:cs="Times New Roman"/>
                <w:sz w:val="18"/>
                <w:szCs w:val="18"/>
              </w:rPr>
              <w:t>K</w:t>
            </w:r>
            <w:r>
              <w:rPr>
                <w:rFonts w:hint="eastAsia" w:ascii="仿宋" w:hAnsi="仿宋" w:eastAsia="仿宋" w:cs="Times New Roman"/>
                <w:sz w:val="18"/>
                <w:szCs w:val="18"/>
              </w:rPr>
              <w:t>A（</w:t>
            </w:r>
            <w:r>
              <w:rPr>
                <w:rFonts w:ascii="仿宋" w:hAnsi="仿宋" w:eastAsia="仿宋" w:cs="Times New Roman"/>
                <w:sz w:val="18"/>
                <w:szCs w:val="18"/>
              </w:rPr>
              <w:t>8/20us）</w:t>
            </w:r>
          </w:p>
        </w:tc>
      </w:tr>
    </w:tbl>
    <w:p>
      <w:pPr>
        <w:widowControl/>
        <w:numPr>
          <w:ilvl w:val="0"/>
          <w:numId w:val="199"/>
        </w:numPr>
        <w:spacing w:line="360" w:lineRule="auto"/>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采集器应通过以下电磁兼容试验和防御雷电要求：静电放电抗扰性试验（ESD）、电快速脉冲群抗扰性试验(EFT)、通过冲击抗扰性试验(SURGE)、连续传导干扰电压试验（EMI）、</w:t>
      </w:r>
      <w:r>
        <w:rPr>
          <w:rFonts w:ascii="仿宋" w:hAnsi="仿宋" w:eastAsia="仿宋" w:cs="Times New Roman"/>
          <w:sz w:val="28"/>
          <w:szCs w:val="28"/>
          <w:lang w:val="zh-CN"/>
        </w:rPr>
        <w:t>防御雷电</w:t>
      </w:r>
      <w:r>
        <w:rPr>
          <w:rFonts w:hint="eastAsia" w:ascii="仿宋" w:hAnsi="仿宋" w:eastAsia="仿宋" w:cs="Times New Roman"/>
          <w:sz w:val="28"/>
          <w:szCs w:val="28"/>
          <w:lang w:val="zh-CN"/>
        </w:rPr>
        <w:t>试验标准。供应商应提供国家认可的第三方认证机构（具备</w:t>
      </w:r>
      <w:r>
        <w:rPr>
          <w:rFonts w:ascii="仿宋" w:hAnsi="仿宋" w:eastAsia="仿宋" w:cs="Times New Roman"/>
          <w:sz w:val="28"/>
          <w:szCs w:val="28"/>
          <w:lang w:val="zh-CN"/>
        </w:rPr>
        <w:t>CMA</w:t>
      </w:r>
      <w:r>
        <w:rPr>
          <w:rFonts w:hint="eastAsia" w:ascii="仿宋" w:hAnsi="仿宋" w:eastAsia="仿宋" w:cs="Times New Roman"/>
          <w:sz w:val="28"/>
          <w:szCs w:val="28"/>
          <w:lang w:val="zh-CN"/>
        </w:rPr>
        <w:t>和</w:t>
      </w:r>
      <w:r>
        <w:rPr>
          <w:rFonts w:ascii="仿宋" w:hAnsi="仿宋" w:eastAsia="仿宋" w:cs="Times New Roman"/>
          <w:sz w:val="28"/>
          <w:szCs w:val="28"/>
          <w:lang w:val="zh-CN"/>
        </w:rPr>
        <w:t>CNAS</w:t>
      </w:r>
      <w:r>
        <w:rPr>
          <w:rFonts w:hint="eastAsia" w:ascii="仿宋" w:hAnsi="仿宋" w:eastAsia="仿宋" w:cs="Times New Roman"/>
          <w:sz w:val="28"/>
          <w:szCs w:val="28"/>
          <w:lang w:val="zh-CN"/>
        </w:rPr>
        <w:t>资质）关于防雷和电磁兼容试验的检测，并提供完整有效的检测报告证明文件。</w:t>
      </w:r>
    </w:p>
    <w:p>
      <w:pPr>
        <w:widowControl/>
        <w:numPr>
          <w:ilvl w:val="0"/>
          <w:numId w:val="199"/>
        </w:numPr>
        <w:spacing w:line="360" w:lineRule="auto"/>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采集器端口规格要求如下：</w:t>
      </w:r>
    </w:p>
    <w:p>
      <w:pPr>
        <w:widowControl/>
        <w:numPr>
          <w:ilvl w:val="0"/>
          <w:numId w:val="198"/>
        </w:numPr>
        <w:spacing w:line="360" w:lineRule="auto"/>
        <w:ind w:left="0" w:firstLine="567"/>
        <w:rPr>
          <w:rFonts w:ascii="仿宋" w:hAnsi="仿宋" w:eastAsia="仿宋" w:cs="Times New Roman"/>
          <w:sz w:val="28"/>
          <w:szCs w:val="20"/>
        </w:rPr>
      </w:pPr>
      <w:r>
        <w:rPr>
          <w:rFonts w:ascii="仿宋" w:hAnsi="仿宋" w:eastAsia="仿宋" w:cs="Times New Roman"/>
          <w:sz w:val="28"/>
          <w:szCs w:val="20"/>
        </w:rPr>
        <w:t>8路AI</w:t>
      </w:r>
      <w:r>
        <w:rPr>
          <w:rFonts w:hint="eastAsia" w:ascii="仿宋" w:hAnsi="仿宋" w:eastAsia="仿宋" w:cs="Times New Roman"/>
          <w:sz w:val="28"/>
          <w:szCs w:val="20"/>
        </w:rPr>
        <w:t>/DI通道、4路</w:t>
      </w:r>
      <w:r>
        <w:rPr>
          <w:rFonts w:ascii="仿宋" w:hAnsi="仿宋" w:eastAsia="仿宋" w:cs="Times New Roman"/>
          <w:sz w:val="28"/>
          <w:szCs w:val="20"/>
        </w:rPr>
        <w:t>DI</w:t>
      </w:r>
      <w:r>
        <w:rPr>
          <w:rFonts w:hint="eastAsia" w:ascii="仿宋" w:hAnsi="仿宋" w:eastAsia="仿宋" w:cs="Times New Roman"/>
          <w:sz w:val="28"/>
          <w:szCs w:val="20"/>
        </w:rPr>
        <w:t>通道和4</w:t>
      </w:r>
      <w:r>
        <w:rPr>
          <w:rFonts w:ascii="仿宋" w:hAnsi="仿宋" w:eastAsia="仿宋" w:cs="Times New Roman"/>
          <w:sz w:val="28"/>
          <w:szCs w:val="20"/>
        </w:rPr>
        <w:t>路DO通道</w:t>
      </w:r>
    </w:p>
    <w:p>
      <w:pPr>
        <w:widowControl/>
        <w:numPr>
          <w:ilvl w:val="0"/>
          <w:numId w:val="198"/>
        </w:numPr>
        <w:spacing w:line="360" w:lineRule="auto"/>
        <w:ind w:left="0" w:firstLine="567"/>
        <w:rPr>
          <w:rFonts w:ascii="仿宋" w:hAnsi="仿宋" w:eastAsia="仿宋" w:cs="Times New Roman"/>
          <w:sz w:val="28"/>
          <w:szCs w:val="20"/>
        </w:rPr>
      </w:pPr>
      <w:r>
        <w:rPr>
          <w:rFonts w:hint="eastAsia" w:ascii="仿宋" w:hAnsi="仿宋" w:eastAsia="仿宋" w:cs="Times New Roman"/>
          <w:sz w:val="28"/>
          <w:szCs w:val="20"/>
        </w:rPr>
        <w:t>8</w:t>
      </w:r>
      <w:r>
        <w:rPr>
          <w:rFonts w:ascii="仿宋" w:hAnsi="仿宋" w:eastAsia="仿宋" w:cs="Times New Roman"/>
          <w:sz w:val="28"/>
          <w:szCs w:val="20"/>
        </w:rPr>
        <w:t>路串口，其中4路RS232/485</w:t>
      </w:r>
      <w:r>
        <w:rPr>
          <w:rFonts w:hint="eastAsia" w:ascii="仿宋" w:hAnsi="仿宋" w:eastAsia="仿宋" w:cs="Times New Roman"/>
          <w:sz w:val="28"/>
          <w:szCs w:val="20"/>
        </w:rPr>
        <w:t>复用</w:t>
      </w:r>
      <w:r>
        <w:rPr>
          <w:rFonts w:ascii="仿宋" w:hAnsi="仿宋" w:eastAsia="仿宋" w:cs="Times New Roman"/>
          <w:sz w:val="28"/>
          <w:szCs w:val="20"/>
        </w:rPr>
        <w:t>，4路RS485接口</w:t>
      </w:r>
    </w:p>
    <w:p>
      <w:pPr>
        <w:widowControl/>
        <w:numPr>
          <w:ilvl w:val="0"/>
          <w:numId w:val="198"/>
        </w:numPr>
        <w:spacing w:line="360" w:lineRule="auto"/>
        <w:ind w:left="0" w:firstLine="567"/>
        <w:rPr>
          <w:rFonts w:ascii="仿宋" w:hAnsi="仿宋" w:eastAsia="仿宋" w:cs="Times New Roman"/>
          <w:sz w:val="28"/>
          <w:szCs w:val="20"/>
        </w:rPr>
      </w:pPr>
      <w:r>
        <w:rPr>
          <w:rFonts w:hint="eastAsia" w:ascii="仿宋" w:hAnsi="仿宋" w:eastAsia="仿宋" w:cs="Times New Roman"/>
          <w:sz w:val="28"/>
          <w:szCs w:val="20"/>
        </w:rPr>
        <w:t>2个</w:t>
      </w:r>
      <w:r>
        <w:rPr>
          <w:rFonts w:ascii="仿宋" w:hAnsi="仿宋" w:eastAsia="仿宋" w:cs="Times New Roman"/>
          <w:sz w:val="28"/>
          <w:szCs w:val="20"/>
        </w:rPr>
        <w:t>扩展卡位，扩展IO</w:t>
      </w:r>
      <w:r>
        <w:rPr>
          <w:rFonts w:hint="eastAsia" w:ascii="仿宋" w:hAnsi="仿宋" w:eastAsia="仿宋" w:cs="Times New Roman"/>
          <w:sz w:val="28"/>
          <w:szCs w:val="20"/>
        </w:rPr>
        <w:t>、</w:t>
      </w:r>
      <w:r>
        <w:rPr>
          <w:rFonts w:ascii="仿宋" w:hAnsi="仿宋" w:eastAsia="仿宋" w:cs="Times New Roman"/>
          <w:sz w:val="28"/>
          <w:szCs w:val="20"/>
        </w:rPr>
        <w:t>串口和</w:t>
      </w:r>
      <w:r>
        <w:rPr>
          <w:rFonts w:hint="eastAsia" w:ascii="仿宋" w:hAnsi="仿宋" w:eastAsia="仿宋" w:cs="Times New Roman"/>
          <w:sz w:val="28"/>
          <w:szCs w:val="20"/>
        </w:rPr>
        <w:t>光纤</w:t>
      </w:r>
      <w:r>
        <w:rPr>
          <w:rFonts w:ascii="仿宋" w:hAnsi="仿宋" w:eastAsia="仿宋" w:cs="Times New Roman"/>
          <w:sz w:val="28"/>
          <w:szCs w:val="20"/>
        </w:rPr>
        <w:t>传输板</w:t>
      </w:r>
      <w:r>
        <w:rPr>
          <w:rFonts w:hint="eastAsia" w:ascii="仿宋" w:hAnsi="仿宋" w:eastAsia="仿宋" w:cs="Times New Roman"/>
          <w:sz w:val="28"/>
          <w:szCs w:val="20"/>
        </w:rPr>
        <w:t>卡</w:t>
      </w:r>
    </w:p>
    <w:p>
      <w:pPr>
        <w:widowControl/>
        <w:numPr>
          <w:ilvl w:val="0"/>
          <w:numId w:val="198"/>
        </w:numPr>
        <w:spacing w:line="360" w:lineRule="auto"/>
        <w:ind w:left="0" w:firstLine="567"/>
        <w:rPr>
          <w:rFonts w:ascii="仿宋" w:hAnsi="仿宋" w:eastAsia="仿宋" w:cs="Times New Roman"/>
          <w:sz w:val="28"/>
          <w:szCs w:val="20"/>
        </w:rPr>
      </w:pPr>
      <w:r>
        <w:rPr>
          <w:rFonts w:hint="eastAsia" w:ascii="仿宋" w:hAnsi="仿宋" w:eastAsia="仿宋" w:cs="Times New Roman"/>
          <w:sz w:val="28"/>
          <w:szCs w:val="20"/>
        </w:rPr>
        <w:t>4</w:t>
      </w:r>
      <w:r>
        <w:rPr>
          <w:rFonts w:ascii="仿宋" w:hAnsi="仿宋" w:eastAsia="仿宋" w:cs="Times New Roman"/>
          <w:sz w:val="28"/>
          <w:szCs w:val="20"/>
        </w:rPr>
        <w:t>路</w:t>
      </w:r>
      <w:r>
        <w:rPr>
          <w:rFonts w:hint="eastAsia" w:ascii="仿宋" w:hAnsi="仿宋" w:eastAsia="仿宋" w:cs="Times New Roman"/>
          <w:sz w:val="28"/>
          <w:szCs w:val="20"/>
        </w:rPr>
        <w:t>10/100M自动兼容、交叉直连网线自适应网口，</w:t>
      </w:r>
      <w:r>
        <w:rPr>
          <w:rFonts w:ascii="仿宋" w:hAnsi="仿宋" w:eastAsia="仿宋" w:cs="Times New Roman"/>
          <w:sz w:val="28"/>
          <w:szCs w:val="20"/>
        </w:rPr>
        <w:t>支持VLAN</w:t>
      </w:r>
    </w:p>
    <w:p>
      <w:pPr>
        <w:widowControl/>
        <w:numPr>
          <w:ilvl w:val="0"/>
          <w:numId w:val="198"/>
        </w:numPr>
        <w:spacing w:line="360" w:lineRule="auto"/>
        <w:ind w:left="0" w:firstLine="567"/>
        <w:rPr>
          <w:rFonts w:ascii="仿宋" w:hAnsi="仿宋" w:eastAsia="仿宋" w:cs="Times New Roman"/>
          <w:sz w:val="28"/>
          <w:szCs w:val="20"/>
        </w:rPr>
      </w:pPr>
      <w:r>
        <w:rPr>
          <w:rFonts w:hint="eastAsia" w:ascii="仿宋" w:hAnsi="仿宋" w:eastAsia="仿宋" w:cs="Times New Roman"/>
          <w:sz w:val="28"/>
          <w:szCs w:val="20"/>
        </w:rPr>
        <w:t>1路</w:t>
      </w:r>
      <w:r>
        <w:rPr>
          <w:rFonts w:ascii="仿宋" w:hAnsi="仿宋" w:eastAsia="仿宋" w:cs="Times New Roman"/>
          <w:sz w:val="28"/>
          <w:szCs w:val="20"/>
        </w:rPr>
        <w:t>USB2.0标准</w:t>
      </w:r>
      <w:r>
        <w:rPr>
          <w:rFonts w:hint="eastAsia" w:ascii="仿宋" w:hAnsi="仿宋" w:eastAsia="仿宋" w:cs="Times New Roman"/>
          <w:sz w:val="28"/>
          <w:szCs w:val="20"/>
        </w:rPr>
        <w:t>接口和1个SD卡接口</w:t>
      </w:r>
    </w:p>
    <w:p>
      <w:pPr>
        <w:widowControl/>
        <w:numPr>
          <w:ilvl w:val="0"/>
          <w:numId w:val="199"/>
        </w:numPr>
        <w:spacing w:line="360" w:lineRule="auto"/>
        <w:ind w:firstLine="560" w:firstLineChars="200"/>
        <w:rPr>
          <w:rFonts w:ascii="仿宋" w:hAnsi="仿宋" w:eastAsia="仿宋" w:cs="Times New Roman"/>
          <w:sz w:val="28"/>
          <w:szCs w:val="28"/>
          <w:lang w:val="zh-CN"/>
        </w:rPr>
      </w:pPr>
      <w:r>
        <w:rPr>
          <w:rFonts w:hint="eastAsia" w:ascii="仿宋" w:hAnsi="仿宋" w:eastAsia="仿宋" w:cs="Times New Roman"/>
          <w:sz w:val="28"/>
          <w:szCs w:val="28"/>
          <w:lang w:val="zh-CN"/>
        </w:rPr>
        <w:t>采集器扩展卡位应支持以下扩展模块：</w:t>
      </w:r>
    </w:p>
    <w:tbl>
      <w:tblPr>
        <w:tblStyle w:val="2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noWrap w:val="0"/>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扩展</w:t>
            </w:r>
            <w:r>
              <w:rPr>
                <w:rFonts w:ascii="仿宋" w:hAnsi="仿宋" w:eastAsia="仿宋" w:cs="Times New Roman"/>
                <w:sz w:val="24"/>
                <w:szCs w:val="24"/>
              </w:rPr>
              <w:t>卡</w:t>
            </w:r>
          </w:p>
        </w:tc>
        <w:tc>
          <w:tcPr>
            <w:tcW w:w="6379" w:type="dxa"/>
            <w:noWrap w:val="0"/>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noWrap w:val="0"/>
            <w:vAlign w:val="center"/>
          </w:tcPr>
          <w:p>
            <w:pPr>
              <w:widowControl/>
              <w:rPr>
                <w:rFonts w:ascii="仿宋" w:hAnsi="仿宋" w:eastAsia="仿宋" w:cs="Times New Roman"/>
                <w:sz w:val="24"/>
                <w:szCs w:val="24"/>
              </w:rPr>
            </w:pPr>
            <w:r>
              <w:rPr>
                <w:rFonts w:hint="eastAsia" w:ascii="仿宋" w:hAnsi="仿宋" w:eastAsia="仿宋" w:cs="Times New Roman"/>
                <w:sz w:val="24"/>
                <w:szCs w:val="24"/>
              </w:rPr>
              <w:t>I</w:t>
            </w:r>
            <w:r>
              <w:rPr>
                <w:rFonts w:ascii="仿宋" w:hAnsi="仿宋" w:eastAsia="仿宋" w:cs="Times New Roman"/>
                <w:sz w:val="24"/>
                <w:szCs w:val="24"/>
              </w:rPr>
              <w:t>O</w:t>
            </w:r>
            <w:r>
              <w:rPr>
                <w:rFonts w:hint="eastAsia" w:ascii="仿宋" w:hAnsi="仿宋" w:eastAsia="仿宋" w:cs="Times New Roman"/>
                <w:sz w:val="24"/>
                <w:szCs w:val="24"/>
              </w:rPr>
              <w:t>扩展</w:t>
            </w:r>
            <w:r>
              <w:rPr>
                <w:rFonts w:ascii="仿宋" w:hAnsi="仿宋" w:eastAsia="仿宋" w:cs="Times New Roman"/>
                <w:sz w:val="24"/>
                <w:szCs w:val="24"/>
              </w:rPr>
              <w:t>卡</w:t>
            </w:r>
          </w:p>
        </w:tc>
        <w:tc>
          <w:tcPr>
            <w:tcW w:w="6379" w:type="dxa"/>
            <w:noWrap w:val="0"/>
            <w:vAlign w:val="center"/>
          </w:tcPr>
          <w:p>
            <w:pPr>
              <w:widowControl/>
              <w:rPr>
                <w:rFonts w:ascii="仿宋" w:hAnsi="仿宋" w:eastAsia="仿宋" w:cs="Times New Roman"/>
                <w:sz w:val="24"/>
                <w:szCs w:val="24"/>
              </w:rPr>
            </w:pPr>
            <w:r>
              <w:rPr>
                <w:rFonts w:ascii="仿宋" w:hAnsi="仿宋" w:eastAsia="仿宋" w:cs="Times New Roman"/>
                <w:sz w:val="24"/>
                <w:szCs w:val="24"/>
              </w:rPr>
              <w:t>8路</w:t>
            </w:r>
            <w:r>
              <w:rPr>
                <w:rFonts w:hint="eastAsia" w:ascii="仿宋" w:hAnsi="仿宋" w:eastAsia="仿宋" w:cs="Times New Roman"/>
                <w:sz w:val="24"/>
                <w:szCs w:val="24"/>
              </w:rPr>
              <w:t>AI</w:t>
            </w:r>
            <w:r>
              <w:rPr>
                <w:rFonts w:ascii="仿宋" w:hAnsi="仿宋" w:eastAsia="仿宋" w:cs="Times New Roman"/>
                <w:sz w:val="24"/>
                <w:szCs w:val="24"/>
              </w:rPr>
              <w:t>/</w:t>
            </w:r>
            <w:r>
              <w:rPr>
                <w:rFonts w:hint="eastAsia" w:ascii="仿宋" w:hAnsi="仿宋" w:eastAsia="仿宋" w:cs="Times New Roman"/>
                <w:sz w:val="24"/>
                <w:szCs w:val="24"/>
              </w:rPr>
              <w:t>DI通道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noWrap w:val="0"/>
            <w:vAlign w:val="center"/>
          </w:tcPr>
          <w:p>
            <w:pPr>
              <w:widowControl/>
              <w:rPr>
                <w:rFonts w:ascii="仿宋" w:hAnsi="仿宋" w:eastAsia="仿宋" w:cs="Times New Roman"/>
                <w:sz w:val="24"/>
                <w:szCs w:val="24"/>
              </w:rPr>
            </w:pPr>
            <w:r>
              <w:rPr>
                <w:rFonts w:hint="eastAsia" w:ascii="仿宋" w:hAnsi="仿宋" w:eastAsia="仿宋" w:cs="Times New Roman"/>
                <w:sz w:val="24"/>
                <w:szCs w:val="24"/>
              </w:rPr>
              <w:t>串口</w:t>
            </w:r>
            <w:r>
              <w:rPr>
                <w:rFonts w:ascii="仿宋" w:hAnsi="仿宋" w:eastAsia="仿宋" w:cs="Times New Roman"/>
                <w:sz w:val="24"/>
                <w:szCs w:val="24"/>
              </w:rPr>
              <w:t>扩展卡</w:t>
            </w:r>
          </w:p>
        </w:tc>
        <w:tc>
          <w:tcPr>
            <w:tcW w:w="6379" w:type="dxa"/>
            <w:noWrap w:val="0"/>
            <w:vAlign w:val="center"/>
          </w:tcPr>
          <w:p>
            <w:pPr>
              <w:widowControl/>
              <w:rPr>
                <w:rFonts w:ascii="仿宋" w:hAnsi="仿宋" w:eastAsia="仿宋" w:cs="Times New Roman"/>
                <w:sz w:val="24"/>
                <w:szCs w:val="24"/>
              </w:rPr>
            </w:pPr>
            <w:r>
              <w:rPr>
                <w:rFonts w:ascii="仿宋" w:hAnsi="仿宋" w:eastAsia="仿宋" w:cs="Times New Roman"/>
                <w:sz w:val="24"/>
                <w:szCs w:val="24"/>
              </w:rPr>
              <w:t>4路</w:t>
            </w:r>
            <w:r>
              <w:rPr>
                <w:rFonts w:hint="eastAsia" w:ascii="仿宋" w:hAnsi="仿宋" w:eastAsia="仿宋" w:cs="Times New Roman"/>
                <w:sz w:val="24"/>
                <w:szCs w:val="24"/>
              </w:rPr>
              <w:t>R</w:t>
            </w:r>
            <w:r>
              <w:rPr>
                <w:rFonts w:ascii="仿宋" w:hAnsi="仿宋" w:eastAsia="仿宋" w:cs="Times New Roman"/>
                <w:sz w:val="24"/>
                <w:szCs w:val="24"/>
              </w:rPr>
              <w:t>S485串口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noWrap w:val="0"/>
            <w:vAlign w:val="center"/>
          </w:tcPr>
          <w:p>
            <w:pPr>
              <w:widowControl/>
              <w:rPr>
                <w:rFonts w:ascii="仿宋" w:hAnsi="仿宋" w:eastAsia="仿宋" w:cs="Times New Roman"/>
                <w:sz w:val="24"/>
                <w:szCs w:val="24"/>
              </w:rPr>
            </w:pPr>
            <w:r>
              <w:rPr>
                <w:rFonts w:ascii="仿宋" w:hAnsi="仿宋" w:eastAsia="仿宋" w:cs="Times New Roman"/>
                <w:sz w:val="24"/>
                <w:szCs w:val="24"/>
              </w:rPr>
              <w:t>光口扩展卡</w:t>
            </w:r>
          </w:p>
        </w:tc>
        <w:tc>
          <w:tcPr>
            <w:tcW w:w="6379" w:type="dxa"/>
            <w:noWrap w:val="0"/>
            <w:vAlign w:val="center"/>
          </w:tcPr>
          <w:p>
            <w:pPr>
              <w:widowControl/>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路</w:t>
            </w:r>
            <w:r>
              <w:rPr>
                <w:rFonts w:hint="eastAsia" w:ascii="仿宋" w:hAnsi="仿宋" w:eastAsia="仿宋" w:cs="Times New Roman"/>
                <w:sz w:val="24"/>
                <w:szCs w:val="24"/>
              </w:rPr>
              <w:t>1</w:t>
            </w:r>
            <w:r>
              <w:rPr>
                <w:rFonts w:ascii="仿宋" w:hAnsi="仿宋" w:eastAsia="仿宋" w:cs="Times New Roman"/>
                <w:sz w:val="24"/>
                <w:szCs w:val="24"/>
              </w:rPr>
              <w:t>00M/1000M</w:t>
            </w:r>
            <w:r>
              <w:rPr>
                <w:rFonts w:hint="eastAsia" w:ascii="仿宋" w:hAnsi="仿宋" w:eastAsia="仿宋" w:cs="Times New Roman"/>
                <w:sz w:val="24"/>
                <w:szCs w:val="24"/>
              </w:rPr>
              <w:t>光口，</w:t>
            </w:r>
            <w:r>
              <w:rPr>
                <w:rFonts w:ascii="仿宋" w:hAnsi="仿宋" w:eastAsia="仿宋" w:cs="Times New Roman"/>
                <w:sz w:val="24"/>
                <w:szCs w:val="24"/>
              </w:rPr>
              <w:t>1路1000M电口，光口速率可设置</w:t>
            </w:r>
          </w:p>
        </w:tc>
      </w:tr>
    </w:tbl>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蓄电池检测仪要求</w:t>
      </w:r>
    </w:p>
    <w:p>
      <w:pPr>
        <w:widowControl/>
        <w:ind w:firstLine="480"/>
        <w:rPr>
          <w:rFonts w:ascii="仿宋" w:hAnsi="仿宋" w:eastAsia="仿宋" w:cs="Times New Roman"/>
          <w:color w:val="000000"/>
          <w:sz w:val="28"/>
          <w:szCs w:val="24"/>
        </w:rPr>
      </w:pPr>
      <w:r>
        <w:rPr>
          <w:rFonts w:hint="eastAsia" w:ascii="仿宋" w:hAnsi="仿宋" w:eastAsia="仿宋" w:cs="Times New Roman"/>
          <w:color w:val="000000"/>
          <w:sz w:val="28"/>
          <w:szCs w:val="24"/>
        </w:rPr>
        <w:t>蓄电池检测仪应采用模块化在线监测方案，对蓄电池电压、电流、内阻和抽样温度进行检测。</w:t>
      </w:r>
    </w:p>
    <w:p>
      <w:pPr>
        <w:widowControl/>
        <w:ind w:firstLine="480"/>
        <w:rPr>
          <w:rFonts w:ascii="仿宋" w:hAnsi="仿宋" w:eastAsia="仿宋" w:cs="Times New Roman"/>
          <w:color w:val="000000"/>
          <w:sz w:val="28"/>
          <w:szCs w:val="24"/>
        </w:rPr>
      </w:pPr>
      <w:r>
        <w:rPr>
          <w:rFonts w:hint="eastAsia" w:ascii="仿宋" w:hAnsi="仿宋" w:eastAsia="仿宋" w:cs="Times New Roman"/>
          <w:color w:val="000000"/>
          <w:sz w:val="28"/>
          <w:szCs w:val="24"/>
        </w:rPr>
        <w:t>要求检测模块具备高抗干扰设计，能阻挡大功率高频</w:t>
      </w:r>
      <w:r>
        <w:rPr>
          <w:rFonts w:ascii="仿宋" w:hAnsi="仿宋" w:eastAsia="仿宋" w:cs="Times New Roman"/>
          <w:color w:val="000000"/>
          <w:sz w:val="28"/>
          <w:szCs w:val="24"/>
        </w:rPr>
        <w:t>UPS</w:t>
      </w:r>
      <w:r>
        <w:rPr>
          <w:rFonts w:hint="eastAsia" w:ascii="仿宋" w:hAnsi="仿宋" w:eastAsia="仿宋" w:cs="Times New Roman"/>
          <w:color w:val="000000"/>
          <w:sz w:val="28"/>
          <w:szCs w:val="24"/>
        </w:rPr>
        <w:t>的纹波干扰，检测仪输出标准的MODBUS协议。</w:t>
      </w:r>
    </w:p>
    <w:p>
      <w:pPr>
        <w:widowControl/>
        <w:ind w:firstLine="480"/>
        <w:rPr>
          <w:rFonts w:ascii="仿宋" w:hAnsi="仿宋" w:eastAsia="仿宋" w:cs="Times New Roman"/>
          <w:color w:val="000000"/>
          <w:sz w:val="28"/>
          <w:szCs w:val="24"/>
        </w:rPr>
      </w:pPr>
      <w:r>
        <w:rPr>
          <w:rFonts w:hint="eastAsia" w:ascii="仿宋" w:hAnsi="仿宋" w:eastAsia="仿宋" w:cs="Times New Roman"/>
          <w:color w:val="000000"/>
          <w:sz w:val="28"/>
          <w:szCs w:val="24"/>
        </w:rPr>
        <w:t>检测精度应满足以下要求：</w:t>
      </w:r>
    </w:p>
    <w:p>
      <w:pPr>
        <w:widowControl/>
        <w:numPr>
          <w:ilvl w:val="0"/>
          <w:numId w:val="198"/>
        </w:numPr>
        <w:spacing w:line="360" w:lineRule="auto"/>
        <w:ind w:left="0" w:firstLine="567"/>
        <w:rPr>
          <w:rFonts w:ascii="仿宋" w:hAnsi="仿宋" w:eastAsia="仿宋" w:cs="Times New Roman"/>
          <w:sz w:val="28"/>
          <w:szCs w:val="20"/>
        </w:rPr>
      </w:pPr>
      <w:r>
        <w:rPr>
          <w:rFonts w:hint="eastAsia" w:ascii="仿宋" w:hAnsi="仿宋" w:eastAsia="仿宋" w:cs="Times New Roman"/>
          <w:sz w:val="28"/>
          <w:szCs w:val="20"/>
        </w:rPr>
        <w:t>单体电压：0.</w:t>
      </w:r>
      <w:r>
        <w:rPr>
          <w:rFonts w:ascii="仿宋" w:hAnsi="仿宋" w:eastAsia="仿宋" w:cs="Times New Roman"/>
          <w:sz w:val="28"/>
          <w:szCs w:val="20"/>
        </w:rPr>
        <w:t>1</w:t>
      </w:r>
      <w:r>
        <w:rPr>
          <w:rFonts w:hint="eastAsia" w:ascii="仿宋" w:hAnsi="仿宋" w:eastAsia="仿宋" w:cs="Times New Roman"/>
          <w:sz w:val="28"/>
          <w:szCs w:val="20"/>
        </w:rPr>
        <w:t>%</w:t>
      </w:r>
    </w:p>
    <w:p>
      <w:pPr>
        <w:widowControl/>
        <w:numPr>
          <w:ilvl w:val="0"/>
          <w:numId w:val="198"/>
        </w:numPr>
        <w:spacing w:line="360" w:lineRule="auto"/>
        <w:ind w:left="0" w:firstLine="567"/>
        <w:rPr>
          <w:rFonts w:ascii="仿宋" w:hAnsi="仿宋" w:eastAsia="仿宋" w:cs="Times New Roman"/>
          <w:sz w:val="28"/>
          <w:szCs w:val="20"/>
        </w:rPr>
      </w:pPr>
      <w:r>
        <w:rPr>
          <w:rFonts w:hint="eastAsia" w:ascii="仿宋" w:hAnsi="仿宋" w:eastAsia="仿宋" w:cs="Times New Roman"/>
          <w:sz w:val="28"/>
          <w:szCs w:val="20"/>
        </w:rPr>
        <w:t>单体内阻：2%</w:t>
      </w:r>
    </w:p>
    <w:p>
      <w:pPr>
        <w:widowControl/>
        <w:numPr>
          <w:ilvl w:val="0"/>
          <w:numId w:val="198"/>
        </w:numPr>
        <w:spacing w:line="360" w:lineRule="auto"/>
        <w:ind w:left="0" w:firstLine="567"/>
        <w:rPr>
          <w:rFonts w:ascii="仿宋" w:hAnsi="仿宋" w:eastAsia="仿宋" w:cs="Times New Roman"/>
          <w:sz w:val="28"/>
          <w:szCs w:val="20"/>
        </w:rPr>
      </w:pPr>
      <w:r>
        <w:rPr>
          <w:rFonts w:hint="eastAsia" w:ascii="仿宋" w:hAnsi="仿宋" w:eastAsia="仿宋" w:cs="Times New Roman"/>
          <w:sz w:val="28"/>
          <w:szCs w:val="20"/>
        </w:rPr>
        <w:t>充放电电流：1%</w:t>
      </w:r>
    </w:p>
    <w:p>
      <w:pPr>
        <w:widowControl/>
        <w:numPr>
          <w:ilvl w:val="0"/>
          <w:numId w:val="198"/>
        </w:numPr>
        <w:spacing w:line="360" w:lineRule="auto"/>
        <w:ind w:left="0" w:firstLine="567"/>
        <w:rPr>
          <w:rFonts w:ascii="仿宋" w:hAnsi="仿宋" w:eastAsia="仿宋" w:cs="Times New Roman"/>
          <w:sz w:val="28"/>
          <w:szCs w:val="20"/>
        </w:rPr>
      </w:pPr>
      <w:r>
        <w:rPr>
          <w:rFonts w:hint="eastAsia" w:ascii="仿宋" w:hAnsi="仿宋" w:eastAsia="仿宋" w:cs="Times New Roman"/>
          <w:sz w:val="28"/>
          <w:szCs w:val="20"/>
        </w:rPr>
        <w:t>表面温度：1%</w:t>
      </w:r>
    </w:p>
    <w:p>
      <w:pPr>
        <w:widowControl/>
        <w:spacing w:line="360" w:lineRule="auto"/>
        <w:ind w:firstLine="482"/>
        <w:rPr>
          <w:rFonts w:ascii="仿宋" w:hAnsi="仿宋" w:eastAsia="仿宋" w:cs="Times New Roman"/>
          <w:color w:val="000000"/>
          <w:sz w:val="28"/>
          <w:szCs w:val="24"/>
        </w:rPr>
      </w:pPr>
      <w:r>
        <w:rPr>
          <w:rFonts w:hint="eastAsia" w:ascii="仿宋" w:hAnsi="仿宋" w:eastAsia="仿宋" w:cs="Times New Roman"/>
          <w:color w:val="000000"/>
          <w:sz w:val="28"/>
          <w:szCs w:val="24"/>
        </w:rPr>
        <w:t>蓄电池检测仪应满足以下电磁兼容和安规标准要求，EMC: EN61326-1:2013、EN61326-2-1:2013；Safety:EN61010-1:2010、UL61010-1:2013。</w:t>
      </w:r>
    </w:p>
    <w:p>
      <w:pPr>
        <w:keepNext/>
        <w:keepLines/>
        <w:numPr>
          <w:ilvl w:val="4"/>
          <w:numId w:val="2"/>
        </w:numPr>
        <w:spacing w:before="0" w:beforeLines="0" w:after="0" w:afterLines="0" w:line="560" w:lineRule="exact"/>
        <w:ind w:left="0" w:firstLine="0"/>
        <w:jc w:val="both"/>
        <w:outlineLvl w:val="4"/>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机柜微环境无线温度采集要求</w:t>
      </w:r>
    </w:p>
    <w:p>
      <w:pPr>
        <w:widowControl/>
        <w:spacing w:line="360" w:lineRule="auto"/>
        <w:ind w:firstLine="482"/>
        <w:rPr>
          <w:rFonts w:ascii="仿宋" w:hAnsi="仿宋" w:eastAsia="仿宋" w:cs="Times New Roman"/>
          <w:color w:val="000000"/>
          <w:sz w:val="28"/>
          <w:szCs w:val="24"/>
        </w:rPr>
      </w:pPr>
      <w:r>
        <w:rPr>
          <w:rFonts w:hint="eastAsia" w:ascii="仿宋" w:hAnsi="仿宋" w:eastAsia="仿宋" w:cs="Times New Roman"/>
          <w:color w:val="000000"/>
          <w:sz w:val="28"/>
          <w:szCs w:val="24"/>
        </w:rPr>
        <w:t>机柜微环境无线采集方案由无线采集器和无线温度探讨两部分组成，无线采集器通过Zig</w:t>
      </w:r>
      <w:r>
        <w:rPr>
          <w:rFonts w:ascii="仿宋" w:hAnsi="仿宋" w:eastAsia="仿宋" w:cs="Times New Roman"/>
          <w:color w:val="000000"/>
          <w:sz w:val="28"/>
          <w:szCs w:val="24"/>
        </w:rPr>
        <w:t>B</w:t>
      </w:r>
      <w:r>
        <w:rPr>
          <w:rFonts w:hint="eastAsia" w:ascii="仿宋" w:hAnsi="仿宋" w:eastAsia="仿宋" w:cs="Times New Roman"/>
          <w:color w:val="000000"/>
          <w:sz w:val="28"/>
          <w:szCs w:val="24"/>
        </w:rPr>
        <w:t>ee协议获取温度信息，并通过网络传输给</w:t>
      </w:r>
      <w:r>
        <w:rPr>
          <w:rFonts w:ascii="仿宋" w:hAnsi="仿宋" w:eastAsia="仿宋" w:cs="Times New Roman"/>
          <w:color w:val="000000"/>
          <w:sz w:val="28"/>
          <w:szCs w:val="24"/>
        </w:rPr>
        <w:t>DCIM</w:t>
      </w:r>
      <w:r>
        <w:rPr>
          <w:rFonts w:hint="eastAsia" w:ascii="仿宋" w:hAnsi="仿宋" w:eastAsia="仿宋" w:cs="Times New Roman"/>
          <w:color w:val="000000"/>
          <w:sz w:val="28"/>
          <w:szCs w:val="24"/>
        </w:rPr>
        <w:t>管理中心。</w:t>
      </w:r>
    </w:p>
    <w:p>
      <w:pPr>
        <w:widowControl/>
        <w:spacing w:line="360" w:lineRule="auto"/>
        <w:ind w:firstLine="482"/>
        <w:rPr>
          <w:rFonts w:hint="eastAsia" w:ascii="仿宋" w:hAnsi="仿宋" w:eastAsia="仿宋" w:cs="Times New Roman"/>
          <w:color w:val="000000"/>
          <w:sz w:val="28"/>
          <w:szCs w:val="24"/>
        </w:rPr>
      </w:pPr>
      <w:r>
        <w:rPr>
          <w:rFonts w:hint="eastAsia" w:ascii="仿宋" w:hAnsi="仿宋" w:eastAsia="仿宋" w:cs="Times New Roman"/>
          <w:color w:val="000000"/>
          <w:sz w:val="28"/>
          <w:szCs w:val="24"/>
        </w:rPr>
        <w:t>无线采集器要求如下：</w:t>
      </w:r>
    </w:p>
    <w:p>
      <w:pPr>
        <w:widowControl/>
        <w:numPr>
          <w:ilvl w:val="0"/>
          <w:numId w:val="198"/>
        </w:numPr>
        <w:spacing w:line="360" w:lineRule="auto"/>
        <w:ind w:left="0" w:firstLine="567"/>
        <w:rPr>
          <w:rFonts w:hint="eastAsia" w:ascii="仿宋" w:hAnsi="仿宋" w:eastAsia="仿宋" w:cs="Times New Roman"/>
          <w:sz w:val="28"/>
          <w:szCs w:val="20"/>
        </w:rPr>
      </w:pPr>
      <w:r>
        <w:rPr>
          <w:rFonts w:hint="eastAsia" w:ascii="仿宋" w:hAnsi="仿宋" w:eastAsia="仿宋" w:cs="Times New Roman"/>
          <w:sz w:val="28"/>
          <w:szCs w:val="20"/>
        </w:rPr>
        <w:t>1路ZigBee天线接口</w:t>
      </w:r>
    </w:p>
    <w:p>
      <w:pPr>
        <w:widowControl/>
        <w:numPr>
          <w:ilvl w:val="0"/>
          <w:numId w:val="198"/>
        </w:numPr>
        <w:spacing w:line="360" w:lineRule="auto"/>
        <w:ind w:left="0" w:firstLine="567"/>
        <w:rPr>
          <w:rFonts w:ascii="仿宋" w:hAnsi="仿宋" w:eastAsia="仿宋" w:cs="Times New Roman"/>
          <w:sz w:val="28"/>
          <w:szCs w:val="20"/>
        </w:rPr>
      </w:pPr>
      <w:r>
        <w:rPr>
          <w:rFonts w:hint="eastAsia" w:ascii="仿宋" w:hAnsi="仿宋" w:eastAsia="仿宋" w:cs="Times New Roman"/>
          <w:sz w:val="28"/>
          <w:szCs w:val="20"/>
        </w:rPr>
        <w:t>2路</w:t>
      </w:r>
      <w:r>
        <w:rPr>
          <w:rFonts w:ascii="仿宋" w:hAnsi="仿宋" w:eastAsia="仿宋" w:cs="Times New Roman"/>
          <w:sz w:val="28"/>
          <w:szCs w:val="20"/>
        </w:rPr>
        <w:t>10M/100M</w:t>
      </w:r>
      <w:r>
        <w:rPr>
          <w:rFonts w:hint="eastAsia" w:ascii="仿宋" w:hAnsi="仿宋" w:eastAsia="仿宋" w:cs="Times New Roman"/>
          <w:sz w:val="28"/>
          <w:szCs w:val="20"/>
        </w:rPr>
        <w:t>自适应以太网口</w:t>
      </w:r>
    </w:p>
    <w:p>
      <w:pPr>
        <w:widowControl/>
        <w:numPr>
          <w:ilvl w:val="0"/>
          <w:numId w:val="198"/>
        </w:numPr>
        <w:spacing w:line="360" w:lineRule="auto"/>
        <w:ind w:left="0" w:firstLine="567"/>
        <w:rPr>
          <w:rFonts w:hint="eastAsia" w:ascii="仿宋" w:hAnsi="仿宋" w:eastAsia="仿宋" w:cs="Times New Roman"/>
          <w:sz w:val="28"/>
          <w:szCs w:val="20"/>
        </w:rPr>
      </w:pPr>
      <w:r>
        <w:rPr>
          <w:rFonts w:hint="eastAsia" w:ascii="仿宋" w:hAnsi="仿宋" w:eastAsia="仿宋" w:cs="Times New Roman"/>
          <w:sz w:val="28"/>
          <w:szCs w:val="20"/>
        </w:rPr>
        <w:t>1路CONSOLE调试口：</w:t>
      </w:r>
      <w:r>
        <w:rPr>
          <w:rFonts w:ascii="仿宋" w:hAnsi="仿宋" w:eastAsia="仿宋" w:cs="Times New Roman"/>
          <w:sz w:val="28"/>
          <w:szCs w:val="20"/>
        </w:rPr>
        <w:t>RS232</w:t>
      </w:r>
      <w:r>
        <w:rPr>
          <w:rFonts w:hint="eastAsia" w:ascii="仿宋" w:hAnsi="仿宋" w:eastAsia="仿宋" w:cs="Times New Roman"/>
          <w:sz w:val="28"/>
          <w:szCs w:val="20"/>
        </w:rPr>
        <w:t>接口，波特率</w:t>
      </w:r>
      <w:r>
        <w:rPr>
          <w:rFonts w:ascii="仿宋" w:hAnsi="仿宋" w:eastAsia="仿宋" w:cs="Times New Roman"/>
          <w:sz w:val="28"/>
          <w:szCs w:val="20"/>
        </w:rPr>
        <w:t>115200bps</w:t>
      </w:r>
      <w:r>
        <w:rPr>
          <w:rFonts w:hint="eastAsia" w:ascii="仿宋" w:hAnsi="仿宋" w:eastAsia="仿宋" w:cs="Times New Roman"/>
          <w:sz w:val="28"/>
          <w:szCs w:val="20"/>
        </w:rPr>
        <w:t>/N/8/1。</w:t>
      </w:r>
    </w:p>
    <w:p>
      <w:pPr>
        <w:widowControl/>
        <w:numPr>
          <w:ilvl w:val="0"/>
          <w:numId w:val="198"/>
        </w:numPr>
        <w:spacing w:line="360" w:lineRule="auto"/>
        <w:ind w:left="0" w:firstLine="567"/>
        <w:rPr>
          <w:rFonts w:hint="eastAsia" w:ascii="仿宋" w:hAnsi="仿宋" w:eastAsia="仿宋" w:cs="Times New Roman"/>
          <w:sz w:val="28"/>
          <w:szCs w:val="20"/>
        </w:rPr>
      </w:pPr>
      <w:r>
        <w:rPr>
          <w:rFonts w:hint="eastAsia" w:ascii="仿宋" w:hAnsi="仿宋" w:eastAsia="仿宋" w:cs="Times New Roman"/>
          <w:sz w:val="28"/>
          <w:szCs w:val="20"/>
        </w:rPr>
        <w:t>1路USB接口</w:t>
      </w:r>
    </w:p>
    <w:p>
      <w:pPr>
        <w:widowControl/>
        <w:spacing w:line="360" w:lineRule="auto"/>
        <w:ind w:firstLine="482"/>
        <w:rPr>
          <w:rFonts w:hint="eastAsia" w:ascii="仿宋" w:hAnsi="仿宋" w:eastAsia="仿宋" w:cs="Times New Roman"/>
          <w:color w:val="000000"/>
          <w:sz w:val="28"/>
          <w:szCs w:val="24"/>
        </w:rPr>
      </w:pPr>
      <w:r>
        <w:rPr>
          <w:rFonts w:hint="eastAsia" w:ascii="仿宋" w:hAnsi="仿宋" w:eastAsia="仿宋" w:cs="Times New Roman"/>
          <w:color w:val="000000"/>
          <w:sz w:val="28"/>
          <w:szCs w:val="24"/>
        </w:rPr>
        <w:t>无线温度探头要求如下：</w:t>
      </w:r>
    </w:p>
    <w:p>
      <w:pPr>
        <w:widowControl/>
        <w:numPr>
          <w:ilvl w:val="0"/>
          <w:numId w:val="198"/>
        </w:numPr>
        <w:spacing w:line="360" w:lineRule="auto"/>
        <w:ind w:left="0" w:firstLine="567"/>
        <w:rPr>
          <w:rFonts w:hint="eastAsia" w:ascii="仿宋" w:hAnsi="仿宋" w:eastAsia="仿宋" w:cs="Times New Roman"/>
          <w:sz w:val="28"/>
          <w:szCs w:val="20"/>
        </w:rPr>
      </w:pPr>
      <w:r>
        <w:rPr>
          <w:rFonts w:hint="eastAsia" w:ascii="仿宋" w:hAnsi="仿宋" w:eastAsia="仿宋" w:cs="Times New Roman"/>
          <w:sz w:val="28"/>
          <w:szCs w:val="20"/>
        </w:rPr>
        <w:t>6路温度检测</w:t>
      </w:r>
    </w:p>
    <w:p>
      <w:pPr>
        <w:widowControl/>
        <w:numPr>
          <w:ilvl w:val="0"/>
          <w:numId w:val="198"/>
        </w:numPr>
        <w:spacing w:line="360" w:lineRule="auto"/>
        <w:ind w:left="0" w:firstLine="567"/>
        <w:rPr>
          <w:rFonts w:hint="eastAsia" w:ascii="仿宋" w:hAnsi="仿宋" w:eastAsia="仿宋" w:cs="Times New Roman"/>
          <w:sz w:val="28"/>
          <w:szCs w:val="20"/>
        </w:rPr>
      </w:pPr>
      <w:r>
        <w:rPr>
          <w:rFonts w:hint="eastAsia" w:ascii="仿宋" w:hAnsi="仿宋" w:eastAsia="仿宋" w:cs="Times New Roman"/>
          <w:sz w:val="28"/>
          <w:szCs w:val="20"/>
        </w:rPr>
        <w:t>ZigBee无线传输协议伤处采集数据。</w:t>
      </w:r>
    </w:p>
    <w:p>
      <w:pPr>
        <w:widowControl/>
        <w:numPr>
          <w:ilvl w:val="0"/>
          <w:numId w:val="198"/>
        </w:numPr>
        <w:spacing w:line="360" w:lineRule="auto"/>
        <w:ind w:left="0" w:firstLine="567"/>
        <w:rPr>
          <w:rFonts w:ascii="仿宋" w:hAnsi="仿宋" w:eastAsia="仿宋" w:cs="Times New Roman"/>
          <w:sz w:val="28"/>
          <w:szCs w:val="20"/>
        </w:rPr>
      </w:pPr>
      <w:r>
        <w:rPr>
          <w:rFonts w:hint="eastAsia" w:ascii="仿宋" w:hAnsi="仿宋" w:eastAsia="仿宋" w:cs="Times New Roman"/>
          <w:sz w:val="28"/>
          <w:szCs w:val="20"/>
        </w:rPr>
        <w:t>电池供电维持不低于5年</w:t>
      </w:r>
    </w:p>
    <w:p>
      <w:pPr>
        <w:widowControl/>
        <w:spacing w:line="360" w:lineRule="auto"/>
        <w:ind w:left="567"/>
        <w:rPr>
          <w:rFonts w:hint="eastAsia" w:ascii="仿宋" w:hAnsi="仿宋" w:eastAsia="仿宋" w:cs="Times New Roman"/>
          <w:sz w:val="28"/>
          <w:szCs w:val="20"/>
        </w:rPr>
      </w:pPr>
    </w:p>
    <w:p>
      <w:pPr>
        <w:numPr>
          <w:ilvl w:val="3"/>
          <w:numId w:val="2"/>
        </w:numPr>
        <w:spacing w:before="0" w:beforeLines="0" w:after="0" w:afterLines="0" w:line="560" w:lineRule="exact"/>
        <w:ind w:left="0" w:firstLine="0"/>
        <w:jc w:val="both"/>
        <w:outlineLvl w:val="3"/>
        <w:rPr>
          <w:rFonts w:ascii="仿宋" w:hAnsi="仿宋" w:eastAsia="仿宋" w:cs="仿宋"/>
          <w:b/>
          <w:kern w:val="2"/>
          <w:sz w:val="28"/>
          <w:szCs w:val="28"/>
          <w:lang w:val="en-US" w:eastAsia="zh-CN" w:bidi="ar-SA"/>
        </w:rPr>
      </w:pPr>
      <w:bookmarkStart w:id="763" w:name="_Toc405821887"/>
      <w:bookmarkStart w:id="764" w:name="_Toc419720406"/>
      <w:bookmarkStart w:id="765" w:name="_Toc395861670"/>
      <w:bookmarkStart w:id="766" w:name="_Toc371930945"/>
      <w:r>
        <w:rPr>
          <w:rFonts w:hint="eastAsia" w:ascii="仿宋" w:hAnsi="仿宋" w:eastAsia="仿宋" w:cs="仿宋"/>
          <w:b/>
          <w:kern w:val="2"/>
          <w:sz w:val="28"/>
          <w:szCs w:val="28"/>
          <w:lang w:val="en-US" w:eastAsia="zh-CN" w:bidi="ar-SA"/>
        </w:rPr>
        <w:t>安装调测集成与验收</w:t>
      </w:r>
      <w:bookmarkEnd w:id="763"/>
      <w:bookmarkEnd w:id="764"/>
      <w:bookmarkEnd w:id="765"/>
      <w:bookmarkEnd w:id="766"/>
    </w:p>
    <w:p>
      <w:pPr>
        <w:keepNext/>
        <w:keepLines/>
        <w:numPr>
          <w:ilvl w:val="0"/>
          <w:numId w:val="200"/>
        </w:numPr>
        <w:spacing w:before="120" w:after="120"/>
        <w:ind w:firstLine="420" w:firstLineChars="0"/>
        <w:jc w:val="both"/>
        <w:outlineLvl w:val="1"/>
        <w:rPr>
          <w:rFonts w:ascii="仿宋" w:hAnsi="仿宋" w:eastAsia="仿宋" w:cs="Times New Roman"/>
          <w:b/>
          <w:bCs/>
          <w:vanish/>
          <w:kern w:val="2"/>
          <w:sz w:val="24"/>
          <w:szCs w:val="32"/>
          <w:lang w:val="en-US" w:eastAsia="zh-CN" w:bidi="ar-SA"/>
        </w:rPr>
      </w:pPr>
      <w:bookmarkStart w:id="767" w:name="_Toc24517"/>
      <w:bookmarkEnd w:id="767"/>
      <w:bookmarkStart w:id="768" w:name="_Toc324775514"/>
      <w:bookmarkStart w:id="769" w:name="_Toc371930946"/>
      <w:bookmarkStart w:id="770" w:name="_Toc395861671"/>
      <w:bookmarkStart w:id="771" w:name="_Toc405821888"/>
      <w:bookmarkStart w:id="772" w:name="_Toc419720407"/>
    </w:p>
    <w:p>
      <w:pPr>
        <w:keepNext/>
        <w:keepLines/>
        <w:numPr>
          <w:ilvl w:val="4"/>
          <w:numId w:val="2"/>
        </w:numPr>
        <w:spacing w:before="0" w:beforeLines="0" w:after="0" w:afterLines="0" w:line="560" w:lineRule="exact"/>
        <w:ind w:left="0" w:firstLine="0"/>
        <w:jc w:val="both"/>
        <w:outlineLvl w:val="4"/>
        <w:rPr>
          <w:rFonts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发货、安装、调试及开通</w:t>
      </w:r>
      <w:bookmarkEnd w:id="768"/>
      <w:bookmarkEnd w:id="769"/>
      <w:bookmarkEnd w:id="770"/>
      <w:bookmarkEnd w:id="771"/>
      <w:bookmarkEnd w:id="772"/>
    </w:p>
    <w:p>
      <w:pPr>
        <w:widowControl/>
        <w:ind w:firstLine="480"/>
        <w:textAlignment w:val="bottom"/>
        <w:rPr>
          <w:rFonts w:ascii="仿宋" w:hAnsi="仿宋" w:eastAsia="仿宋" w:cs="Times New Roman"/>
          <w:sz w:val="28"/>
          <w:szCs w:val="20"/>
        </w:rPr>
      </w:pPr>
      <w:r>
        <w:rPr>
          <w:rFonts w:hint="eastAsia" w:ascii="仿宋" w:hAnsi="仿宋" w:eastAsia="仿宋" w:cs="Times New Roman"/>
          <w:sz w:val="28"/>
          <w:szCs w:val="20"/>
        </w:rPr>
        <w:t>到货产品</w:t>
      </w:r>
      <w:r>
        <w:rPr>
          <w:rFonts w:ascii="仿宋" w:hAnsi="仿宋" w:eastAsia="仿宋" w:cs="Times New Roman"/>
          <w:sz w:val="28"/>
          <w:szCs w:val="20"/>
        </w:rPr>
        <w:t>必须包装完整，生产厂家，规格及型号，有出厂合格证。</w:t>
      </w:r>
      <w:r>
        <w:rPr>
          <w:rFonts w:hint="eastAsia" w:ascii="仿宋" w:hAnsi="仿宋" w:eastAsia="仿宋" w:cs="Times New Roman"/>
          <w:sz w:val="28"/>
          <w:szCs w:val="20"/>
        </w:rPr>
        <w:t>供货时，每箱应附有一张制造标签，内容包括生产厂名称与联系地址、项目、产品名称、规格、颜色、生产日期、检验人员代号、产品标准号、毛重量等。</w:t>
      </w:r>
    </w:p>
    <w:p>
      <w:pPr>
        <w:widowControl/>
        <w:ind w:firstLine="480"/>
        <w:textAlignment w:val="bottom"/>
        <w:rPr>
          <w:rFonts w:ascii="仿宋" w:hAnsi="仿宋" w:eastAsia="仿宋" w:cs="Times New Roman"/>
          <w:sz w:val="28"/>
          <w:szCs w:val="20"/>
        </w:rPr>
      </w:pPr>
      <w:r>
        <w:rPr>
          <w:rFonts w:hint="eastAsia" w:ascii="仿宋" w:hAnsi="仿宋" w:eastAsia="仿宋" w:cs="Times New Roman"/>
          <w:sz w:val="28"/>
          <w:szCs w:val="20"/>
        </w:rPr>
        <w:t>供应商按照建设规范要求实施数据中心机房的安装、调试和运行。</w:t>
      </w:r>
    </w:p>
    <w:p>
      <w:pPr>
        <w:keepNext/>
        <w:keepLines/>
        <w:numPr>
          <w:ilvl w:val="4"/>
          <w:numId w:val="2"/>
        </w:numPr>
        <w:spacing w:before="0" w:beforeLines="0" w:after="0" w:afterLines="0" w:line="560" w:lineRule="exact"/>
        <w:ind w:left="0" w:firstLine="0"/>
        <w:jc w:val="both"/>
        <w:outlineLvl w:val="4"/>
        <w:rPr>
          <w:rFonts w:ascii="仿宋" w:hAnsi="仿宋" w:eastAsia="仿宋" w:cs="仿宋"/>
          <w:b w:val="0"/>
          <w:bCs/>
          <w:kern w:val="2"/>
          <w:sz w:val="28"/>
          <w:szCs w:val="28"/>
          <w:lang w:val="en-US" w:eastAsia="zh-CN" w:bidi="ar-SA"/>
        </w:rPr>
      </w:pPr>
      <w:bookmarkStart w:id="773" w:name="_Toc419720408"/>
      <w:bookmarkStart w:id="774" w:name="_Toc395861673"/>
      <w:bookmarkStart w:id="775" w:name="_Toc405821889"/>
      <w:bookmarkStart w:id="776" w:name="_Toc371930948"/>
      <w:bookmarkStart w:id="777" w:name="_Toc324775516"/>
      <w:r>
        <w:rPr>
          <w:rFonts w:hint="eastAsia" w:ascii="仿宋" w:hAnsi="仿宋" w:eastAsia="仿宋" w:cs="仿宋"/>
          <w:b w:val="0"/>
          <w:bCs/>
          <w:kern w:val="2"/>
          <w:sz w:val="28"/>
          <w:szCs w:val="28"/>
          <w:lang w:val="en-US" w:eastAsia="zh-CN" w:bidi="ar-SA"/>
        </w:rPr>
        <w:t>验收与试运行</w:t>
      </w:r>
      <w:bookmarkEnd w:id="773"/>
      <w:bookmarkEnd w:id="774"/>
      <w:bookmarkEnd w:id="775"/>
      <w:bookmarkEnd w:id="776"/>
      <w:bookmarkEnd w:id="777"/>
    </w:p>
    <w:p>
      <w:pPr>
        <w:widowControl/>
        <w:ind w:firstLine="480"/>
        <w:textAlignment w:val="bottom"/>
        <w:rPr>
          <w:rFonts w:ascii="仿宋" w:hAnsi="仿宋" w:eastAsia="仿宋" w:cs="Times New Roman"/>
          <w:sz w:val="28"/>
          <w:szCs w:val="20"/>
        </w:rPr>
      </w:pPr>
      <w:r>
        <w:rPr>
          <w:rFonts w:hint="eastAsia" w:ascii="仿宋" w:hAnsi="仿宋" w:eastAsia="仿宋" w:cs="Times New Roman"/>
          <w:sz w:val="28"/>
          <w:szCs w:val="20"/>
        </w:rPr>
        <w:t>设备出厂前，用户有权派人到工厂进行检验，供应商应在设备出厂前提供出厂检验项目指标测试程序和检验方法，供用户参考，用户可根据需要进行补充和修改。</w:t>
      </w:r>
    </w:p>
    <w:p>
      <w:pPr>
        <w:widowControl/>
        <w:ind w:firstLine="480"/>
        <w:textAlignment w:val="bottom"/>
        <w:rPr>
          <w:rFonts w:ascii="仿宋" w:hAnsi="仿宋" w:eastAsia="仿宋" w:cs="Times New Roman"/>
          <w:sz w:val="28"/>
          <w:szCs w:val="20"/>
        </w:rPr>
      </w:pPr>
      <w:r>
        <w:rPr>
          <w:rFonts w:hint="eastAsia" w:ascii="仿宋" w:hAnsi="仿宋" w:eastAsia="仿宋" w:cs="Times New Roman"/>
          <w:sz w:val="28"/>
          <w:szCs w:val="20"/>
        </w:rPr>
        <w:t>设备运抵安装现场后，用户与供应商共同开箱验收，如供应商届时不派人到场，则验收结果应以用户和当地商检人员的验收报告为最终验收结果。验收时发现短缺、破损，用户有权要求供应商立即补发和负责更换。</w:t>
      </w:r>
    </w:p>
    <w:p>
      <w:pPr>
        <w:widowControl/>
        <w:ind w:firstLine="480"/>
        <w:textAlignment w:val="bottom"/>
        <w:rPr>
          <w:rFonts w:ascii="仿宋" w:hAnsi="仿宋" w:eastAsia="仿宋" w:cs="Times New Roman"/>
          <w:sz w:val="28"/>
          <w:szCs w:val="20"/>
        </w:rPr>
      </w:pPr>
      <w:r>
        <w:rPr>
          <w:rFonts w:hint="eastAsia" w:ascii="仿宋" w:hAnsi="仿宋" w:eastAsia="仿宋" w:cs="Times New Roman"/>
          <w:sz w:val="28"/>
          <w:szCs w:val="20"/>
        </w:rPr>
        <w:t>设备安装、调试达到技术规范书规定的指标后，可进行验收测试（初验）。验收规范（包括项目、指标、方式和测试仪器等）应由供应商在前一个月提交给用户。用户可根据合同及技术规范书和以及有关规定进行修改和补充，经双方确认后形成验收文件作为验收依据。割接验收测试合格后，双方签署初验合格协议， 设备进入试运行期。</w:t>
      </w:r>
    </w:p>
    <w:p>
      <w:pPr>
        <w:widowControl/>
        <w:ind w:firstLine="480"/>
        <w:textAlignment w:val="bottom"/>
        <w:rPr>
          <w:rFonts w:ascii="仿宋" w:hAnsi="仿宋" w:eastAsia="仿宋" w:cs="Times New Roman"/>
          <w:sz w:val="28"/>
          <w:szCs w:val="20"/>
        </w:rPr>
      </w:pPr>
      <w:r>
        <w:rPr>
          <w:rFonts w:hint="eastAsia" w:ascii="仿宋" w:hAnsi="仿宋" w:eastAsia="仿宋" w:cs="Times New Roman"/>
          <w:sz w:val="28"/>
          <w:szCs w:val="20"/>
        </w:rPr>
        <w:t>系统设备（包括软、硬件）初验后进入试运行期，试运行期为3个月，在</w:t>
      </w:r>
      <w:r>
        <w:rPr>
          <w:rFonts w:hint="eastAsia" w:ascii="仿宋" w:hAnsi="仿宋" w:eastAsia="仿宋" w:cs="Arial"/>
          <w:sz w:val="28"/>
          <w:szCs w:val="20"/>
        </w:rPr>
        <w:t>试</w:t>
      </w:r>
      <w:r>
        <w:rPr>
          <w:rFonts w:hint="eastAsia" w:ascii="仿宋" w:hAnsi="仿宋" w:eastAsia="仿宋" w:cs="Times New Roman"/>
          <w:sz w:val="28"/>
          <w:szCs w:val="20"/>
        </w:rPr>
        <w:t>运行期内出现重大问题则试运行期从重大问题解决之日起重新计算3个月。</w:t>
      </w:r>
    </w:p>
    <w:p>
      <w:pPr>
        <w:widowControl/>
        <w:ind w:firstLine="480"/>
        <w:textAlignment w:val="bottom"/>
        <w:rPr>
          <w:rFonts w:ascii="仿宋" w:hAnsi="仿宋" w:eastAsia="仿宋" w:cs="Times New Roman"/>
          <w:sz w:val="28"/>
          <w:szCs w:val="20"/>
        </w:rPr>
      </w:pPr>
      <w:r>
        <w:rPr>
          <w:rFonts w:hint="eastAsia" w:ascii="仿宋" w:hAnsi="仿宋" w:eastAsia="仿宋" w:cs="Times New Roman"/>
          <w:sz w:val="28"/>
          <w:szCs w:val="20"/>
        </w:rPr>
        <w:t>设备初验后经过3个月试运行期，达到技术规范书的要求时，可进行最终验收，终验全部通过，双方签署最终验收证书。</w:t>
      </w:r>
    </w:p>
    <w:p>
      <w:pPr>
        <w:widowControl/>
        <w:ind w:firstLine="480"/>
        <w:textAlignment w:val="bottom"/>
        <w:rPr>
          <w:rFonts w:ascii="仿宋" w:hAnsi="仿宋" w:eastAsia="仿宋" w:cs="Times New Roman"/>
          <w:sz w:val="28"/>
          <w:szCs w:val="20"/>
        </w:rPr>
      </w:pPr>
      <w:r>
        <w:rPr>
          <w:rFonts w:hint="eastAsia" w:ascii="仿宋" w:hAnsi="仿宋" w:eastAsia="仿宋" w:cs="Times New Roman"/>
          <w:sz w:val="28"/>
          <w:szCs w:val="20"/>
        </w:rPr>
        <w:t>验收时投标人提供合规的竣工资料。并提供系统使用手册电子档和纸质文档各5份。</w:t>
      </w:r>
    </w:p>
    <w:p>
      <w:pPr>
        <w:widowControl/>
        <w:ind w:firstLine="480"/>
        <w:textAlignment w:val="bottom"/>
        <w:rPr>
          <w:rFonts w:ascii="仿宋" w:hAnsi="仿宋" w:eastAsia="仿宋" w:cs="Times New Roman"/>
          <w:sz w:val="28"/>
          <w:szCs w:val="20"/>
        </w:rPr>
      </w:pPr>
      <w:r>
        <w:rPr>
          <w:rFonts w:hint="eastAsia" w:ascii="仿宋" w:hAnsi="仿宋" w:eastAsia="仿宋" w:cs="Times New Roman"/>
          <w:sz w:val="28"/>
          <w:szCs w:val="20"/>
        </w:rPr>
        <w:t>系统移交使用时，中标人需要安排系统维护人员的培训，培训人数不少于6人，能够熟练使用系统，并具备一定的故障应急处理能力，主采集器的故障更换恢复运行、服务器故障的重装及恢复运行。</w:t>
      </w:r>
    </w:p>
    <w:p>
      <w:pPr>
        <w:keepNext/>
        <w:keepLines/>
        <w:numPr>
          <w:ilvl w:val="4"/>
          <w:numId w:val="2"/>
        </w:numPr>
        <w:spacing w:before="0" w:beforeLines="0" w:after="0" w:afterLines="0" w:line="560" w:lineRule="exact"/>
        <w:ind w:left="0" w:firstLine="0"/>
        <w:jc w:val="both"/>
        <w:outlineLvl w:val="4"/>
        <w:rPr>
          <w:rFonts w:ascii="仿宋" w:hAnsi="仿宋" w:eastAsia="仿宋" w:cs="仿宋"/>
          <w:b w:val="0"/>
          <w:bCs/>
          <w:kern w:val="2"/>
          <w:sz w:val="28"/>
          <w:szCs w:val="28"/>
          <w:lang w:val="en-US" w:eastAsia="zh-CN" w:bidi="ar-SA"/>
        </w:rPr>
      </w:pPr>
      <w:bookmarkStart w:id="778" w:name="_Toc324775517"/>
      <w:bookmarkStart w:id="779" w:name="_Toc419720409"/>
      <w:bookmarkStart w:id="780" w:name="_Toc405821890"/>
      <w:bookmarkStart w:id="781" w:name="_Toc395861674"/>
      <w:bookmarkStart w:id="782" w:name="_Toc371930949"/>
      <w:r>
        <w:rPr>
          <w:rFonts w:hint="eastAsia" w:ascii="仿宋" w:hAnsi="仿宋" w:eastAsia="仿宋" w:cs="仿宋"/>
          <w:b w:val="0"/>
          <w:bCs/>
          <w:kern w:val="2"/>
          <w:sz w:val="28"/>
          <w:szCs w:val="28"/>
          <w:lang w:val="en-US" w:eastAsia="zh-CN" w:bidi="ar-SA"/>
        </w:rPr>
        <w:t>保修期及维保</w:t>
      </w:r>
      <w:bookmarkEnd w:id="778"/>
      <w:bookmarkEnd w:id="779"/>
      <w:bookmarkEnd w:id="780"/>
      <w:bookmarkEnd w:id="781"/>
      <w:bookmarkEnd w:id="782"/>
    </w:p>
    <w:p>
      <w:pPr>
        <w:widowControl/>
        <w:ind w:firstLine="480"/>
        <w:textAlignment w:val="bottom"/>
        <w:rPr>
          <w:rFonts w:ascii="仿宋" w:hAnsi="仿宋" w:eastAsia="仿宋" w:cs="Times New Roman"/>
          <w:sz w:val="28"/>
          <w:szCs w:val="20"/>
        </w:rPr>
      </w:pPr>
      <w:r>
        <w:rPr>
          <w:rFonts w:hint="eastAsia" w:ascii="仿宋" w:hAnsi="仿宋" w:eastAsia="仿宋" w:cs="Times New Roman"/>
          <w:sz w:val="28"/>
          <w:szCs w:val="20"/>
        </w:rPr>
        <w:t>所提供的设备，包括硬件和软件，要求1年的保修期，从工程通过最终验收开始计算。保修期间要保修除消耗品以外的所有设备。在保修期内，如果系统发生故障，要调查故障原因并修复直至满足最终验收指标和性能的要求，或者更换整个或部分有缺陷的材料。以上都应是免费的。</w:t>
      </w:r>
    </w:p>
    <w:p>
      <w:pPr>
        <w:widowControl/>
        <w:ind w:firstLine="480"/>
        <w:textAlignment w:val="bottom"/>
        <w:rPr>
          <w:rFonts w:ascii="仿宋" w:hAnsi="仿宋" w:eastAsia="仿宋" w:cs="Times New Roman"/>
          <w:sz w:val="28"/>
          <w:szCs w:val="20"/>
        </w:rPr>
      </w:pPr>
      <w:r>
        <w:rPr>
          <w:rFonts w:hint="eastAsia" w:ascii="仿宋" w:hAnsi="仿宋" w:eastAsia="仿宋" w:cs="Times New Roman"/>
          <w:sz w:val="28"/>
          <w:szCs w:val="20"/>
        </w:rPr>
        <w:t>在保修期内硬件损坏时，由于供应商原因（如原型号停产）造成设备无法修复，需要另行更换相应的设备时，供应商应免费更换同等规模、同等档次的新产品对原设备进行更换，以确保设备的完整修复，且供应商的设备更换时间不得超过12小时。</w:t>
      </w:r>
    </w:p>
    <w:p>
      <w:pPr>
        <w:widowControl/>
        <w:ind w:firstLine="480"/>
        <w:textAlignment w:val="bottom"/>
        <w:rPr>
          <w:rFonts w:ascii="仿宋" w:hAnsi="仿宋" w:eastAsia="仿宋" w:cs="Times New Roman"/>
          <w:sz w:val="28"/>
          <w:szCs w:val="20"/>
        </w:rPr>
      </w:pPr>
      <w:r>
        <w:rPr>
          <w:rFonts w:hint="eastAsia" w:ascii="仿宋" w:hAnsi="仿宋" w:eastAsia="仿宋" w:cs="Times New Roman"/>
          <w:sz w:val="28"/>
          <w:szCs w:val="20"/>
        </w:rPr>
        <w:t>从设备开始安装到保修期结束，损坏的同一零部件的年返修率不得超过3%，若超过此比率，每多坏1个部件，供应商将免费提供一个新部件。</w:t>
      </w:r>
    </w:p>
    <w:p>
      <w:pPr>
        <w:widowControl/>
        <w:ind w:firstLine="480"/>
        <w:textAlignment w:val="bottom"/>
        <w:rPr>
          <w:rFonts w:ascii="仿宋" w:hAnsi="仿宋" w:eastAsia="仿宋" w:cs="Times New Roman"/>
          <w:sz w:val="28"/>
          <w:szCs w:val="20"/>
        </w:rPr>
      </w:pPr>
      <w:r>
        <w:rPr>
          <w:rFonts w:hint="eastAsia" w:ascii="仿宋" w:hAnsi="仿宋" w:eastAsia="仿宋" w:cs="Times New Roman"/>
          <w:sz w:val="28"/>
          <w:szCs w:val="20"/>
        </w:rPr>
        <w:t>供应商应确保10年内的备件供应。</w:t>
      </w:r>
    </w:p>
    <w:p>
      <w:pPr>
        <w:widowControl/>
        <w:ind w:firstLine="480"/>
        <w:textAlignment w:val="bottom"/>
        <w:rPr>
          <w:rFonts w:hint="eastAsia" w:ascii="仿宋" w:hAnsi="仿宋" w:eastAsia="仿宋" w:cs="Times New Roman"/>
          <w:sz w:val="28"/>
          <w:szCs w:val="28"/>
          <w:lang w:val="zh-CN"/>
        </w:rPr>
      </w:pPr>
      <w:r>
        <w:rPr>
          <w:rFonts w:hint="eastAsia" w:ascii="仿宋" w:hAnsi="仿宋" w:eastAsia="仿宋" w:cs="Times New Roman"/>
          <w:sz w:val="28"/>
          <w:szCs w:val="20"/>
        </w:rPr>
        <w:t>本次合同保修服务期结束后，供应商应提供按年保修服务和按次保修服务两种方式供用户选择。</w:t>
      </w:r>
      <w:bookmarkEnd w:id="762"/>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783" w:name="_Toc25651275"/>
      <w:bookmarkStart w:id="784" w:name="_Toc12624"/>
      <w:r>
        <w:rPr>
          <w:rFonts w:hint="eastAsia" w:ascii="楷体" w:hAnsi="楷体" w:eastAsia="仿宋" w:cs="Times New Roman"/>
          <w:b/>
          <w:kern w:val="2"/>
          <w:sz w:val="28"/>
          <w:lang w:val="en-US" w:eastAsia="zh-CN" w:bidi="ar-SA"/>
        </w:rPr>
        <w:t>视频监控系统</w:t>
      </w:r>
      <w:bookmarkEnd w:id="757"/>
      <w:r>
        <w:rPr>
          <w:rFonts w:hint="eastAsia" w:ascii="楷体" w:hAnsi="楷体" w:eastAsia="仿宋" w:cs="Times New Roman"/>
          <w:b/>
          <w:kern w:val="2"/>
          <w:sz w:val="28"/>
          <w:lang w:val="en-US" w:eastAsia="zh-CN" w:bidi="ar-SA"/>
        </w:rPr>
        <w:t>主要设备要求</w:t>
      </w:r>
      <w:bookmarkEnd w:id="783"/>
      <w:bookmarkEnd w:id="784"/>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网络</w:t>
      </w:r>
      <w:r>
        <w:rPr>
          <w:rFonts w:hint="eastAsia" w:ascii="楷体" w:hAnsi="楷体" w:eastAsia="仿宋" w:cs="Times New Roman"/>
          <w:b/>
          <w:kern w:val="2"/>
          <w:sz w:val="28"/>
          <w:szCs w:val="20"/>
          <w:lang w:val="en-US" w:eastAsia="zh-CN" w:bidi="ar-SA"/>
        </w:rPr>
        <w:t>半球</w:t>
      </w:r>
      <w:r>
        <w:rPr>
          <w:rFonts w:hint="eastAsia" w:ascii="仿宋" w:hAnsi="仿宋" w:eastAsia="仿宋" w:cs="仿宋"/>
          <w:b/>
          <w:kern w:val="2"/>
          <w:sz w:val="28"/>
          <w:szCs w:val="28"/>
          <w:lang w:val="en-US" w:eastAsia="zh-CN" w:bidi="ar-SA"/>
        </w:rPr>
        <w:t>红外摄像机</w:t>
      </w:r>
    </w:p>
    <w:p>
      <w:pPr>
        <w:widowControl/>
        <w:spacing w:line="560" w:lineRule="exact"/>
        <w:ind w:left="567" w:firstLine="140" w:firstLineChars="50"/>
        <w:textAlignment w:val="center"/>
        <w:rPr>
          <w:rFonts w:hint="eastAsia" w:ascii="仿宋" w:hAnsi="仿宋" w:eastAsia="仿宋" w:cs="Times New Roman"/>
          <w:bCs/>
          <w:sz w:val="28"/>
          <w:szCs w:val="28"/>
        </w:rPr>
      </w:pPr>
      <w:r>
        <w:rPr>
          <w:rFonts w:hint="eastAsia" w:ascii="仿宋" w:hAnsi="仿宋" w:eastAsia="仿宋" w:cs="Times New Roman"/>
          <w:bCs/>
          <w:sz w:val="28"/>
          <w:szCs w:val="28"/>
        </w:rPr>
        <w:t xml:space="preserve">须符合，但不限于下列要求： </w:t>
      </w:r>
    </w:p>
    <w:p>
      <w:pPr>
        <w:widowControl/>
        <w:numPr>
          <w:ilvl w:val="0"/>
          <w:numId w:val="2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摄像元件：不小于1/3 英寸CCD/ COMS 。</w:t>
      </w:r>
    </w:p>
    <w:p>
      <w:pPr>
        <w:widowControl/>
        <w:numPr>
          <w:ilvl w:val="0"/>
          <w:numId w:val="2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分辨率： 1920(H)x1080(V)。</w:t>
      </w:r>
    </w:p>
    <w:p>
      <w:pPr>
        <w:widowControl/>
        <w:numPr>
          <w:ilvl w:val="0"/>
          <w:numId w:val="2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视频清晰度：1080p 。</w:t>
      </w:r>
    </w:p>
    <w:p>
      <w:pPr>
        <w:widowControl/>
        <w:numPr>
          <w:ilvl w:val="0"/>
          <w:numId w:val="2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视频压缩：H.264、  H.265  MP、 H.264BP+(Baseline Profile Plus)、M-JPEG 。</w:t>
      </w:r>
    </w:p>
    <w:p>
      <w:pPr>
        <w:widowControl/>
        <w:numPr>
          <w:ilvl w:val="0"/>
          <w:numId w:val="2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视频压缩码率：32Kbps-8Mbps。</w:t>
      </w:r>
    </w:p>
    <w:p>
      <w:pPr>
        <w:widowControl/>
        <w:numPr>
          <w:ilvl w:val="0"/>
          <w:numId w:val="2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最小帧速率：25 fps 。</w:t>
      </w:r>
    </w:p>
    <w:p>
      <w:pPr>
        <w:widowControl/>
        <w:numPr>
          <w:ilvl w:val="0"/>
          <w:numId w:val="201"/>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lang w:val="zh-CN"/>
        </w:rPr>
        <w:t>信噪比</w:t>
      </w:r>
      <w:r>
        <w:rPr>
          <w:rFonts w:hint="eastAsia" w:ascii="仿宋" w:hAnsi="仿宋" w:eastAsia="仿宋" w:cs="Times New Roman"/>
          <w:sz w:val="28"/>
          <w:szCs w:val="28"/>
        </w:rPr>
        <w:t>(S/N)：</w:t>
      </w:r>
      <w:r>
        <w:rPr>
          <w:rFonts w:hint="eastAsia" w:ascii="仿宋" w:hAnsi="仿宋" w:eastAsia="仿宋" w:cs="Times New Roman"/>
          <w:sz w:val="28"/>
          <w:szCs w:val="28"/>
          <w:lang w:val="zh-CN"/>
        </w:rPr>
        <w:t>大于</w:t>
      </w:r>
      <w:r>
        <w:rPr>
          <w:rFonts w:hint="eastAsia" w:ascii="仿宋" w:hAnsi="仿宋" w:eastAsia="仿宋" w:cs="Times New Roman"/>
          <w:sz w:val="28"/>
          <w:szCs w:val="28"/>
        </w:rPr>
        <w:t xml:space="preserve"> 50dB(AGC OFF) </w:t>
      </w:r>
      <w:r>
        <w:rPr>
          <w:rFonts w:hint="eastAsia" w:ascii="仿宋" w:hAnsi="仿宋" w:eastAsia="仿宋" w:cs="Times New Roman"/>
          <w:sz w:val="28"/>
          <w:szCs w:val="28"/>
          <w:lang w:val="zh-CN"/>
        </w:rPr>
        <w:t>。</w:t>
      </w:r>
    </w:p>
    <w:p>
      <w:pPr>
        <w:widowControl/>
        <w:numPr>
          <w:ilvl w:val="0"/>
          <w:numId w:val="2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灵敏度：1.0Lux 。</w:t>
      </w:r>
    </w:p>
    <w:p>
      <w:pPr>
        <w:widowControl/>
        <w:numPr>
          <w:ilvl w:val="0"/>
          <w:numId w:val="2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镜头：镜头类型手动变焦2.7至12mm，DC光圈 F1.2至关闭镜头，座板式安装。</w:t>
      </w:r>
    </w:p>
    <w:p>
      <w:pPr>
        <w:widowControl/>
        <w:numPr>
          <w:ilvl w:val="0"/>
          <w:numId w:val="2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支持远程升级。</w:t>
      </w:r>
    </w:p>
    <w:p>
      <w:pPr>
        <w:widowControl/>
        <w:numPr>
          <w:ilvl w:val="0"/>
          <w:numId w:val="2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移动侦测。</w:t>
      </w:r>
    </w:p>
    <w:p>
      <w:pPr>
        <w:widowControl/>
        <w:numPr>
          <w:ilvl w:val="0"/>
          <w:numId w:val="2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支持内存卡存储，可实现定时录像、报警录像、抓拍等。</w:t>
      </w:r>
    </w:p>
    <w:p>
      <w:pPr>
        <w:widowControl/>
        <w:numPr>
          <w:ilvl w:val="0"/>
          <w:numId w:val="2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软件控制：装置配置使用 Web 浏览器或PC 监控软件 。</w:t>
      </w:r>
    </w:p>
    <w:p>
      <w:pPr>
        <w:widowControl/>
        <w:numPr>
          <w:ilvl w:val="0"/>
          <w:numId w:val="2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网络协议： HTTP, HTTPs, SSL, TCP, UDP,ICMP,RTSP, RTP, Telnet,IGMPv2/v3, SMTP,SNTP, FTP,DHCP client, ARP, DNS,DDNS,NTP, SNMP, UPnP, 802.1X,iSCSI 。</w:t>
      </w:r>
    </w:p>
    <w:p>
      <w:pPr>
        <w:widowControl/>
        <w:numPr>
          <w:ilvl w:val="0"/>
          <w:numId w:val="2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以太网POE供电 。</w:t>
      </w:r>
    </w:p>
    <w:p>
      <w:pPr>
        <w:widowControl/>
        <w:numPr>
          <w:ilvl w:val="0"/>
          <w:numId w:val="20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其他：以太网 10/100 Base-T，自动侦测，半双工/全双工，RJ45POE 符合 IEEE 802.3af 标准 ，根据项目实际情况，红外有效距离大于50m均可满足要求。</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室内/外网络枪式红外摄像机</w:t>
      </w:r>
    </w:p>
    <w:p>
      <w:pPr>
        <w:widowControl/>
        <w:spacing w:line="560" w:lineRule="exact"/>
        <w:ind w:left="-2" w:leftChars="-1" w:firstLine="565" w:firstLineChars="202"/>
        <w:textAlignment w:val="center"/>
        <w:rPr>
          <w:rFonts w:hint="eastAsia" w:ascii="仿宋" w:hAnsi="仿宋" w:eastAsia="仿宋" w:cs="Times New Roman"/>
          <w:bCs/>
          <w:sz w:val="28"/>
          <w:szCs w:val="28"/>
        </w:rPr>
      </w:pPr>
      <w:r>
        <w:rPr>
          <w:rFonts w:hint="eastAsia" w:ascii="仿宋" w:hAnsi="仿宋" w:eastAsia="仿宋" w:cs="Times New Roman"/>
          <w:bCs/>
          <w:sz w:val="28"/>
          <w:szCs w:val="28"/>
        </w:rPr>
        <w:t xml:space="preserve">须符合，但不限于下列要求： </w:t>
      </w:r>
    </w:p>
    <w:p>
      <w:pPr>
        <w:widowControl/>
        <w:numPr>
          <w:ilvl w:val="0"/>
          <w:numId w:val="2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摄像元件：不小于1/3英寸CCD/ COMS。</w:t>
      </w:r>
    </w:p>
    <w:p>
      <w:pPr>
        <w:widowControl/>
        <w:numPr>
          <w:ilvl w:val="0"/>
          <w:numId w:val="2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分辨率：1920(H)x1080(V)。</w:t>
      </w:r>
    </w:p>
    <w:p>
      <w:pPr>
        <w:widowControl/>
        <w:numPr>
          <w:ilvl w:val="0"/>
          <w:numId w:val="2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视频清晰度：1080p 。</w:t>
      </w:r>
    </w:p>
    <w:p>
      <w:pPr>
        <w:widowControl/>
        <w:numPr>
          <w:ilvl w:val="0"/>
          <w:numId w:val="2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视频压缩：H.264、  H.265 MP、 H.264BP+(Baseline Profile Plus)、M-JPEG 。</w:t>
      </w:r>
    </w:p>
    <w:p>
      <w:pPr>
        <w:widowControl/>
        <w:numPr>
          <w:ilvl w:val="0"/>
          <w:numId w:val="2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视频压缩码率：32Kbps-8Mbps。</w:t>
      </w:r>
    </w:p>
    <w:p>
      <w:pPr>
        <w:widowControl/>
        <w:numPr>
          <w:ilvl w:val="0"/>
          <w:numId w:val="2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最小帧速率：25 fps 。</w:t>
      </w:r>
    </w:p>
    <w:p>
      <w:pPr>
        <w:widowControl/>
        <w:numPr>
          <w:ilvl w:val="0"/>
          <w:numId w:val="202"/>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lang w:val="zh-CN"/>
        </w:rPr>
        <w:t>信噪比</w:t>
      </w:r>
      <w:r>
        <w:rPr>
          <w:rFonts w:hint="eastAsia" w:ascii="仿宋" w:hAnsi="仿宋" w:eastAsia="仿宋" w:cs="Times New Roman"/>
          <w:sz w:val="28"/>
          <w:szCs w:val="28"/>
        </w:rPr>
        <w:t>(S/N)：</w:t>
      </w:r>
      <w:r>
        <w:rPr>
          <w:rFonts w:hint="eastAsia" w:ascii="仿宋" w:hAnsi="仿宋" w:eastAsia="仿宋" w:cs="Times New Roman"/>
          <w:sz w:val="28"/>
          <w:szCs w:val="28"/>
          <w:lang w:val="zh-CN"/>
        </w:rPr>
        <w:t>大于</w:t>
      </w:r>
      <w:r>
        <w:rPr>
          <w:rFonts w:hint="eastAsia" w:ascii="仿宋" w:hAnsi="仿宋" w:eastAsia="仿宋" w:cs="Times New Roman"/>
          <w:sz w:val="28"/>
          <w:szCs w:val="28"/>
        </w:rPr>
        <w:t xml:space="preserve"> 50dB(AGC OFF) </w:t>
      </w:r>
      <w:r>
        <w:rPr>
          <w:rFonts w:hint="eastAsia" w:ascii="仿宋" w:hAnsi="仿宋" w:eastAsia="仿宋" w:cs="Times New Roman"/>
          <w:sz w:val="28"/>
          <w:szCs w:val="28"/>
          <w:lang w:val="zh-CN"/>
        </w:rPr>
        <w:t>。</w:t>
      </w:r>
    </w:p>
    <w:p>
      <w:pPr>
        <w:widowControl/>
        <w:numPr>
          <w:ilvl w:val="0"/>
          <w:numId w:val="2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灵敏度：1.0Lux 。</w:t>
      </w:r>
    </w:p>
    <w:p>
      <w:pPr>
        <w:widowControl/>
        <w:numPr>
          <w:ilvl w:val="0"/>
          <w:numId w:val="2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镜头：镜头类型手动变焦 2.7 至12 mm，DC 光圈 F1.2 至关闭镜头座板式安装 。</w:t>
      </w:r>
    </w:p>
    <w:p>
      <w:pPr>
        <w:widowControl/>
        <w:numPr>
          <w:ilvl w:val="0"/>
          <w:numId w:val="2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支持远程升级。</w:t>
      </w:r>
    </w:p>
    <w:p>
      <w:pPr>
        <w:widowControl/>
        <w:numPr>
          <w:ilvl w:val="0"/>
          <w:numId w:val="2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移动侦测。</w:t>
      </w:r>
    </w:p>
    <w:p>
      <w:pPr>
        <w:widowControl/>
        <w:numPr>
          <w:ilvl w:val="0"/>
          <w:numId w:val="2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支持内存卡存储，可实现定时录像、报警录像、抓拍等。</w:t>
      </w:r>
    </w:p>
    <w:p>
      <w:pPr>
        <w:widowControl/>
        <w:numPr>
          <w:ilvl w:val="0"/>
          <w:numId w:val="2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网络协议： HTTP, HTTPs, SSL, TCP, UDP,ICMP,RTSP, RTP, Telnet,IGMPv2/v3, SMTP,SNTP, FTP,DHCP client, ARP, DNS,DDNS,NTP, SNMP, UPnP, 802.1X,iSCSI 。</w:t>
      </w:r>
    </w:p>
    <w:p>
      <w:pPr>
        <w:widowControl/>
        <w:numPr>
          <w:ilvl w:val="0"/>
          <w:numId w:val="2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以太网POE供电 。</w:t>
      </w:r>
    </w:p>
    <w:p>
      <w:pPr>
        <w:widowControl/>
        <w:numPr>
          <w:ilvl w:val="0"/>
          <w:numId w:val="2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其他：以太网 10/100 Base-T，自动侦测，半双工/全双工，RJ45PoE 符合 IEEE 802.3af 标准， 根据项目实际情况，红外有效距离大50m均可满足要求。</w:t>
      </w:r>
    </w:p>
    <w:p>
      <w:pPr>
        <w:widowControl/>
        <w:numPr>
          <w:ilvl w:val="0"/>
          <w:numId w:val="20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室外平台摄像头基本要：求高清，红外，全金属外壳，电源和摄像头均要求防水不低于IP65，能够防雷，线路走内支架等。</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摄像机</w:t>
      </w:r>
      <w:r>
        <w:rPr>
          <w:rFonts w:hint="eastAsia" w:ascii="楷体" w:hAnsi="楷体" w:eastAsia="仿宋" w:cs="Times New Roman"/>
          <w:b/>
          <w:kern w:val="2"/>
          <w:sz w:val="28"/>
          <w:szCs w:val="20"/>
          <w:lang w:val="en-US" w:eastAsia="zh-CN" w:bidi="ar-SA"/>
        </w:rPr>
        <w:t>防护罩</w:t>
      </w:r>
      <w:r>
        <w:rPr>
          <w:rFonts w:hint="eastAsia" w:ascii="仿宋" w:hAnsi="仿宋" w:eastAsia="仿宋" w:cs="仿宋"/>
          <w:b/>
          <w:kern w:val="2"/>
          <w:sz w:val="28"/>
          <w:szCs w:val="28"/>
          <w:lang w:val="en-US" w:eastAsia="zh-CN" w:bidi="ar-SA"/>
        </w:rPr>
        <w:t xml:space="preserve"> </w:t>
      </w:r>
    </w:p>
    <w:p>
      <w:pPr>
        <w:widowControl/>
        <w:numPr>
          <w:ilvl w:val="0"/>
          <w:numId w:val="20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室内摄像机防护罩 。</w:t>
      </w:r>
    </w:p>
    <w:p>
      <w:pPr>
        <w:widowControl/>
        <w:numPr>
          <w:ilvl w:val="0"/>
          <w:numId w:val="20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所有室内摄像机防护罩应为摄像机生产商配套产品。</w:t>
      </w:r>
    </w:p>
    <w:p>
      <w:pPr>
        <w:widowControl/>
        <w:numPr>
          <w:ilvl w:val="0"/>
          <w:numId w:val="20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须提供安装支架给于摄像机及其防护罩。 </w:t>
      </w:r>
    </w:p>
    <w:p>
      <w:pPr>
        <w:widowControl/>
        <w:numPr>
          <w:ilvl w:val="0"/>
          <w:numId w:val="20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安装支架须设计成可提供牢固的支承和可抵受外来干涉及环境情况。要求安装支架须用钢和金属制成，外面镀锌及可承重摄像机及防护罩的重量。</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系统</w:t>
      </w:r>
      <w:r>
        <w:rPr>
          <w:rFonts w:hint="eastAsia" w:ascii="楷体" w:hAnsi="楷体" w:eastAsia="仿宋" w:cs="Times New Roman"/>
          <w:b/>
          <w:kern w:val="2"/>
          <w:sz w:val="28"/>
          <w:szCs w:val="20"/>
          <w:lang w:val="en-US" w:eastAsia="zh-CN" w:bidi="ar-SA"/>
        </w:rPr>
        <w:t>管理</w:t>
      </w:r>
      <w:r>
        <w:rPr>
          <w:rFonts w:hint="eastAsia" w:ascii="仿宋" w:hAnsi="仿宋" w:eastAsia="仿宋" w:cs="仿宋"/>
          <w:b/>
          <w:kern w:val="2"/>
          <w:sz w:val="28"/>
          <w:szCs w:val="28"/>
          <w:lang w:val="en-US" w:eastAsia="zh-CN" w:bidi="ar-SA"/>
        </w:rPr>
        <w:t xml:space="preserve">平台 </w:t>
      </w:r>
    </w:p>
    <w:p>
      <w:pPr>
        <w:widowControl/>
        <w:spacing w:line="560" w:lineRule="exact"/>
        <w:ind w:firstLine="565" w:firstLineChars="202"/>
        <w:textAlignment w:val="center"/>
        <w:rPr>
          <w:rFonts w:hint="eastAsia" w:ascii="仿宋" w:hAnsi="仿宋" w:eastAsia="仿宋" w:cs="Times New Roman"/>
          <w:bCs/>
          <w:sz w:val="28"/>
          <w:szCs w:val="28"/>
        </w:rPr>
      </w:pPr>
      <w:r>
        <w:rPr>
          <w:rFonts w:hint="eastAsia" w:ascii="仿宋" w:hAnsi="仿宋" w:eastAsia="仿宋" w:cs="Times New Roman"/>
          <w:bCs/>
          <w:sz w:val="28"/>
          <w:szCs w:val="28"/>
        </w:rPr>
        <w:t>系统应由以下软件单元组成：</w:t>
      </w:r>
    </w:p>
    <w:p>
      <w:pPr>
        <w:widowControl/>
        <w:numPr>
          <w:ilvl w:val="0"/>
          <w:numId w:val="20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中央服务器软件，提供管理，监控和系统控制功能。 </w:t>
      </w:r>
    </w:p>
    <w:p>
      <w:pPr>
        <w:widowControl/>
        <w:numPr>
          <w:ilvl w:val="0"/>
          <w:numId w:val="20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虚拟录像管理和网络视频录像服务，提供音频、视频及数据的录像和回放。 </w:t>
      </w:r>
    </w:p>
    <w:p>
      <w:pPr>
        <w:widowControl/>
        <w:numPr>
          <w:ilvl w:val="0"/>
          <w:numId w:val="20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配置客户端软件，提供系统配置和管理的用户接口。 </w:t>
      </w:r>
    </w:p>
    <w:p>
      <w:pPr>
        <w:widowControl/>
        <w:numPr>
          <w:ilvl w:val="0"/>
          <w:numId w:val="20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操作员客户端软件，提供系统监控和操作的用户接口。 </w:t>
      </w:r>
    </w:p>
    <w:p>
      <w:pPr>
        <w:widowControl/>
        <w:numPr>
          <w:ilvl w:val="0"/>
          <w:numId w:val="20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系统部署：支持MPEG-4/H.264编码器、解码器 、IP摄像机。 </w:t>
      </w:r>
    </w:p>
    <w:p>
      <w:pPr>
        <w:widowControl/>
        <w:numPr>
          <w:ilvl w:val="0"/>
          <w:numId w:val="20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系统配置：自动发现IP设备，为设备执行固件更新；预定义摄像轮巡；配置变化查看器 ，显示更改的内容、更改人以及更改时间 。 </w:t>
      </w:r>
    </w:p>
    <w:p>
      <w:pPr>
        <w:widowControl/>
        <w:numPr>
          <w:ilvl w:val="0"/>
          <w:numId w:val="20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 xml:space="preserve">系统用户界面：可缩放的站点地图，包含链接、设备、序列和命令脚本；CCTV 键盘支持，连接至工作站或IP解码器；灵活的图像窗格允许使用任意大小和布局的视频窗口；实况图像窗格可切换为即时回放；多个同步显示的即时回放图像窗格；图像窗口可显示实况视频、即时回放视频、文本文档、地图或网页；设备状态通过图标显示，其中包括网络连接中断、视频丢失；可以通过拖放的方式控制与解码器相连的模拟监视器。 </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磁盘阵列</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主流IP-SAN架构,支持视频流、 NFS、CIFS、iSCSI、FTP、AFP标准协议。</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64位多核处理器（可支持双处理器），2GB缓存，可扩展。</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支持多网口端口聚合和故障替换。</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网络带宽≥500MB/s, IOPS≥120,000。</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标准机架式，单柜硬盘槽位≥48个。</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 SATA、SAS磁盘。</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支持磁盘顺序加电、磁盘漫游，支持磁盘热插拔及故障硬盘在线更换。</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电源和风扇冗余，并支持故障热替换。</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支持RAID0、1、5、6、10、JBOD,支持动态RAID组扩展，支持动态逻辑卷扩展。</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针对监控数据流特点，存储系统进行写性能优先和并发写性能的优化 。</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支持WORM技术,可以实现关键监控数据的存储级防抵赖。</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支持内嵌存储安全管理模块，增强数据的完整性和安全性。</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提供全套二次开发API支持，可支持中心管理平台进行集中统一管理与实时状态监控、集中报警。</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支持iSCSI虚拟存储空间虚拟块大小的设定（从512B到512KB）可选，保证针对不同应用可调整最佳配置。</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iSCSI支持4种访问模式（读写，智能只读，只读，同步读写）。</w:t>
      </w:r>
    </w:p>
    <w:p>
      <w:pPr>
        <w:widowControl/>
        <w:numPr>
          <w:ilvl w:val="0"/>
          <w:numId w:val="20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支持卷克隆功能，可以实现虚拟卷的数据直接复制；支持多时间点快照功能。</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视频监控系统服务器</w:t>
      </w:r>
    </w:p>
    <w:p>
      <w:pPr>
        <w:widowControl/>
        <w:numPr>
          <w:ilvl w:val="0"/>
          <w:numId w:val="20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处理器：至少满足Intel 四核 Xeon 处理器 X3400 系列，处理器频率：不少于2.4G；处理器三级缓存：不小于12M。</w:t>
      </w:r>
    </w:p>
    <w:p>
      <w:pPr>
        <w:widowControl/>
        <w:numPr>
          <w:ilvl w:val="0"/>
          <w:numId w:val="20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内存：16GB。</w:t>
      </w:r>
    </w:p>
    <w:p>
      <w:pPr>
        <w:widowControl/>
        <w:numPr>
          <w:ilvl w:val="0"/>
          <w:numId w:val="20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硬盘：2*500G SAS 15K热插拔。</w:t>
      </w:r>
    </w:p>
    <w:p>
      <w:pPr>
        <w:widowControl/>
        <w:numPr>
          <w:ilvl w:val="0"/>
          <w:numId w:val="20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网卡：2*1000M NIC。</w:t>
      </w:r>
    </w:p>
    <w:p>
      <w:pPr>
        <w:widowControl/>
        <w:numPr>
          <w:ilvl w:val="0"/>
          <w:numId w:val="20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电源：冗余电源。</w:t>
      </w:r>
    </w:p>
    <w:p>
      <w:pPr>
        <w:widowControl/>
        <w:numPr>
          <w:ilvl w:val="0"/>
          <w:numId w:val="20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安装导轨：具备。</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视频</w:t>
      </w:r>
      <w:r>
        <w:rPr>
          <w:rFonts w:hint="eastAsia" w:ascii="楷体" w:hAnsi="楷体" w:eastAsia="仿宋" w:cs="Times New Roman"/>
          <w:b/>
          <w:kern w:val="2"/>
          <w:sz w:val="28"/>
          <w:szCs w:val="20"/>
          <w:lang w:val="en-US" w:eastAsia="zh-CN" w:bidi="ar-SA"/>
        </w:rPr>
        <w:t>监控系统</w:t>
      </w:r>
      <w:r>
        <w:rPr>
          <w:rFonts w:hint="eastAsia" w:ascii="仿宋" w:hAnsi="仿宋" w:eastAsia="仿宋" w:cs="仿宋"/>
          <w:b/>
          <w:kern w:val="2"/>
          <w:sz w:val="28"/>
          <w:szCs w:val="28"/>
          <w:lang w:val="en-US" w:eastAsia="zh-CN" w:bidi="ar-SA"/>
        </w:rPr>
        <w:t>客户端</w:t>
      </w:r>
    </w:p>
    <w:p>
      <w:pPr>
        <w:widowControl/>
        <w:numPr>
          <w:ilvl w:val="0"/>
          <w:numId w:val="20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CPU：双核2.6GHz以上。</w:t>
      </w:r>
    </w:p>
    <w:p>
      <w:pPr>
        <w:widowControl/>
        <w:numPr>
          <w:ilvl w:val="0"/>
          <w:numId w:val="20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RAM：不小于8GB。</w:t>
      </w:r>
    </w:p>
    <w:p>
      <w:pPr>
        <w:widowControl/>
        <w:numPr>
          <w:ilvl w:val="0"/>
          <w:numId w:val="20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HDD：不小于1T。</w:t>
      </w:r>
    </w:p>
    <w:p>
      <w:pPr>
        <w:widowControl/>
        <w:numPr>
          <w:ilvl w:val="0"/>
          <w:numId w:val="20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显卡：独立显卡，显存不小于4G。</w:t>
      </w:r>
    </w:p>
    <w:p>
      <w:pPr>
        <w:widowControl/>
        <w:numPr>
          <w:ilvl w:val="0"/>
          <w:numId w:val="20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通信接口：2XRS232、和PCI网卡插槽。</w:t>
      </w:r>
    </w:p>
    <w:p>
      <w:pPr>
        <w:widowControl/>
        <w:numPr>
          <w:ilvl w:val="0"/>
          <w:numId w:val="20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输入：101键标准键盘及光电鼠标器。</w:t>
      </w:r>
    </w:p>
    <w:p>
      <w:pPr>
        <w:widowControl/>
        <w:numPr>
          <w:ilvl w:val="0"/>
          <w:numId w:val="20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显示器：18.5”-22”</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弱电</w:t>
      </w:r>
      <w:r>
        <w:rPr>
          <w:rFonts w:hint="eastAsia" w:ascii="楷体" w:hAnsi="楷体" w:eastAsia="仿宋" w:cs="Times New Roman"/>
          <w:b/>
          <w:kern w:val="2"/>
          <w:sz w:val="28"/>
          <w:szCs w:val="20"/>
          <w:lang w:val="en-US" w:eastAsia="zh-CN" w:bidi="ar-SA"/>
        </w:rPr>
        <w:t>交换机</w:t>
      </w:r>
    </w:p>
    <w:p>
      <w:pPr>
        <w:widowControl/>
        <w:numPr>
          <w:ilvl w:val="0"/>
          <w:numId w:val="20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传输速率：1000M。</w:t>
      </w:r>
    </w:p>
    <w:p>
      <w:pPr>
        <w:widowControl/>
        <w:numPr>
          <w:ilvl w:val="0"/>
          <w:numId w:val="20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传输模式：全双工。</w:t>
      </w:r>
    </w:p>
    <w:p>
      <w:pPr>
        <w:widowControl/>
        <w:numPr>
          <w:ilvl w:val="0"/>
          <w:numId w:val="20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功能：支持Vlan。</w:t>
      </w:r>
    </w:p>
    <w:p>
      <w:pPr>
        <w:widowControl/>
        <w:numPr>
          <w:ilvl w:val="0"/>
          <w:numId w:val="20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MAC地址数量：不小于8K。</w:t>
      </w:r>
    </w:p>
    <w:p>
      <w:pPr>
        <w:widowControl/>
        <w:numPr>
          <w:ilvl w:val="0"/>
          <w:numId w:val="20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支持扩展的访问控制。</w:t>
      </w:r>
    </w:p>
    <w:p>
      <w:pPr>
        <w:widowControl/>
        <w:numPr>
          <w:ilvl w:val="0"/>
          <w:numId w:val="20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支持千兆光模块。</w:t>
      </w:r>
    </w:p>
    <w:p>
      <w:pPr>
        <w:widowControl/>
        <w:numPr>
          <w:ilvl w:val="0"/>
          <w:numId w:val="20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支持NTP网络时间协议</w:t>
      </w:r>
      <w:bookmarkStart w:id="785" w:name="_Toc441654322"/>
      <w:r>
        <w:rPr>
          <w:rFonts w:hint="eastAsia" w:ascii="仿宋" w:hAnsi="仿宋" w:eastAsia="仿宋" w:cs="Times New Roman"/>
          <w:sz w:val="28"/>
          <w:szCs w:val="28"/>
          <w:lang w:val="zh-CN"/>
        </w:rPr>
        <w:t>。</w:t>
      </w:r>
    </w:p>
    <w:p>
      <w:pPr>
        <w:widowControl/>
        <w:numPr>
          <w:ilvl w:val="0"/>
          <w:numId w:val="20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支持POE供电。</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786" w:name="_Toc25651276"/>
      <w:bookmarkStart w:id="787" w:name="_Toc1671"/>
      <w:r>
        <w:rPr>
          <w:rFonts w:hint="eastAsia" w:ascii="楷体" w:hAnsi="楷体" w:eastAsia="仿宋" w:cs="Times New Roman"/>
          <w:b/>
          <w:kern w:val="2"/>
          <w:sz w:val="28"/>
          <w:lang w:val="en-US" w:eastAsia="zh-CN" w:bidi="ar-SA"/>
        </w:rPr>
        <w:t>入侵报警系统</w:t>
      </w:r>
      <w:bookmarkEnd w:id="785"/>
      <w:r>
        <w:rPr>
          <w:rFonts w:hint="eastAsia" w:ascii="楷体" w:hAnsi="楷体" w:eastAsia="仿宋" w:cs="Times New Roman"/>
          <w:b/>
          <w:kern w:val="2"/>
          <w:sz w:val="28"/>
          <w:lang w:val="en-US" w:eastAsia="zh-CN" w:bidi="ar-SA"/>
        </w:rPr>
        <w:t>主要设备要求</w:t>
      </w:r>
      <w:bookmarkEnd w:id="786"/>
      <w:bookmarkEnd w:id="787"/>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室内双鉴探测器</w:t>
      </w:r>
    </w:p>
    <w:p>
      <w:pPr>
        <w:widowControl/>
        <w:numPr>
          <w:ilvl w:val="0"/>
          <w:numId w:val="20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探测方式：红外+微波。</w:t>
      </w:r>
    </w:p>
    <w:p>
      <w:pPr>
        <w:widowControl/>
        <w:numPr>
          <w:ilvl w:val="0"/>
          <w:numId w:val="20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探测范围：最大覆盖面积不小于7m×7m。</w:t>
      </w:r>
    </w:p>
    <w:p>
      <w:pPr>
        <w:widowControl/>
        <w:numPr>
          <w:ilvl w:val="0"/>
          <w:numId w:val="20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外壳：高强度ABS塑料。</w:t>
      </w:r>
    </w:p>
    <w:p>
      <w:pPr>
        <w:widowControl/>
        <w:numPr>
          <w:ilvl w:val="0"/>
          <w:numId w:val="20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安装要求：2～3.5m，吸顶嵌入式。</w:t>
      </w:r>
    </w:p>
    <w:p>
      <w:pPr>
        <w:widowControl/>
        <w:numPr>
          <w:ilvl w:val="0"/>
          <w:numId w:val="20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带防拆开关。</w:t>
      </w:r>
    </w:p>
    <w:p>
      <w:pPr>
        <w:widowControl/>
        <w:numPr>
          <w:ilvl w:val="0"/>
          <w:numId w:val="20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环境温度：满足-25°～+45°温度下正常工作。</w:t>
      </w:r>
    </w:p>
    <w:p>
      <w:pPr>
        <w:widowControl/>
        <w:numPr>
          <w:ilvl w:val="0"/>
          <w:numId w:val="20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报警输出：常闭舌簧继电器，信号处理能力可调节，外部可见报警LED指示灯。</w:t>
      </w:r>
    </w:p>
    <w:p>
      <w:pPr>
        <w:widowControl/>
        <w:numPr>
          <w:ilvl w:val="0"/>
          <w:numId w:val="20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防射频干扰：在场强50V/m，26MHz-950MHz范围内不会产生报警。</w:t>
      </w:r>
    </w:p>
    <w:p>
      <w:pPr>
        <w:widowControl/>
        <w:numPr>
          <w:ilvl w:val="0"/>
          <w:numId w:val="20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抗白光干扰：大于8000LUX。</w:t>
      </w:r>
    </w:p>
    <w:p>
      <w:pPr>
        <w:widowControl/>
        <w:numPr>
          <w:ilvl w:val="0"/>
          <w:numId w:val="20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具有CCC认证。</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报警</w:t>
      </w:r>
      <w:r>
        <w:rPr>
          <w:rFonts w:hint="eastAsia" w:ascii="楷体" w:hAnsi="楷体" w:eastAsia="仿宋" w:cs="Times New Roman"/>
          <w:b/>
          <w:kern w:val="2"/>
          <w:sz w:val="28"/>
          <w:szCs w:val="20"/>
          <w:lang w:val="en-US" w:eastAsia="zh-CN" w:bidi="ar-SA"/>
        </w:rPr>
        <w:t>主机</w:t>
      </w:r>
    </w:p>
    <w:p>
      <w:pPr>
        <w:widowControl/>
        <w:numPr>
          <w:ilvl w:val="0"/>
          <w:numId w:val="210"/>
        </w:numPr>
        <w:spacing w:line="560" w:lineRule="exact"/>
        <w:jc w:val="left"/>
        <w:textAlignment w:val="center"/>
        <w:rPr>
          <w:rFonts w:hint="eastAsia" w:ascii="仿宋" w:hAnsi="仿宋" w:eastAsia="仿宋" w:cs="Times New Roman"/>
          <w:bCs/>
          <w:vanish/>
          <w:sz w:val="28"/>
          <w:szCs w:val="28"/>
        </w:rPr>
      </w:pPr>
    </w:p>
    <w:p>
      <w:pPr>
        <w:widowControl/>
        <w:numPr>
          <w:ilvl w:val="0"/>
          <w:numId w:val="210"/>
        </w:numPr>
        <w:spacing w:line="560" w:lineRule="exact"/>
        <w:jc w:val="left"/>
        <w:textAlignment w:val="center"/>
        <w:rPr>
          <w:rFonts w:hint="eastAsia" w:ascii="仿宋" w:hAnsi="仿宋" w:eastAsia="仿宋" w:cs="Times New Roman"/>
          <w:bCs/>
          <w:vanish/>
          <w:sz w:val="28"/>
          <w:szCs w:val="28"/>
        </w:rPr>
      </w:pPr>
    </w:p>
    <w:p>
      <w:pPr>
        <w:widowControl/>
        <w:numPr>
          <w:ilvl w:val="0"/>
          <w:numId w:val="210"/>
        </w:numPr>
        <w:spacing w:line="560" w:lineRule="exact"/>
        <w:jc w:val="left"/>
        <w:textAlignment w:val="center"/>
        <w:rPr>
          <w:rFonts w:hint="eastAsia" w:ascii="仿宋" w:hAnsi="仿宋" w:eastAsia="仿宋" w:cs="Times New Roman"/>
          <w:bCs/>
          <w:vanish/>
          <w:sz w:val="28"/>
          <w:szCs w:val="28"/>
        </w:rPr>
      </w:pPr>
    </w:p>
    <w:p>
      <w:pPr>
        <w:widowControl/>
        <w:numPr>
          <w:ilvl w:val="0"/>
          <w:numId w:val="210"/>
        </w:numPr>
        <w:spacing w:line="560" w:lineRule="exact"/>
        <w:jc w:val="left"/>
        <w:textAlignment w:val="center"/>
        <w:rPr>
          <w:rFonts w:hint="eastAsia" w:ascii="仿宋" w:hAnsi="仿宋" w:eastAsia="仿宋" w:cs="Times New Roman"/>
          <w:bCs/>
          <w:vanish/>
          <w:sz w:val="28"/>
          <w:szCs w:val="28"/>
        </w:rPr>
      </w:pPr>
    </w:p>
    <w:p>
      <w:pPr>
        <w:widowControl/>
        <w:numPr>
          <w:ilvl w:val="1"/>
          <w:numId w:val="210"/>
        </w:numPr>
        <w:spacing w:line="560" w:lineRule="exact"/>
        <w:jc w:val="left"/>
        <w:textAlignment w:val="center"/>
        <w:rPr>
          <w:rFonts w:hint="eastAsia" w:ascii="仿宋" w:hAnsi="仿宋" w:eastAsia="仿宋" w:cs="Times New Roman"/>
          <w:bCs/>
          <w:vanish/>
          <w:sz w:val="28"/>
          <w:szCs w:val="28"/>
        </w:rPr>
      </w:pPr>
    </w:p>
    <w:p>
      <w:pPr>
        <w:widowControl/>
        <w:numPr>
          <w:ilvl w:val="1"/>
          <w:numId w:val="210"/>
        </w:numPr>
        <w:spacing w:line="560" w:lineRule="exact"/>
        <w:jc w:val="left"/>
        <w:textAlignment w:val="center"/>
        <w:rPr>
          <w:rFonts w:hint="eastAsia" w:ascii="仿宋" w:hAnsi="仿宋" w:eastAsia="仿宋" w:cs="Times New Roman"/>
          <w:bCs/>
          <w:vanish/>
          <w:sz w:val="28"/>
          <w:szCs w:val="28"/>
        </w:rPr>
      </w:pPr>
    </w:p>
    <w:p>
      <w:pPr>
        <w:widowControl/>
        <w:numPr>
          <w:ilvl w:val="1"/>
          <w:numId w:val="210"/>
        </w:numPr>
        <w:spacing w:line="560" w:lineRule="exact"/>
        <w:jc w:val="left"/>
        <w:textAlignment w:val="center"/>
        <w:rPr>
          <w:rFonts w:hint="eastAsia" w:ascii="仿宋" w:hAnsi="仿宋" w:eastAsia="仿宋" w:cs="Times New Roman"/>
          <w:bCs/>
          <w:vanish/>
          <w:sz w:val="28"/>
          <w:szCs w:val="28"/>
        </w:rPr>
      </w:pPr>
    </w:p>
    <w:p>
      <w:pPr>
        <w:widowControl/>
        <w:numPr>
          <w:ilvl w:val="1"/>
          <w:numId w:val="210"/>
        </w:numPr>
        <w:spacing w:line="560" w:lineRule="exact"/>
        <w:jc w:val="left"/>
        <w:textAlignment w:val="center"/>
        <w:rPr>
          <w:rFonts w:hint="eastAsia" w:ascii="仿宋" w:hAnsi="仿宋" w:eastAsia="仿宋" w:cs="Times New Roman"/>
          <w:bCs/>
          <w:vanish/>
          <w:sz w:val="28"/>
          <w:szCs w:val="28"/>
        </w:rPr>
      </w:pPr>
    </w:p>
    <w:p>
      <w:pPr>
        <w:widowControl/>
        <w:numPr>
          <w:ilvl w:val="0"/>
          <w:numId w:val="2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报警主机采用扩充式防区设计，所有防区可以连接为常规四线制、两总线制，可以在大范围内简单地通过两根线将所有探头连接至主机，并且通过地址码将所有探头一一区分出来。</w:t>
      </w:r>
    </w:p>
    <w:p>
      <w:pPr>
        <w:widowControl/>
        <w:numPr>
          <w:ilvl w:val="0"/>
          <w:numId w:val="2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报警主机可以通过密码对任何一个子防区进行布防和撤防。</w:t>
      </w:r>
    </w:p>
    <w:p>
      <w:pPr>
        <w:widowControl/>
        <w:numPr>
          <w:ilvl w:val="0"/>
          <w:numId w:val="2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报警主机配置IP网络模块，通过内部局域网与中心进行通讯，由报警管理软件负责告警显示、记录、存储。</w:t>
      </w:r>
    </w:p>
    <w:p>
      <w:pPr>
        <w:widowControl/>
        <w:numPr>
          <w:ilvl w:val="0"/>
          <w:numId w:val="2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报警主机通过总线驱动模块，可拉出两路总线；每路总线上可挂接各种防区输入模块、继电器输出模块、用户报警键盘以及无线接收器；每台报警主机可配置两个无线接收器，与多个无线装置进行通讯。</w:t>
      </w:r>
    </w:p>
    <w:p>
      <w:pPr>
        <w:widowControl/>
        <w:numPr>
          <w:ilvl w:val="0"/>
          <w:numId w:val="2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防区回路相应时间200～900毫秒。</w:t>
      </w:r>
    </w:p>
    <w:p>
      <w:pPr>
        <w:widowControl/>
        <w:numPr>
          <w:ilvl w:val="0"/>
          <w:numId w:val="2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报警主机可以把一个主机给多个不同的用户共享，使得所有用户可以共用该系统的所有功能：无线系统、总线系统、时间控制、继电器输出、事件记录等等。来自报警探头的所有报警信号，接入报警主机，报警主机就可监控、显示、处理这些报警信号，并可控制继电器输出作灯光、录像、警号等控制，实现报警联动功能。</w:t>
      </w:r>
    </w:p>
    <w:p>
      <w:pPr>
        <w:widowControl/>
        <w:numPr>
          <w:ilvl w:val="0"/>
          <w:numId w:val="2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支持不少于100个防区。</w:t>
      </w:r>
    </w:p>
    <w:p>
      <w:pPr>
        <w:widowControl/>
        <w:numPr>
          <w:ilvl w:val="0"/>
          <w:numId w:val="2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可分配不少于100个人员密码，分7个权限等级。</w:t>
      </w:r>
    </w:p>
    <w:p>
      <w:pPr>
        <w:widowControl/>
        <w:numPr>
          <w:ilvl w:val="0"/>
          <w:numId w:val="2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支持无线设备可连接。</w:t>
      </w:r>
    </w:p>
    <w:p>
      <w:pPr>
        <w:widowControl/>
        <w:numPr>
          <w:ilvl w:val="0"/>
          <w:numId w:val="2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支持不少于1个键盘。</w:t>
      </w:r>
    </w:p>
    <w:p>
      <w:pPr>
        <w:widowControl/>
        <w:numPr>
          <w:ilvl w:val="0"/>
          <w:numId w:val="2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支持不少于16种防区报警功能选项。</w:t>
      </w:r>
    </w:p>
    <w:p>
      <w:pPr>
        <w:widowControl/>
        <w:numPr>
          <w:ilvl w:val="0"/>
          <w:numId w:val="2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提供二次开发接口协议,方便系统集成。</w:t>
      </w:r>
    </w:p>
    <w:p>
      <w:pPr>
        <w:widowControl/>
        <w:numPr>
          <w:ilvl w:val="0"/>
          <w:numId w:val="21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每个防区可单独布撤防,并可任意定义为普通防区和紧急防区。</w:t>
      </w:r>
    </w:p>
    <w:p>
      <w:pPr>
        <w:widowControl/>
        <w:numPr>
          <w:ilvl w:val="0"/>
          <w:numId w:val="211"/>
        </w:numPr>
        <w:spacing w:line="560" w:lineRule="exact"/>
        <w:ind w:left="0" w:firstLine="0"/>
        <w:rPr>
          <w:rFonts w:hint="eastAsia" w:ascii="仿宋" w:hAnsi="仿宋" w:eastAsia="仿宋" w:cs="Times New Roman"/>
          <w:bCs/>
          <w:sz w:val="28"/>
          <w:szCs w:val="28"/>
        </w:rPr>
      </w:pPr>
      <w:r>
        <w:rPr>
          <w:rFonts w:hint="eastAsia" w:ascii="仿宋" w:hAnsi="仿宋" w:eastAsia="仿宋" w:cs="Times New Roman"/>
          <w:sz w:val="28"/>
          <w:szCs w:val="28"/>
          <w:lang w:val="zh-CN"/>
        </w:rPr>
        <w:t xml:space="preserve">中国公安部认证。 </w:t>
      </w:r>
      <w:bookmarkStart w:id="788" w:name="_Toc441654323"/>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789" w:name="_Toc7754"/>
      <w:bookmarkStart w:id="790" w:name="_Toc25651277"/>
      <w:bookmarkStart w:id="791" w:name="_Hlk20581792"/>
      <w:r>
        <w:rPr>
          <w:rFonts w:hint="eastAsia" w:ascii="楷体" w:hAnsi="楷体" w:eastAsia="仿宋" w:cs="Times New Roman"/>
          <w:b/>
          <w:kern w:val="2"/>
          <w:sz w:val="28"/>
          <w:lang w:val="en-US" w:eastAsia="zh-CN" w:bidi="ar-SA"/>
        </w:rPr>
        <w:t>门禁系统</w:t>
      </w:r>
      <w:bookmarkEnd w:id="788"/>
      <w:r>
        <w:rPr>
          <w:rFonts w:hint="eastAsia" w:ascii="楷体" w:hAnsi="楷体" w:eastAsia="仿宋" w:cs="Times New Roman"/>
          <w:b/>
          <w:kern w:val="2"/>
          <w:sz w:val="28"/>
          <w:lang w:val="en-US" w:eastAsia="zh-CN" w:bidi="ar-SA"/>
        </w:rPr>
        <w:t>主要设备要求</w:t>
      </w:r>
      <w:bookmarkEnd w:id="789"/>
      <w:bookmarkEnd w:id="790"/>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门禁控制器</w:t>
      </w:r>
    </w:p>
    <w:p>
      <w:pPr>
        <w:widowControl/>
        <w:numPr>
          <w:ilvl w:val="0"/>
          <w:numId w:val="21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门禁控制器使用UPS供电运行，在紧急情况下，通过消防控制使门禁控制器强行断电，让门的状态为常开状态，以避免发生火灾或不可避免的控制器损坏而使门无法开启的情况发生。</w:t>
      </w:r>
    </w:p>
    <w:p>
      <w:pPr>
        <w:widowControl/>
        <w:numPr>
          <w:ilvl w:val="0"/>
          <w:numId w:val="21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在门禁控制器或指纹器出现功能性损坏，门不能电控开启时，可通过切断锁电源或后端远程断电开门。</w:t>
      </w:r>
    </w:p>
    <w:p>
      <w:pPr>
        <w:widowControl/>
        <w:numPr>
          <w:ilvl w:val="0"/>
          <w:numId w:val="21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控制器可通过TCP/IP网络或RS-485等方式连接。</w:t>
      </w:r>
    </w:p>
    <w:p>
      <w:pPr>
        <w:widowControl/>
        <w:numPr>
          <w:ilvl w:val="0"/>
          <w:numId w:val="21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自带4个接点输入，2个继电器输出和4个RS-485界面连接下级设备（数据总线）。</w:t>
      </w:r>
    </w:p>
    <w:p>
      <w:pPr>
        <w:widowControl/>
        <w:numPr>
          <w:ilvl w:val="0"/>
          <w:numId w:val="21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支持2 种操作模式：在线运行、离线运行。</w:t>
      </w:r>
    </w:p>
    <w:p>
      <w:pPr>
        <w:widowControl/>
        <w:numPr>
          <w:ilvl w:val="0"/>
          <w:numId w:val="21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控制器应通过公安部安全防范产品检测。</w:t>
      </w:r>
    </w:p>
    <w:p>
      <w:pPr>
        <w:widowControl/>
        <w:numPr>
          <w:ilvl w:val="0"/>
          <w:numId w:val="21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4 个读卡器通过Wiegand 格式接口，最多可支持6 扇门（进/出），2 个输入和1 个输出端口。</w:t>
      </w:r>
    </w:p>
    <w:p>
      <w:pPr>
        <w:widowControl/>
        <w:numPr>
          <w:ilvl w:val="0"/>
          <w:numId w:val="21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应具有板载LED指示灯，可以描绘电源、通讯、继电器等状态，方便判断。</w:t>
      </w:r>
    </w:p>
    <w:p>
      <w:pPr>
        <w:widowControl/>
        <w:numPr>
          <w:ilvl w:val="0"/>
          <w:numId w:val="21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最大可以处理多达60000 个用户和500000 事件。</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识别卡</w:t>
      </w:r>
    </w:p>
    <w:p>
      <w:pPr>
        <w:widowControl/>
        <w:numPr>
          <w:ilvl w:val="0"/>
          <w:numId w:val="2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本工程拟采用的识别卡为非接触式IC卡，该卡同时作为员工进出机房的识别证件，要求该卡可直接由制卡打印机印制照片及其他相关信息，可按水平或垂直方向冲压数字编号，并可封装佩带。</w:t>
      </w:r>
    </w:p>
    <w:p>
      <w:pPr>
        <w:widowControl/>
        <w:numPr>
          <w:ilvl w:val="0"/>
          <w:numId w:val="2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识别卡应能提供唯一的识别码，采用被动工作方式，无需电池，永久使用。</w:t>
      </w:r>
    </w:p>
    <w:p>
      <w:pPr>
        <w:widowControl/>
        <w:numPr>
          <w:ilvl w:val="0"/>
          <w:numId w:val="2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识别卡的制造必须符合《ISO非接触式读写标准》、以及《建设部IC卡应用规范》。</w:t>
      </w:r>
    </w:p>
    <w:p>
      <w:pPr>
        <w:widowControl/>
        <w:numPr>
          <w:ilvl w:val="0"/>
          <w:numId w:val="21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采用国家密码管理局指定算法（SM1），采用加密授权盒，密钥生成软件自行生成密钥。</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读卡器</w:t>
      </w:r>
      <w:r>
        <w:rPr>
          <w:rFonts w:hint="eastAsia" w:ascii="楷体" w:hAnsi="楷体" w:eastAsia="仿宋" w:cs="Times New Roman"/>
          <w:b/>
          <w:kern w:val="2"/>
          <w:sz w:val="28"/>
          <w:szCs w:val="20"/>
          <w:lang w:val="en-US" w:eastAsia="zh-CN" w:bidi="ar-SA"/>
        </w:rPr>
        <w:t>参数</w:t>
      </w:r>
      <w:r>
        <w:rPr>
          <w:rFonts w:hint="eastAsia" w:ascii="仿宋" w:hAnsi="仿宋" w:eastAsia="仿宋" w:cs="仿宋"/>
          <w:b/>
          <w:kern w:val="2"/>
          <w:sz w:val="28"/>
          <w:szCs w:val="28"/>
          <w:lang w:val="en-US" w:eastAsia="zh-CN" w:bidi="ar-SA"/>
        </w:rPr>
        <w:t>要求</w:t>
      </w:r>
    </w:p>
    <w:p>
      <w:pPr>
        <w:widowControl/>
        <w:numPr>
          <w:ilvl w:val="0"/>
          <w:numId w:val="21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需兼容ISO14443A/B和ISO15693标准。</w:t>
      </w:r>
    </w:p>
    <w:p>
      <w:pPr>
        <w:widowControl/>
        <w:numPr>
          <w:ilvl w:val="0"/>
          <w:numId w:val="21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背面有光感式防撬开关，当产品被移离所安装的墙面时将会产生触发信号，防护等级：IP65。</w:t>
      </w:r>
    </w:p>
    <w:p>
      <w:pPr>
        <w:widowControl/>
        <w:numPr>
          <w:ilvl w:val="0"/>
          <w:numId w:val="21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工作电源：5-16DCV　由门禁控制器提供。</w:t>
      </w:r>
    </w:p>
    <w:p>
      <w:pPr>
        <w:widowControl/>
        <w:numPr>
          <w:ilvl w:val="0"/>
          <w:numId w:val="21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最大消耗电流：平均100mA DC，峰值180mA DC。</w:t>
      </w:r>
    </w:p>
    <w:p>
      <w:pPr>
        <w:widowControl/>
        <w:numPr>
          <w:ilvl w:val="0"/>
          <w:numId w:val="21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使用环境：温度　-35℃~67℃。</w:t>
      </w:r>
    </w:p>
    <w:p>
      <w:pPr>
        <w:widowControl/>
        <w:numPr>
          <w:ilvl w:val="0"/>
          <w:numId w:val="21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提供写卡器的加密秘钥设备。</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生物动态人脸识别门禁系统</w:t>
      </w:r>
    </w:p>
    <w:p>
      <w:pPr>
        <w:widowControl/>
        <w:numPr>
          <w:ilvl w:val="0"/>
          <w:numId w:val="21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提供三维识别成像模板技术说明。</w:t>
      </w:r>
    </w:p>
    <w:p>
      <w:pPr>
        <w:widowControl/>
        <w:numPr>
          <w:ilvl w:val="0"/>
          <w:numId w:val="21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具备真彩触摸屏、多音蜂鸣器。</w:t>
      </w:r>
    </w:p>
    <w:p>
      <w:pPr>
        <w:widowControl/>
        <w:numPr>
          <w:ilvl w:val="0"/>
          <w:numId w:val="21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至少支持3000个用户。</w:t>
      </w:r>
    </w:p>
    <w:p>
      <w:pPr>
        <w:widowControl/>
        <w:numPr>
          <w:ilvl w:val="0"/>
          <w:numId w:val="21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适应标准电源、POE供电.、具备定制Wiegand、RS-485、以太网10/100Base-t。</w:t>
      </w:r>
    </w:p>
    <w:p>
      <w:pPr>
        <w:widowControl/>
        <w:numPr>
          <w:ilvl w:val="0"/>
          <w:numId w:val="21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温度：-5℃至+45℃。</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单门/双门磁力锁要求</w:t>
      </w:r>
    </w:p>
    <w:p>
      <w:pPr>
        <w:widowControl/>
        <w:numPr>
          <w:ilvl w:val="0"/>
          <w:numId w:val="21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单门抗拉力不得低于 280千克。</w:t>
      </w:r>
    </w:p>
    <w:p>
      <w:pPr>
        <w:widowControl/>
        <w:numPr>
          <w:ilvl w:val="0"/>
          <w:numId w:val="21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输入电压需为12/24VDC现场可调。</w:t>
      </w:r>
    </w:p>
    <w:p>
      <w:pPr>
        <w:widowControl/>
        <w:numPr>
          <w:ilvl w:val="0"/>
          <w:numId w:val="21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工作电流不得大于 0.96A@12VDC;0.48A@24VDC。</w:t>
      </w:r>
    </w:p>
    <w:p>
      <w:pPr>
        <w:widowControl/>
        <w:numPr>
          <w:ilvl w:val="0"/>
          <w:numId w:val="21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应具有门状态监控、锁状态监控功能。</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机电一体锁要求</w:t>
      </w:r>
    </w:p>
    <w:p>
      <w:pPr>
        <w:widowControl/>
        <w:numPr>
          <w:ilvl w:val="0"/>
          <w:numId w:val="21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12V/DC～24V/DC宽电压。</w:t>
      </w:r>
    </w:p>
    <w:p>
      <w:pPr>
        <w:widowControl/>
        <w:numPr>
          <w:ilvl w:val="0"/>
          <w:numId w:val="21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具备双向斜舌、辅助斜舌、关门自动锁定斜舌，不可顶回，防撬。</w:t>
      </w:r>
    </w:p>
    <w:p>
      <w:pPr>
        <w:widowControl/>
        <w:numPr>
          <w:ilvl w:val="0"/>
          <w:numId w:val="21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可实现双向开关门；断电开门/断电锁门可选；可提供状态监控反馈信号；须通过EN12209、EMC、EN14846电控锁具认证。</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门禁管理</w:t>
      </w:r>
      <w:r>
        <w:rPr>
          <w:rFonts w:hint="eastAsia" w:ascii="楷体" w:hAnsi="楷体" w:eastAsia="仿宋" w:cs="Times New Roman"/>
          <w:b/>
          <w:kern w:val="2"/>
          <w:sz w:val="28"/>
          <w:szCs w:val="20"/>
          <w:lang w:val="en-US" w:eastAsia="zh-CN" w:bidi="ar-SA"/>
        </w:rPr>
        <w:t>工作站</w:t>
      </w:r>
      <w:r>
        <w:rPr>
          <w:rFonts w:hint="eastAsia" w:ascii="仿宋" w:hAnsi="仿宋" w:eastAsia="仿宋" w:cs="仿宋"/>
          <w:b/>
          <w:kern w:val="2"/>
          <w:sz w:val="28"/>
          <w:szCs w:val="28"/>
          <w:lang w:val="en-US" w:eastAsia="zh-CN" w:bidi="ar-SA"/>
        </w:rPr>
        <w:t>软件及功能要求</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要求至少可支持Microsoft windows、Linux系列最新操作系统。</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数据库应为符合SQL标准的关系型数据库管理系统，支持中文及多字节编码，支持Unicode编码。</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采用用户密码登录方式保护系统，防止未授权人员进入，用户数和优先级别无数量限制。应设置不同的优先级别以保护系统的安全运行，避免非法用户对系统配置的更改或越权操作。软件应支持批处理或宏功能，以避免大量的键盘及鼠标操作。</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至少有Microsoft windows等操作系统图形用户界面，所有功能模块均应集成在同一套软件中。</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所有操作过程与“交易”数据均能即时存储在文件服务器中，具有按任意条件组合查询、排序等功能，可以查实每一用户的每一操作；可由用户自由定义、配置各种报表，并打印输出。</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管理工作站软件必须具有地图生成工具模块，用户可方便地生成、编辑所有受控区域的电子地图。</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各受控门、报警按钮等操作对象均以图标的形式表示在地图的相应位置，各种对象的静态属性应能以电子标签的方式在选中时自动显示，这些静态属性至少应包括对象的位置、标号编号、状态等。图标的颜色根据实时状况改变和闪烁。</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受控门读卡操作或报警发生时，以指定的比例显示以报警点为中心的地图区域，弹出与操作、报警有关的信息以及持证人图像等。由操作员填入处置措施和处理结果，关闭窗口。如操作员对该操作或报警的处理是在多媒体工作站上完成的，系统应能自动将操作员在多媒体工作站上填入的处置措施和处理结果记录在文件服务器内。</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应能由设备或控制器产生的事件启动由用户设置的控制动作序列（对应联动表），从而实现对相关系统的联动，设置控制动作序列可由宏编程完成。</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报警管理清单按照时间顺序或优先级列表，并可列出所有当前存储的尚未处理的警报。单击任何一个报警项目都能显示相关联的图形、相关控制信息，并能执行在线控制和恢复操作。</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支持通过SNMP（简单网络管理协议）管理系统中的网络设备。</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考勤记录报表等用户所需报表。</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全系统内的硬防反传和软防反传控制及定时防反传。</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指定时间内的刷卡次数限制。</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持卡人使用限制。</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由持卡人控制门的开锁时间。</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“门未关”现场预警。</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紧急疏散点名报表（在紧急情况下自动给出滞留在指定区域内的持卡人名单）。</w:t>
      </w:r>
    </w:p>
    <w:p>
      <w:pPr>
        <w:widowControl/>
        <w:numPr>
          <w:ilvl w:val="0"/>
          <w:numId w:val="21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至少可以与下列系统互联，并至少实现以下联动功能：</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消防报警控制系统。</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视频监控系统。</w:t>
      </w:r>
    </w:p>
    <w:p>
      <w:pPr>
        <w:widowControl/>
        <w:numPr>
          <w:ilvl w:val="0"/>
          <w:numId w:val="2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系统完成新用户设置、新证件的制作后，应在立即更新文件服务器的用户数据，并使相应的识别卡（仪）生效。</w:t>
      </w:r>
    </w:p>
    <w:p>
      <w:pPr>
        <w:widowControl/>
        <w:numPr>
          <w:ilvl w:val="0"/>
          <w:numId w:val="21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中央管理主机的事件存储载体，应至少能存储不少于1年的事件记录，存储的记录应保持最新的记录值。</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门禁系统与消防报警系统的接口</w:t>
      </w:r>
    </w:p>
    <w:p>
      <w:pPr>
        <w:widowControl/>
        <w:spacing w:line="560" w:lineRule="exact"/>
        <w:ind w:firstLine="560" w:firstLineChars="200"/>
        <w:textAlignment w:val="center"/>
        <w:rPr>
          <w:rFonts w:hint="eastAsia" w:ascii="仿宋" w:hAnsi="仿宋" w:eastAsia="仿宋" w:cs="Times New Roman"/>
          <w:bCs/>
          <w:sz w:val="28"/>
          <w:szCs w:val="28"/>
        </w:rPr>
      </w:pPr>
      <w:r>
        <w:rPr>
          <w:rFonts w:hint="eastAsia" w:ascii="仿宋" w:hAnsi="仿宋" w:eastAsia="仿宋" w:cs="Arial"/>
          <w:bCs/>
          <w:sz w:val="28"/>
          <w:szCs w:val="28"/>
        </w:rPr>
        <w:t>系统应能实现本规格书中要求的所有联动功能。中标方应在文件中提供更详细</w:t>
      </w:r>
      <w:r>
        <w:rPr>
          <w:rFonts w:hint="eastAsia" w:ascii="仿宋" w:hAnsi="仿宋" w:eastAsia="仿宋" w:cs="Times New Roman"/>
          <w:bCs/>
          <w:sz w:val="28"/>
          <w:szCs w:val="28"/>
        </w:rPr>
        <w:t>的联动控制表。</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门禁</w:t>
      </w:r>
      <w:r>
        <w:rPr>
          <w:rFonts w:hint="eastAsia" w:ascii="楷体" w:hAnsi="楷体" w:eastAsia="仿宋" w:cs="Times New Roman"/>
          <w:b/>
          <w:kern w:val="2"/>
          <w:sz w:val="28"/>
          <w:szCs w:val="20"/>
          <w:lang w:val="en-US" w:eastAsia="zh-CN" w:bidi="ar-SA"/>
        </w:rPr>
        <w:t>控制系统</w:t>
      </w:r>
      <w:r>
        <w:rPr>
          <w:rFonts w:hint="eastAsia" w:ascii="仿宋" w:hAnsi="仿宋" w:eastAsia="仿宋" w:cs="仿宋"/>
          <w:b/>
          <w:kern w:val="2"/>
          <w:sz w:val="28"/>
          <w:szCs w:val="28"/>
          <w:lang w:val="en-US" w:eastAsia="zh-CN" w:bidi="ar-SA"/>
        </w:rPr>
        <w:t>服务器</w:t>
      </w:r>
    </w:p>
    <w:p>
      <w:pPr>
        <w:widowControl/>
        <w:numPr>
          <w:ilvl w:val="0"/>
          <w:numId w:val="2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处理器：至少满足（Intel四核Xeon 处理器，处理器频率：不少于2.4G）。</w:t>
      </w:r>
    </w:p>
    <w:p>
      <w:pPr>
        <w:widowControl/>
        <w:numPr>
          <w:ilvl w:val="0"/>
          <w:numId w:val="2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处理器三级缓存：不小于12M。</w:t>
      </w:r>
    </w:p>
    <w:p>
      <w:pPr>
        <w:widowControl/>
        <w:numPr>
          <w:ilvl w:val="0"/>
          <w:numId w:val="2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内存：16GB。</w:t>
      </w:r>
    </w:p>
    <w:p>
      <w:pPr>
        <w:widowControl/>
        <w:numPr>
          <w:ilvl w:val="0"/>
          <w:numId w:val="2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硬盘：2*500G SAS 15K热插拔。</w:t>
      </w:r>
    </w:p>
    <w:p>
      <w:pPr>
        <w:widowControl/>
        <w:numPr>
          <w:ilvl w:val="0"/>
          <w:numId w:val="2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网卡：2*1000M NIC。</w:t>
      </w:r>
    </w:p>
    <w:p>
      <w:pPr>
        <w:widowControl/>
        <w:numPr>
          <w:ilvl w:val="0"/>
          <w:numId w:val="2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电源：冗余电源。</w:t>
      </w:r>
    </w:p>
    <w:p>
      <w:pPr>
        <w:widowControl/>
        <w:numPr>
          <w:ilvl w:val="0"/>
          <w:numId w:val="2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外形：1U。</w:t>
      </w:r>
    </w:p>
    <w:p>
      <w:pPr>
        <w:widowControl/>
        <w:numPr>
          <w:ilvl w:val="0"/>
          <w:numId w:val="22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安装导轨：具备。</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门禁</w:t>
      </w:r>
      <w:r>
        <w:rPr>
          <w:rFonts w:hint="eastAsia" w:ascii="楷体" w:hAnsi="楷体" w:eastAsia="仿宋" w:cs="Times New Roman"/>
          <w:b/>
          <w:kern w:val="2"/>
          <w:sz w:val="28"/>
          <w:szCs w:val="20"/>
          <w:lang w:val="en-US" w:eastAsia="zh-CN" w:bidi="ar-SA"/>
        </w:rPr>
        <w:t>控制系统</w:t>
      </w:r>
      <w:r>
        <w:rPr>
          <w:rFonts w:hint="eastAsia" w:ascii="仿宋" w:hAnsi="仿宋" w:eastAsia="仿宋" w:cs="仿宋"/>
          <w:b/>
          <w:kern w:val="2"/>
          <w:sz w:val="28"/>
          <w:szCs w:val="28"/>
          <w:lang w:val="en-US" w:eastAsia="zh-CN" w:bidi="ar-SA"/>
        </w:rPr>
        <w:t>客户端</w:t>
      </w:r>
    </w:p>
    <w:p>
      <w:pPr>
        <w:widowControl/>
        <w:numPr>
          <w:ilvl w:val="0"/>
          <w:numId w:val="22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CPU：双核2.6GHz以上。</w:t>
      </w:r>
    </w:p>
    <w:p>
      <w:pPr>
        <w:widowControl/>
        <w:numPr>
          <w:ilvl w:val="0"/>
          <w:numId w:val="22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RAM：不小于8GB。</w:t>
      </w:r>
    </w:p>
    <w:p>
      <w:pPr>
        <w:widowControl/>
        <w:numPr>
          <w:ilvl w:val="0"/>
          <w:numId w:val="22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HDD：不小于1T。</w:t>
      </w:r>
    </w:p>
    <w:p>
      <w:pPr>
        <w:widowControl/>
        <w:numPr>
          <w:ilvl w:val="0"/>
          <w:numId w:val="22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显卡：独立显卡，显存不小于4G。</w:t>
      </w:r>
    </w:p>
    <w:p>
      <w:pPr>
        <w:widowControl/>
        <w:numPr>
          <w:ilvl w:val="0"/>
          <w:numId w:val="22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通信接口：2XRS232、和PCI网卡插槽。</w:t>
      </w:r>
    </w:p>
    <w:p>
      <w:pPr>
        <w:widowControl/>
        <w:numPr>
          <w:ilvl w:val="0"/>
          <w:numId w:val="22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输入：101键标准键盘及光电鼠标器。</w:t>
      </w:r>
    </w:p>
    <w:p>
      <w:pPr>
        <w:widowControl/>
        <w:numPr>
          <w:ilvl w:val="0"/>
          <w:numId w:val="22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显示器：18.5”-22”</w:t>
      </w: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弱电</w:t>
      </w:r>
      <w:r>
        <w:rPr>
          <w:rFonts w:hint="eastAsia" w:ascii="楷体" w:hAnsi="楷体" w:eastAsia="仿宋" w:cs="Times New Roman"/>
          <w:b/>
          <w:kern w:val="2"/>
          <w:sz w:val="28"/>
          <w:szCs w:val="20"/>
          <w:lang w:val="en-US" w:eastAsia="zh-CN" w:bidi="ar-SA"/>
        </w:rPr>
        <w:t>交换机</w:t>
      </w:r>
    </w:p>
    <w:p>
      <w:pPr>
        <w:widowControl/>
        <w:numPr>
          <w:ilvl w:val="0"/>
          <w:numId w:val="22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传输速率：1000M。</w:t>
      </w:r>
    </w:p>
    <w:p>
      <w:pPr>
        <w:widowControl/>
        <w:numPr>
          <w:ilvl w:val="0"/>
          <w:numId w:val="22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传输模式：全双工。</w:t>
      </w:r>
    </w:p>
    <w:p>
      <w:pPr>
        <w:widowControl/>
        <w:numPr>
          <w:ilvl w:val="0"/>
          <w:numId w:val="22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功能：支持Vlan。</w:t>
      </w:r>
    </w:p>
    <w:p>
      <w:pPr>
        <w:widowControl/>
        <w:numPr>
          <w:ilvl w:val="0"/>
          <w:numId w:val="22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MAC地址数量：不小于8K。</w:t>
      </w:r>
    </w:p>
    <w:p>
      <w:pPr>
        <w:widowControl/>
        <w:numPr>
          <w:ilvl w:val="0"/>
          <w:numId w:val="22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支持扩展访问控制。</w:t>
      </w:r>
    </w:p>
    <w:p>
      <w:pPr>
        <w:widowControl/>
        <w:numPr>
          <w:ilvl w:val="0"/>
          <w:numId w:val="22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支持千兆光模块。</w:t>
      </w:r>
    </w:p>
    <w:p>
      <w:pPr>
        <w:widowControl/>
        <w:numPr>
          <w:ilvl w:val="0"/>
          <w:numId w:val="22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支持NTP网络时间协议。</w:t>
      </w:r>
    </w:p>
    <w:bookmarkEnd w:id="791"/>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792" w:name="_Toc25651278"/>
      <w:bookmarkStart w:id="793" w:name="_Toc29182"/>
      <w:r>
        <w:rPr>
          <w:rFonts w:hint="eastAsia" w:ascii="楷体" w:hAnsi="楷体" w:eastAsia="仿宋" w:cs="Times New Roman"/>
          <w:b/>
          <w:kern w:val="2"/>
          <w:sz w:val="28"/>
          <w:lang w:val="en-US" w:eastAsia="zh-CN" w:bidi="ar-SA"/>
        </w:rPr>
        <w:t>公共广播系统通用技术要求</w:t>
      </w:r>
      <w:bookmarkEnd w:id="792"/>
      <w:bookmarkEnd w:id="793"/>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网络广播主机</w:t>
      </w:r>
    </w:p>
    <w:p>
      <w:pPr>
        <w:widowControl/>
        <w:numPr>
          <w:ilvl w:val="0"/>
          <w:numId w:val="22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可以通过按键，对不少于24路广播区域进行控制。</w:t>
      </w:r>
    </w:p>
    <w:p>
      <w:pPr>
        <w:widowControl/>
        <w:numPr>
          <w:ilvl w:val="0"/>
          <w:numId w:val="22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录音时间不小于60分钟，最大不少于256段。</w:t>
      </w:r>
    </w:p>
    <w:p>
      <w:pPr>
        <w:widowControl/>
        <w:numPr>
          <w:ilvl w:val="0"/>
          <w:numId w:val="22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使用SD卡作为存储介质的MP3播放器。</w:t>
      </w:r>
    </w:p>
    <w:p>
      <w:pPr>
        <w:widowControl/>
        <w:numPr>
          <w:ilvl w:val="0"/>
          <w:numId w:val="22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供电电源24VDC。</w:t>
      </w:r>
    </w:p>
    <w:p>
      <w:pPr>
        <w:widowControl/>
        <w:numPr>
          <w:ilvl w:val="0"/>
          <w:numId w:val="22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信噪比大于35dB。</w:t>
      </w:r>
    </w:p>
    <w:p>
      <w:pPr>
        <w:widowControl/>
        <w:numPr>
          <w:ilvl w:val="0"/>
          <w:numId w:val="22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频率响应125-8000HZ。</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794" w:name="_Toc16987"/>
      <w:bookmarkStart w:id="795" w:name="_Toc25651280"/>
      <w:r>
        <w:rPr>
          <w:rFonts w:hint="eastAsia" w:ascii="楷体" w:hAnsi="楷体" w:eastAsia="仿宋" w:cs="Times New Roman"/>
          <w:b/>
          <w:kern w:val="2"/>
          <w:sz w:val="28"/>
          <w:lang w:val="en-US" w:eastAsia="zh-CN" w:bidi="ar-SA"/>
        </w:rPr>
        <w:t>ECC大屏幕显示系统通用技术要求</w:t>
      </w:r>
      <w:bookmarkEnd w:id="794"/>
      <w:bookmarkEnd w:id="795"/>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显示单元</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(1).</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由</w:t>
      </w:r>
      <w:r>
        <w:rPr>
          <w:rFonts w:ascii="仿宋" w:hAnsi="仿宋" w:eastAsia="仿宋" w:cs="Times New Roman"/>
          <w:b/>
          <w:kern w:val="0"/>
          <w:sz w:val="28"/>
          <w:szCs w:val="28"/>
          <w:lang w:val="en-US" w:eastAsia="zh-CN" w:bidi="ar-SA"/>
        </w:rPr>
        <w:t>9</w:t>
      </w:r>
      <w:r>
        <w:rPr>
          <w:rFonts w:hint="eastAsia" w:ascii="仿宋" w:hAnsi="仿宋" w:eastAsia="仿宋" w:cs="Times New Roman"/>
          <w:b/>
          <w:kern w:val="0"/>
          <w:sz w:val="28"/>
          <w:szCs w:val="28"/>
          <w:lang w:val="en-US" w:eastAsia="zh-CN" w:bidi="ar-SA"/>
        </w:rPr>
        <w:t>套</w:t>
      </w:r>
      <w:r>
        <w:rPr>
          <w:rFonts w:hint="eastAsia" w:ascii="仿宋" w:hAnsi="仿宋" w:eastAsia="仿宋" w:cs="Times New Roman"/>
          <w:bCs/>
          <w:kern w:val="0"/>
          <w:sz w:val="28"/>
          <w:szCs w:val="28"/>
          <w:lang w:val="en-US" w:eastAsia="zh-CN" w:bidi="ar-SA"/>
        </w:rPr>
        <w:t>55“前维护式液晶拼接显示单元，以</w:t>
      </w:r>
      <w:r>
        <w:rPr>
          <w:rFonts w:ascii="仿宋" w:hAnsi="仿宋" w:eastAsia="仿宋" w:cs="Times New Roman"/>
          <w:bCs/>
          <w:kern w:val="0"/>
          <w:sz w:val="28"/>
          <w:szCs w:val="28"/>
          <w:lang w:val="en-US" w:eastAsia="zh-CN" w:bidi="ar-SA"/>
        </w:rPr>
        <w:t>3</w:t>
      </w:r>
      <w:r>
        <w:rPr>
          <w:rFonts w:hint="eastAsia" w:ascii="仿宋" w:hAnsi="仿宋" w:eastAsia="仿宋" w:cs="Times New Roman"/>
          <w:bCs/>
          <w:kern w:val="0"/>
          <w:sz w:val="28"/>
          <w:szCs w:val="28"/>
          <w:lang w:val="en-US" w:eastAsia="zh-CN" w:bidi="ar-SA"/>
        </w:rPr>
        <w:t>（行）×</w:t>
      </w:r>
      <w:r>
        <w:rPr>
          <w:rFonts w:ascii="仿宋" w:hAnsi="仿宋" w:eastAsia="仿宋" w:cs="Times New Roman"/>
          <w:bCs/>
          <w:kern w:val="0"/>
          <w:sz w:val="28"/>
          <w:szCs w:val="28"/>
          <w:lang w:val="en-US" w:eastAsia="zh-CN" w:bidi="ar-SA"/>
        </w:rPr>
        <w:t>3</w:t>
      </w:r>
      <w:r>
        <w:rPr>
          <w:rFonts w:hint="eastAsia" w:ascii="仿宋" w:hAnsi="仿宋" w:eastAsia="仿宋" w:cs="Times New Roman"/>
          <w:bCs/>
          <w:kern w:val="0"/>
          <w:sz w:val="28"/>
          <w:szCs w:val="28"/>
          <w:lang w:val="en-US" w:eastAsia="zh-CN" w:bidi="ar-SA"/>
        </w:rPr>
        <w:t>（列）拼接而成。单屏分辨率为1920*1080，S-PVA面板技术，LED背光，长宽比16:9，亮度≥500cd/m2，响应时间≤8ms，拼缝≤1.8MM，采用前维护方式。</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(2).</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 xml:space="preserve">对比度3500:1（静态）, 均匀度90%以上, 可视角度H 178° | V 178°, </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(3).</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光源寿命60000小时以上，支持365*24小时工作。无需周期性更换光源部件。</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(4).</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电源：工作电压100—240VAC，50—60HZ；功率≤350W。</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(5).</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输入接口：HDMI、 DVI、USB 2.0。输出接口：DVI。外接控制器接口RS232，RJ45</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(6).</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厂家提供与其大屏配套的大屏控制器</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(7).</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显示单元需要通过权威机构防7度及以上烈度震动的检测报告、噪音等级（≤40dB）检测报告和防尘检测报告。</w:t>
      </w:r>
    </w:p>
    <w:p>
      <w:pPr>
        <w:widowControl w:val="0"/>
        <w:snapToGrid w:val="0"/>
        <w:spacing w:after="0" w:line="560" w:lineRule="exact"/>
        <w:ind w:firstLine="473"/>
        <w:jc w:val="both"/>
        <w:textAlignment w:val="center"/>
        <w:rPr>
          <w:rFonts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(8).</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显示单元具备内置图像处理模块，支持RGB信号和视频信号的直通显示，具有“画中画”显示功能，直通信号可以在任意M×N个屏幕上面放大显示，其拼接和显示的方式不受任何限制。确保各屏之间图像对齐，无线条错位，线条或像素丢失现象。</w:t>
      </w:r>
    </w:p>
    <w:p>
      <w:pPr>
        <w:widowControl w:val="0"/>
        <w:snapToGrid w:val="0"/>
        <w:spacing w:after="0" w:line="560" w:lineRule="exact"/>
        <w:ind w:firstLine="473"/>
        <w:jc w:val="both"/>
        <w:textAlignment w:val="center"/>
        <w:rPr>
          <w:rFonts w:ascii="仿宋" w:hAnsi="仿宋" w:eastAsia="仿宋" w:cs="Times New Roman"/>
          <w:bCs/>
          <w:kern w:val="0"/>
          <w:sz w:val="28"/>
          <w:szCs w:val="28"/>
          <w:lang w:val="en-US" w:eastAsia="zh-CN" w:bidi="ar-SA"/>
        </w:rPr>
      </w:pPr>
    </w:p>
    <w:p>
      <w:pPr>
        <w:numPr>
          <w:ilvl w:val="3"/>
          <w:numId w:val="2"/>
        </w:numPr>
        <w:spacing w:before="0" w:beforeLines="0" w:after="0" w:afterLines="0" w:line="560" w:lineRule="exact"/>
        <w:ind w:left="0" w:firstLine="0"/>
        <w:jc w:val="both"/>
        <w:outlineLvl w:val="3"/>
        <w:rPr>
          <w:rFonts w:hint="eastAsia" w:ascii="仿宋" w:hAnsi="仿宋" w:eastAsia="仿宋" w:cs="仿宋"/>
          <w:b/>
          <w:kern w:val="2"/>
          <w:sz w:val="28"/>
          <w:szCs w:val="28"/>
          <w:lang w:val="en-US" w:eastAsia="zh-CN" w:bidi="ar-SA"/>
        </w:rPr>
      </w:pPr>
      <w:bookmarkStart w:id="796" w:name="_Toc5132088"/>
      <w:bookmarkStart w:id="797" w:name="_Toc310326072"/>
      <w:bookmarkStart w:id="798" w:name="_Toc5613558"/>
      <w:bookmarkStart w:id="799" w:name="_Toc19218"/>
      <w:r>
        <w:rPr>
          <w:rFonts w:hint="eastAsia" w:ascii="仿宋" w:hAnsi="仿宋" w:eastAsia="仿宋" w:cs="仿宋"/>
          <w:b/>
          <w:kern w:val="2"/>
          <w:sz w:val="28"/>
          <w:szCs w:val="28"/>
          <w:lang w:val="en-US" w:eastAsia="zh-CN" w:bidi="ar-SA"/>
        </w:rPr>
        <w:t>多屏</w:t>
      </w:r>
      <w:r>
        <w:rPr>
          <w:rFonts w:hint="eastAsia" w:ascii="楷体" w:hAnsi="楷体" w:eastAsia="仿宋" w:cs="Times New Roman"/>
          <w:b/>
          <w:kern w:val="2"/>
          <w:sz w:val="28"/>
          <w:szCs w:val="20"/>
          <w:lang w:val="en-US" w:eastAsia="zh-CN" w:bidi="ar-SA"/>
        </w:rPr>
        <w:t>处理器</w:t>
      </w:r>
      <w:r>
        <w:rPr>
          <w:rFonts w:hint="eastAsia" w:ascii="仿宋" w:hAnsi="仿宋" w:eastAsia="仿宋" w:cs="仿宋"/>
          <w:b/>
          <w:kern w:val="2"/>
          <w:sz w:val="28"/>
          <w:szCs w:val="28"/>
          <w:lang w:val="en-US" w:eastAsia="zh-CN" w:bidi="ar-SA"/>
        </w:rPr>
        <w:t>系统</w:t>
      </w:r>
      <w:bookmarkEnd w:id="796"/>
      <w:bookmarkEnd w:id="797"/>
      <w:bookmarkEnd w:id="798"/>
    </w:p>
    <w:p>
      <w:pPr>
        <w:widowControl/>
        <w:numPr>
          <w:ilvl w:val="4"/>
          <w:numId w:val="2"/>
        </w:numPr>
        <w:snapToGrid w:val="0"/>
        <w:spacing w:before="190" w:beforeLines="50" w:after="190" w:afterLines="50" w:line="560" w:lineRule="exact"/>
        <w:ind w:left="0" w:firstLine="0"/>
        <w:jc w:val="left"/>
        <w:outlineLvl w:val="4"/>
        <w:rPr>
          <w:rFonts w:ascii="仿宋" w:hAnsi="仿宋" w:eastAsia="仿宋" w:cs="Times New Roman"/>
          <w:sz w:val="28"/>
          <w:szCs w:val="28"/>
        </w:rPr>
      </w:pPr>
      <w:r>
        <w:rPr>
          <w:rFonts w:hint="eastAsia" w:ascii="仿宋" w:hAnsi="仿宋" w:eastAsia="仿宋" w:cs="Times New Roman"/>
          <w:sz w:val="28"/>
          <w:szCs w:val="28"/>
        </w:rPr>
        <w:t>多屏处理器</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大屏幕处理、控制软件等均为暂定需求，后期中标后深化确定，（实现发包人要求的ECC指挥中心的所有显示设备（如大屏、显示器等）的多屏统一控制、信号共享显示、显示墙互相镜像、显示墙画面实时回显及信号源预览等重要功能。</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(1).</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多屏处理器必须是与显示单元、大屏控制软件等属于同一厂家的品牌产品，不会出现兼容性和售后维护问题。</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(2).</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多屏处理器要具备国家3C认证、CB认证、CE认证、ROHS认证。</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(3).</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多屏处理器采用模块化结构，输入输出板卡均支持热插拔，便于扩容、安装与维护。系统应考虑后期扩充。</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(4).</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多屏处理器要求采用纯硬件、嵌入式构架，无常规PC配置，无Windows操作系统，以保证运行过程中不会出现死机、花屏、黑屏等现象。</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(5).</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多屏处理器要求嵌入式、数字化结构设计，180G/S的背板总线带宽，每路信号独享专用传输通道，必须保证信号图像显示的实时、稳定（所有信号30帧/秒的刷新率），不受图像的数量和大小影响。</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(6).</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信号输入支持标准的全制式CVBS（如PAL、NTSC、SECAM等制式）或H.261/3/4、MPEG1/2/4、JPEG/MJPEG、WMV1/2/3压缩编码方式的数字IP流媒体信号的输入处理；支持各种分辨率模拟和数字的RGB信号；支持网络输入显示信号。所有显示信号均能整屏一路显示，多路分屏和跨屏显示，可以进行缩放、自由移动、叠加覆盖和漫游。信号输出采用DVI-I接口输出，最大输出分辨率为1920×1200@60Hz，输出色彩支持32位颜色，向下兼容。可同时输出DVI和VGA信号。</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(7).</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多屏处理器需具有至少24路VGA信号的输入端口，可接收单通道输入信号分辨率最高达3840×2400。信号输出需具有至少8路DVI-I信号输出端口，输出色彩支持32位颜色，最大输出分辨率为1920×1200。</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(8).</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多屏处理器控制应用部分与信号处理部分要求相互分离，两者运算处理相互独立、互不影响，即使控制应用部分出现故障或关机状态，各种信号必须保证可以通过信号处理部分正常处理显示。</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(9).</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应用控制基于Window 2000/XP/WINDOWS7或以上操作系统及更高版本，且兼容UNIX、LINUX系统下应用的综合数据显示。</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(10).</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多屏处理器应用控制必须有中文操作界面，并完全具有对各种信号源输入窗口的汉字正确显示的能力。对输入信号具有倍线和运动补偿功能，以及自带图像拼缝补偿功能。</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(11).</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多屏处理器具有输入通道字符叠加功能和断电记忆功能，支持高达65535×65535分辨率高清图像显示，能够自定义更换底图。</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(12).</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多屏处理器具有较高的稳定性和安全能力，具备7×24小时的连续工作能力，具有双冗余电源、风扇，能够热插拔更换，保证系统工作的稳定与安全。</w:t>
      </w:r>
    </w:p>
    <w:p>
      <w:pPr>
        <w:widowControl/>
        <w:numPr>
          <w:ilvl w:val="4"/>
          <w:numId w:val="2"/>
        </w:numPr>
        <w:snapToGrid w:val="0"/>
        <w:spacing w:before="190" w:beforeLines="50" w:after="190" w:afterLines="50" w:line="560" w:lineRule="exact"/>
        <w:ind w:left="0" w:firstLine="0"/>
        <w:jc w:val="left"/>
        <w:outlineLvl w:val="4"/>
        <w:rPr>
          <w:rFonts w:hint="eastAsia" w:ascii="仿宋" w:hAnsi="仿宋" w:eastAsia="仿宋" w:cs="Times New Roman"/>
          <w:sz w:val="28"/>
          <w:szCs w:val="28"/>
        </w:rPr>
      </w:pPr>
      <w:r>
        <w:rPr>
          <w:rFonts w:hint="eastAsia" w:ascii="仿宋" w:hAnsi="仿宋" w:eastAsia="仿宋" w:cs="Times New Roman"/>
          <w:sz w:val="28"/>
          <w:szCs w:val="28"/>
        </w:rPr>
        <w:t>屏幕管理软件</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(1).</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大屏控制软件必须是与投影机芯、投影单元、多屏处理器等属于同一厂家的品牌产品，不会出现兼容性和售后维护问题, 提供系统控制软件著作权证书。</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(2).</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控制软件应提供一个简单、易用、简洁的全中文操作界面，所有操作通过大屏控制软件的图形界面即可进行统一控制。</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(3).</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系统控制软件具备C/S或B/S结构。所有显示单元、多屏处理及周边设备的色彩、亮度调整、一键开机、一键关机、远程监控维护均在控制软件上实现。还可控制窗口的拼接与分割，屏与屏之间的拼缝不能影响字符和图形的正确显示。</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(4).</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系统控制软件能够控制四套不同分辨率的大屏幕系统，所有类型信号画面从单屏显示按相应比例无级放大到全屏显示，整个屏幕亮度均匀，无暗角或亮角等现象，画面稳定无闪烁。</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(5).</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系统控制软件提供多用户的认证和授权机制，可为不同的操作者分配特定的操作和访问权限。管理员可对各操作员授予各种操作功能的权限，也可以根据大屏幕不同区域设定各操作员的可操作区域。</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(6).</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系统控制软件提供模式和预案管理。操作员可对各种信号窗口的显示方式和布局保存成模式，或者根据时序定制为预案，可通过快捷键对模式和预案进行快速调用，实现自动化控制管理功能。</w:t>
      </w:r>
    </w:p>
    <w:p>
      <w:pPr>
        <w:widowControl w:val="0"/>
        <w:snapToGrid w:val="0"/>
        <w:spacing w:after="0" w:line="560" w:lineRule="exact"/>
        <w:ind w:firstLine="473"/>
        <w:jc w:val="both"/>
        <w:textAlignment w:val="center"/>
        <w:rPr>
          <w:rFonts w:hint="eastAsia"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(7).</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大屏幕界面的虚拟功能：操作人员可在操作工作站显示器上看到虚拟的大屏幕的拼接界面，可在此虚拟界面上看到所有大屏上显示的信号窗口，以便操作人员不必看大屏幕就能完成对大屏幕上的应用窗口的大小、显示位置等参数进行操控。</w:t>
      </w:r>
    </w:p>
    <w:p>
      <w:pPr>
        <w:widowControl w:val="0"/>
        <w:snapToGrid w:val="0"/>
        <w:spacing w:after="0" w:line="560" w:lineRule="exact"/>
        <w:ind w:firstLine="473"/>
        <w:jc w:val="both"/>
        <w:textAlignment w:val="center"/>
        <w:rPr>
          <w:rFonts w:ascii="仿宋" w:hAnsi="仿宋" w:eastAsia="仿宋" w:cs="Times New Roman"/>
          <w:bCs/>
          <w:kern w:val="0"/>
          <w:sz w:val="28"/>
          <w:szCs w:val="28"/>
          <w:lang w:val="en-US" w:eastAsia="zh-CN" w:bidi="ar-SA"/>
        </w:rPr>
      </w:pPr>
      <w:r>
        <w:rPr>
          <w:rFonts w:hint="eastAsia" w:ascii="仿宋" w:hAnsi="仿宋" w:eastAsia="仿宋" w:cs="Times New Roman"/>
          <w:bCs/>
          <w:kern w:val="0"/>
          <w:sz w:val="28"/>
          <w:szCs w:val="28"/>
          <w:lang w:val="en-US" w:eastAsia="zh-CN" w:bidi="ar-SA"/>
        </w:rPr>
        <w:t>(8).</w:t>
      </w:r>
      <w:r>
        <w:rPr>
          <w:rFonts w:hint="eastAsia" w:ascii="仿宋" w:hAnsi="仿宋" w:eastAsia="仿宋" w:cs="Times New Roman"/>
          <w:bCs/>
          <w:kern w:val="0"/>
          <w:sz w:val="28"/>
          <w:szCs w:val="28"/>
          <w:lang w:val="en-US" w:eastAsia="zh-CN" w:bidi="ar-SA"/>
        </w:rPr>
        <w:tab/>
      </w:r>
      <w:r>
        <w:rPr>
          <w:rFonts w:hint="eastAsia" w:ascii="仿宋" w:hAnsi="仿宋" w:eastAsia="仿宋" w:cs="Times New Roman"/>
          <w:bCs/>
          <w:kern w:val="0"/>
          <w:sz w:val="28"/>
          <w:szCs w:val="28"/>
          <w:lang w:val="en-US" w:eastAsia="zh-CN" w:bidi="ar-SA"/>
        </w:rPr>
        <w:t>大屏控制软件具有完整的二次开发接口，提供对其他系统的控制接口，且必须保证免费提供控制软件系统的升级和更新。</w:t>
      </w:r>
    </w:p>
    <w:bookmarkEnd w:id="799"/>
    <w:p>
      <w:pPr>
        <w:spacing w:line="560" w:lineRule="exact"/>
        <w:textAlignment w:val="center"/>
        <w:rPr>
          <w:rFonts w:hint="eastAsia" w:ascii="仿宋" w:hAnsi="仿宋" w:cs="Arial"/>
          <w:bCs/>
          <w:szCs w:val="28"/>
        </w:rPr>
        <w:sectPr>
          <w:pgSz w:w="11906" w:h="16838"/>
          <w:pgMar w:top="1440" w:right="1800" w:bottom="1440" w:left="1800" w:header="851" w:footer="992" w:gutter="0"/>
          <w:pgNumType w:fmt="decimal"/>
          <w:cols w:space="720" w:num="1"/>
          <w:titlePg/>
          <w:docGrid w:type="lines" w:linePitch="381" w:charSpace="0"/>
        </w:sectPr>
      </w:pPr>
      <w:bookmarkStart w:id="800" w:name="_Toc470692884"/>
      <w:bookmarkEnd w:id="800"/>
      <w:bookmarkStart w:id="801" w:name="_Toc470691779"/>
      <w:bookmarkEnd w:id="801"/>
      <w:bookmarkStart w:id="802" w:name="_Toc470692872"/>
      <w:bookmarkEnd w:id="802"/>
      <w:bookmarkStart w:id="803" w:name="_Toc470691763"/>
      <w:bookmarkEnd w:id="803"/>
      <w:bookmarkStart w:id="804" w:name="_Toc470692871"/>
      <w:bookmarkEnd w:id="804"/>
      <w:bookmarkStart w:id="805" w:name="_Toc470691768"/>
      <w:bookmarkEnd w:id="805"/>
      <w:bookmarkStart w:id="806" w:name="_Toc470691772"/>
      <w:bookmarkEnd w:id="806"/>
      <w:bookmarkStart w:id="807" w:name="_Toc470692885"/>
      <w:bookmarkEnd w:id="807"/>
      <w:bookmarkStart w:id="808" w:name="_Toc470691778"/>
      <w:bookmarkEnd w:id="808"/>
      <w:bookmarkStart w:id="809" w:name="_Toc470692876"/>
      <w:bookmarkEnd w:id="809"/>
      <w:bookmarkStart w:id="810" w:name="_Toc470692886"/>
      <w:bookmarkEnd w:id="810"/>
      <w:bookmarkStart w:id="811" w:name="_Toc470692888"/>
      <w:bookmarkEnd w:id="811"/>
      <w:bookmarkStart w:id="812" w:name="_Toc470691762"/>
      <w:bookmarkEnd w:id="812"/>
      <w:bookmarkStart w:id="813" w:name="_Toc470692879"/>
      <w:bookmarkEnd w:id="813"/>
      <w:bookmarkStart w:id="814" w:name="_Toc470691765"/>
      <w:bookmarkEnd w:id="814"/>
      <w:bookmarkStart w:id="815" w:name="_Toc470692887"/>
      <w:bookmarkEnd w:id="815"/>
      <w:bookmarkStart w:id="816" w:name="_Toc470692873"/>
      <w:bookmarkEnd w:id="816"/>
      <w:bookmarkStart w:id="817" w:name="_Toc470691764"/>
      <w:bookmarkEnd w:id="817"/>
      <w:bookmarkStart w:id="818" w:name="_Toc470691776"/>
      <w:bookmarkEnd w:id="818"/>
      <w:bookmarkStart w:id="819" w:name="_Toc470691767"/>
      <w:bookmarkEnd w:id="819"/>
      <w:bookmarkStart w:id="820" w:name="_Toc470691774"/>
      <w:bookmarkEnd w:id="820"/>
      <w:bookmarkStart w:id="821" w:name="_Toc470692878"/>
      <w:bookmarkEnd w:id="821"/>
      <w:bookmarkStart w:id="822" w:name="_Toc470691771"/>
      <w:bookmarkEnd w:id="822"/>
      <w:bookmarkStart w:id="823" w:name="_Toc470691766"/>
      <w:bookmarkEnd w:id="823"/>
      <w:bookmarkStart w:id="824" w:name="_Toc470691769"/>
      <w:bookmarkEnd w:id="824"/>
      <w:bookmarkStart w:id="825" w:name="_Toc470692875"/>
      <w:bookmarkEnd w:id="825"/>
      <w:bookmarkStart w:id="826" w:name="_Toc470691777"/>
      <w:bookmarkEnd w:id="826"/>
      <w:bookmarkStart w:id="827" w:name="_Toc470692883"/>
      <w:bookmarkEnd w:id="827"/>
      <w:bookmarkStart w:id="828" w:name="_Toc470692882"/>
      <w:bookmarkEnd w:id="828"/>
      <w:bookmarkStart w:id="829" w:name="_Toc470692874"/>
      <w:bookmarkEnd w:id="829"/>
      <w:bookmarkStart w:id="830" w:name="_Toc470692877"/>
      <w:bookmarkEnd w:id="830"/>
      <w:bookmarkStart w:id="831" w:name="_Toc470692880"/>
      <w:bookmarkEnd w:id="831"/>
      <w:bookmarkStart w:id="832" w:name="_Toc470692881"/>
      <w:bookmarkEnd w:id="832"/>
      <w:bookmarkStart w:id="833" w:name="_Toc470691770"/>
      <w:bookmarkEnd w:id="833"/>
      <w:bookmarkStart w:id="834" w:name="_Toc470691773"/>
      <w:bookmarkEnd w:id="834"/>
      <w:bookmarkStart w:id="835" w:name="_Toc470691775"/>
      <w:bookmarkEnd w:id="835"/>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836" w:name="_Toc22917"/>
      <w:r>
        <w:rPr>
          <w:rFonts w:hint="eastAsia" w:ascii="仿宋" w:hAnsi="仿宋" w:eastAsia="仿宋" w:cs="仿宋"/>
          <w:b/>
          <w:bCs/>
          <w:kern w:val="2"/>
          <w:sz w:val="28"/>
          <w:szCs w:val="28"/>
          <w:lang w:val="en-US" w:eastAsia="zh-CN" w:bidi="ar-SA"/>
        </w:rPr>
        <w:t>综合布线子系统</w:t>
      </w:r>
      <w:bookmarkEnd w:id="836"/>
    </w:p>
    <w:p>
      <w:pPr>
        <w:keepLines/>
        <w:numPr>
          <w:ilvl w:val="2"/>
          <w:numId w:val="2"/>
        </w:numPr>
        <w:adjustRightInd w:val="0"/>
        <w:spacing w:before="190" w:beforeLines="50" w:after="190" w:afterLines="5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837" w:name="_Toc31544"/>
      <w:r>
        <w:rPr>
          <w:rFonts w:hint="eastAsia" w:ascii="楷体" w:hAnsi="楷体" w:eastAsia="仿宋" w:cs="Times New Roman"/>
          <w:b/>
          <w:kern w:val="2"/>
          <w:sz w:val="28"/>
          <w:lang w:val="en-US" w:eastAsia="zh-CN" w:bidi="ar-SA"/>
        </w:rPr>
        <w:t>综合布线系统</w:t>
      </w:r>
      <w:bookmarkEnd w:id="837"/>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总体要求</w:t>
      </w:r>
    </w:p>
    <w:p>
      <w:pPr>
        <w:widowControl/>
        <w:numPr>
          <w:ilvl w:val="0"/>
          <w:numId w:val="22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设备制造商及其布线生产工厂必须取得并提供有效的ISO9001质量体系认证书。</w:t>
      </w:r>
    </w:p>
    <w:p>
      <w:pPr>
        <w:widowControl/>
        <w:numPr>
          <w:ilvl w:val="0"/>
          <w:numId w:val="22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厂商提供的布线产品包括六类/超</w:t>
      </w:r>
      <w:r>
        <w:rPr>
          <w:rFonts w:ascii="仿宋" w:hAnsi="仿宋" w:eastAsia="仿宋" w:cs="Times New Roman"/>
          <w:sz w:val="28"/>
          <w:szCs w:val="28"/>
          <w:lang w:val="zh-CN"/>
        </w:rPr>
        <w:t>六类</w:t>
      </w:r>
      <w:r>
        <w:rPr>
          <w:rFonts w:hint="eastAsia" w:ascii="仿宋" w:hAnsi="仿宋" w:eastAsia="仿宋" w:cs="Times New Roman"/>
          <w:sz w:val="28"/>
          <w:szCs w:val="28"/>
          <w:lang w:val="zh-CN"/>
        </w:rPr>
        <w:t>线缆，跳线，面板，配线架，信息模块，大对数铜缆，室内外光缆，光纤接插件，工具及耗材必须为端对端同一厂家产品，以便日后提供唯一厂家的产品及系统保证。</w:t>
      </w:r>
    </w:p>
    <w:p>
      <w:pPr>
        <w:widowControl/>
        <w:numPr>
          <w:ilvl w:val="0"/>
          <w:numId w:val="22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投标商必须提供原厂商提供的参与该项目投标的专项授权证明书，中标之后所供布线产品需要提供原厂证明。</w:t>
      </w:r>
    </w:p>
    <w:p>
      <w:pPr>
        <w:widowControl/>
        <w:numPr>
          <w:ilvl w:val="0"/>
          <w:numId w:val="22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铜缆系统采用符合国际标准的六类/超</w:t>
      </w:r>
      <w:r>
        <w:rPr>
          <w:rFonts w:ascii="仿宋" w:hAnsi="仿宋" w:eastAsia="仿宋" w:cs="Times New Roman"/>
          <w:sz w:val="28"/>
          <w:szCs w:val="28"/>
          <w:lang w:val="zh-CN"/>
        </w:rPr>
        <w:t>六类</w:t>
      </w:r>
      <w:r>
        <w:rPr>
          <w:rFonts w:hint="eastAsia" w:ascii="仿宋" w:hAnsi="仿宋" w:eastAsia="仿宋" w:cs="Times New Roman"/>
          <w:sz w:val="28"/>
          <w:szCs w:val="28"/>
          <w:lang w:val="zh-CN"/>
        </w:rPr>
        <w:t>系统。</w:t>
      </w:r>
    </w:p>
    <w:p>
      <w:pPr>
        <w:widowControl/>
        <w:numPr>
          <w:ilvl w:val="0"/>
          <w:numId w:val="22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综合布线系统不但必须满足当前的业务处理需求，更要考虑今后通讯及宽带网络发展需求。需提供厂家20年或以上原厂质量及系统保证书。</w:t>
      </w:r>
    </w:p>
    <w:p>
      <w:pPr>
        <w:widowControl/>
        <w:numPr>
          <w:ilvl w:val="0"/>
          <w:numId w:val="22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要求所有布线系统所需的主材均选用要求统一品牌原厂产品，要求为国际知名品牌，其产品线需齐全，技术先进，在行业内有着广泛的应用，其产品具有可靠性，稳定性，</w:t>
      </w:r>
      <w:bookmarkStart w:id="838" w:name="_Toc357868223"/>
      <w:r>
        <w:rPr>
          <w:rFonts w:hint="eastAsia" w:ascii="仿宋" w:hAnsi="仿宋" w:eastAsia="仿宋" w:cs="Times New Roman"/>
          <w:sz w:val="28"/>
          <w:szCs w:val="28"/>
          <w:lang w:val="zh-CN"/>
        </w:rPr>
        <w:t>先进性。</w:t>
      </w:r>
    </w:p>
    <w:p>
      <w:pPr>
        <w:numPr>
          <w:ilvl w:val="3"/>
          <w:numId w:val="2"/>
        </w:numPr>
        <w:spacing w:before="0" w:beforeLines="0" w:after="0" w:afterLines="0" w:line="560" w:lineRule="exact"/>
        <w:ind w:left="0" w:firstLine="0"/>
        <w:jc w:val="both"/>
        <w:outlineLvl w:val="3"/>
        <w:rPr>
          <w:rFonts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综合布线系统主要产</w:t>
      </w:r>
      <w:bookmarkEnd w:id="838"/>
      <w:r>
        <w:rPr>
          <w:rFonts w:hint="eastAsia" w:ascii="楷体" w:hAnsi="楷体" w:eastAsia="仿宋" w:cs="Times New Roman"/>
          <w:b/>
          <w:kern w:val="2"/>
          <w:sz w:val="28"/>
          <w:szCs w:val="20"/>
          <w:lang w:val="en-US" w:eastAsia="zh-CN" w:bidi="ar-SA"/>
        </w:rPr>
        <w:t>品技术要求</w:t>
      </w:r>
    </w:p>
    <w:p>
      <w:pPr>
        <w:widowControl/>
        <w:numPr>
          <w:ilvl w:val="4"/>
          <w:numId w:val="2"/>
        </w:numPr>
        <w:spacing w:line="660" w:lineRule="exact"/>
        <w:ind w:left="0" w:firstLine="0"/>
        <w:jc w:val="left"/>
        <w:textAlignment w:val="center"/>
        <w:outlineLvl w:val="5"/>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铜缆系统材料技术规格</w:t>
      </w:r>
    </w:p>
    <w:p>
      <w:pPr>
        <w:widowControl/>
        <w:tabs>
          <w:tab w:val="left" w:pos="1134"/>
        </w:tabs>
        <w:spacing w:line="660" w:lineRule="exact"/>
        <w:ind w:firstLine="560" w:firstLineChars="200"/>
        <w:textAlignment w:val="center"/>
        <w:rPr>
          <w:rFonts w:hint="eastAsia" w:ascii="仿宋_GB2312" w:hAnsi="宋体" w:eastAsia="仿宋_GB2312" w:cs="仿宋gb2312"/>
          <w:bCs/>
          <w:sz w:val="28"/>
          <w:szCs w:val="28"/>
        </w:rPr>
      </w:pPr>
      <w:r>
        <w:rPr>
          <w:rFonts w:hint="eastAsia" w:ascii="仿宋_GB2312" w:hAnsi="宋体" w:eastAsia="仿宋_GB2312" w:cs="仿宋gb2312"/>
          <w:bCs/>
          <w:sz w:val="28"/>
          <w:szCs w:val="28"/>
        </w:rPr>
        <w:t>综合布线系统的铜缆和配套产品必须由同一品牌厂商生产制造，不允许OEM形式，以满足本工程的性能要求。中标人出具的专项投标授权函必须清楚写出符合标书技术要求的产品，不可模糊表达。</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noWrap w:val="0"/>
            <w:vAlign w:val="center"/>
          </w:tcPr>
          <w:p>
            <w:pPr>
              <w:widowControl/>
              <w:spacing w:before="190" w:beforeLines="50" w:after="190" w:afterLines="50" w:line="660" w:lineRule="exact"/>
              <w:jc w:val="center"/>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功能类别</w:t>
            </w:r>
          </w:p>
        </w:tc>
        <w:tc>
          <w:tcPr>
            <w:tcW w:w="6983" w:type="dxa"/>
            <w:noWrap w:val="0"/>
            <w:vAlign w:val="center"/>
          </w:tcPr>
          <w:p>
            <w:pPr>
              <w:widowControl/>
              <w:spacing w:before="190" w:beforeLines="50" w:after="190" w:afterLines="50" w:line="660" w:lineRule="exact"/>
              <w:jc w:val="center"/>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规格及技术要求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noWrap w:val="0"/>
            <w:vAlign w:val="center"/>
          </w:tcPr>
          <w:p>
            <w:pPr>
              <w:widowControl/>
              <w:spacing w:before="190" w:beforeLines="50" w:after="190" w:afterLines="50" w:line="660" w:lineRule="exac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信息面板</w:t>
            </w:r>
          </w:p>
        </w:tc>
        <w:tc>
          <w:tcPr>
            <w:tcW w:w="6983" w:type="dxa"/>
            <w:noWrap w:val="0"/>
            <w:vAlign w:val="center"/>
          </w:tcPr>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规格：86 型，可安装铜缆及光缆终端模块，与RJ45 模块插座配套，单个面板要求具有1、2端口类型，并可附加文字标识。</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颜色：乳白色或白色或</w:t>
            </w:r>
            <w:r>
              <w:rPr>
                <w:rFonts w:hint="eastAsia" w:ascii="仿宋_GB2312" w:hAnsi="宋体" w:eastAsia="仿宋_GB2312" w:cs="仿宋_GB2312"/>
                <w:bCs/>
                <w:sz w:val="28"/>
                <w:szCs w:val="28"/>
              </w:rPr>
              <w:t>以招标人最终选定为准</w:t>
            </w:r>
            <w:r>
              <w:rPr>
                <w:rFonts w:hint="eastAsia" w:ascii="仿宋_GB2312" w:hAnsi="宋体" w:eastAsia="仿宋_GB2312" w:cs="仿宋"/>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noWrap w:val="0"/>
            <w:vAlign w:val="center"/>
          </w:tcPr>
          <w:p>
            <w:pPr>
              <w:widowControl/>
              <w:spacing w:before="190" w:beforeLines="50" w:after="190" w:afterLines="50" w:line="660" w:lineRule="exac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六类/超六铜缆信息模块</w:t>
            </w:r>
          </w:p>
        </w:tc>
        <w:tc>
          <w:tcPr>
            <w:tcW w:w="6983" w:type="dxa"/>
            <w:noWrap w:val="0"/>
            <w:vAlign w:val="center"/>
          </w:tcPr>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信息模块接口处经过特殊处理，能够满足高速数据及语音信号的传输，电气性能达到关于六类、超六类标准要求。</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重复跳插次数按标准不低于750h。</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 xml:space="preserve">模块上需标有T568A/T568B打线色标标准。 </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阻燃材料，UL94V-0等级。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96" w:type="dxa"/>
            <w:noWrap w:val="0"/>
            <w:vAlign w:val="center"/>
          </w:tcPr>
          <w:p>
            <w:pPr>
              <w:widowControl/>
              <w:spacing w:before="190" w:beforeLines="50" w:after="190" w:afterLines="50" w:line="660" w:lineRule="exac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六类/超六铜缆跳线</w:t>
            </w:r>
          </w:p>
        </w:tc>
        <w:tc>
          <w:tcPr>
            <w:tcW w:w="6983" w:type="dxa"/>
            <w:noWrap w:val="0"/>
            <w:vAlign w:val="center"/>
          </w:tcPr>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规格：8芯多股线，软跳线。</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标准：符合ANSI-EINTIA-568.C ISO/IEC11801-2002ed2.0, GB50311-2007关于六类、超六类标准要求。</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长度及颜色：可根据需要提供不同的长度和颜色。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1496" w:type="dxa"/>
            <w:noWrap w:val="0"/>
            <w:vAlign w:val="center"/>
          </w:tcPr>
          <w:p>
            <w:pPr>
              <w:widowControl/>
              <w:spacing w:before="190" w:beforeLines="50" w:after="190" w:afterLines="50" w:line="660" w:lineRule="exac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六类/超六铜缆配线架(空架)</w:t>
            </w:r>
          </w:p>
        </w:tc>
        <w:tc>
          <w:tcPr>
            <w:tcW w:w="6983" w:type="dxa"/>
            <w:noWrap w:val="0"/>
            <w:vAlign w:val="center"/>
          </w:tcPr>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规格：19”机柜/机架式配置，24口，RJ45模块化卡接式结构，高度1U，金属材质。</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标准：符合ANSI-EINTIA-568.C ISO/IEC11801-2002ed2.0, GB50311-2007关于六类、超六类标准要求。</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配线架为24口空配线架，根据具体信息点数量配置相应的模块数量，需配置理线器，便于线缆管理。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noWrap w:val="0"/>
            <w:vAlign w:val="center"/>
          </w:tcPr>
          <w:p>
            <w:pPr>
              <w:widowControl/>
              <w:spacing w:before="190" w:beforeLines="50" w:after="190" w:afterLines="50" w:line="660" w:lineRule="exac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六类/超六水平铜缆</w:t>
            </w:r>
          </w:p>
        </w:tc>
        <w:tc>
          <w:tcPr>
            <w:tcW w:w="6983" w:type="dxa"/>
            <w:noWrap w:val="0"/>
            <w:vAlign w:val="center"/>
          </w:tcPr>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采用4对双绞线。</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标准：EIA/TIA 568B.2-1规定的六类标准、TIA/EIA-568B.2-10 6A类标准和ISO11801 Ea级标准。</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特性阻抗：100±15Ω。</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线径：AWG23。</w:t>
            </w:r>
          </w:p>
        </w:tc>
      </w:tr>
    </w:tbl>
    <w:p>
      <w:pPr>
        <w:widowControl/>
        <w:numPr>
          <w:ilvl w:val="4"/>
          <w:numId w:val="2"/>
        </w:numPr>
        <w:spacing w:line="660" w:lineRule="exact"/>
        <w:ind w:left="0" w:firstLine="0"/>
        <w:jc w:val="left"/>
        <w:textAlignment w:val="center"/>
        <w:outlineLvl w:val="5"/>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光缆系统材料技术规格</w:t>
      </w:r>
    </w:p>
    <w:p>
      <w:pPr>
        <w:widowControl/>
        <w:spacing w:line="660" w:lineRule="exact"/>
        <w:ind w:firstLine="560" w:firstLineChars="200"/>
        <w:textAlignment w:val="center"/>
        <w:rPr>
          <w:rFonts w:hint="eastAsia" w:ascii="仿宋_GB2312" w:hAnsi="宋体" w:eastAsia="仿宋_GB2312" w:cs="仿宋gb2312"/>
          <w:bCs/>
          <w:sz w:val="28"/>
          <w:szCs w:val="28"/>
        </w:rPr>
      </w:pPr>
      <w:r>
        <w:rPr>
          <w:rFonts w:hint="eastAsia" w:ascii="仿宋_GB2312" w:hAnsi="宋体" w:eastAsia="仿宋_GB2312" w:cs="仿宋gb2312"/>
          <w:bCs/>
          <w:sz w:val="28"/>
          <w:szCs w:val="28"/>
        </w:rPr>
        <w:t>综合布线系统的光缆和配套产品必须由同一品牌厂商生产制造，不允许OEM形式，以满足本工程的性能要求。中标人出具的专项投标授权函必须清楚写出符合标书技术要求的产品，不可模糊表达。</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noWrap w:val="0"/>
            <w:vAlign w:val="center"/>
          </w:tcPr>
          <w:p>
            <w:pPr>
              <w:widowControl/>
              <w:spacing w:before="190" w:beforeLines="50" w:after="190" w:afterLines="50" w:line="660" w:lineRule="exact"/>
              <w:jc w:val="center"/>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功能类别</w:t>
            </w:r>
          </w:p>
        </w:tc>
        <w:tc>
          <w:tcPr>
            <w:tcW w:w="6983" w:type="dxa"/>
            <w:noWrap w:val="0"/>
            <w:vAlign w:val="center"/>
          </w:tcPr>
          <w:p>
            <w:pPr>
              <w:widowControl/>
              <w:spacing w:before="190" w:beforeLines="50" w:after="190" w:afterLines="50" w:line="660" w:lineRule="exact"/>
              <w:jc w:val="center"/>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规格及技术要求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496" w:type="dxa"/>
            <w:noWrap w:val="0"/>
            <w:vAlign w:val="center"/>
          </w:tcPr>
          <w:p>
            <w:pPr>
              <w:widowControl/>
              <w:spacing w:before="190" w:beforeLines="50" w:after="190" w:afterLines="50" w:line="660" w:lineRule="exac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机架式光纤配线架</w:t>
            </w:r>
          </w:p>
        </w:tc>
        <w:tc>
          <w:tcPr>
            <w:tcW w:w="6983" w:type="dxa"/>
            <w:noWrap w:val="0"/>
            <w:vAlign w:val="center"/>
          </w:tcPr>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配线架端口：1U支持48芯LC连接，需配置相应耦合器或耦合器连接条。</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安装方式：19英寸机柜式安装。</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标签：空白的标签系统方便标示光纤接合和端接。</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安装要求：可安装各种适合的光纤耦合器。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noWrap w:val="0"/>
            <w:vAlign w:val="center"/>
          </w:tcPr>
          <w:p>
            <w:pPr>
              <w:widowControl/>
              <w:spacing w:before="190" w:beforeLines="50" w:after="190" w:afterLines="50" w:line="660" w:lineRule="exac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OM4多模光缆</w:t>
            </w:r>
          </w:p>
        </w:tc>
        <w:tc>
          <w:tcPr>
            <w:tcW w:w="6983" w:type="dxa"/>
            <w:noWrap w:val="0"/>
            <w:vAlign w:val="center"/>
          </w:tcPr>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类型：50/125um多模OM4光缆，需符合TIA-492AAAD关于OM4光纤的标准，10Gb/s 可传输 550m，且向下兼容千兆以太网应用。</w:t>
            </w:r>
          </w:p>
          <w:p>
            <w:pPr>
              <w:numPr>
                <w:ilvl w:val="0"/>
                <w:numId w:val="225"/>
              </w:numPr>
              <w:adjustRightInd w:val="0"/>
              <w:snapToGrid w:val="0"/>
              <w:spacing w:before="190" w:beforeLines="50" w:after="190" w:afterLines="50" w:line="660" w:lineRule="exact"/>
              <w:ind w:left="420" w:hanging="420"/>
              <w:jc w:val="left"/>
              <w:textAlignment w:val="center"/>
              <w:rPr>
                <w:rFonts w:hint="eastAsia" w:ascii="仿宋_GB2312" w:hAnsi="宋体" w:eastAsia="仿宋_GB2312" w:cs="仿宋"/>
                <w:bCs/>
                <w:kern w:val="0"/>
                <w:sz w:val="24"/>
                <w:szCs w:val="24"/>
                <w:lang w:val="en-US" w:eastAsia="zh-CN" w:bidi="ar-SA"/>
              </w:rPr>
            </w:pPr>
            <w:r>
              <w:rPr>
                <w:rFonts w:hint="eastAsia" w:ascii="仿宋_GB2312" w:hAnsi="宋体" w:eastAsia="仿宋_GB2312" w:cs="仿宋"/>
                <w:bCs/>
                <w:kern w:val="0"/>
                <w:sz w:val="24"/>
                <w:szCs w:val="24"/>
                <w:lang w:val="en-US" w:eastAsia="zh-CN" w:bidi="ar-SA"/>
              </w:rPr>
              <w:t>衰减指标满足：最大3dB/km@850nm及1dB/km @1300nm。</w:t>
            </w:r>
          </w:p>
          <w:p>
            <w:pPr>
              <w:numPr>
                <w:ilvl w:val="0"/>
                <w:numId w:val="225"/>
              </w:numPr>
              <w:adjustRightInd w:val="0"/>
              <w:snapToGrid w:val="0"/>
              <w:spacing w:before="190" w:beforeLines="50" w:after="190" w:afterLines="50" w:line="660" w:lineRule="exact"/>
              <w:ind w:left="420" w:hanging="420"/>
              <w:jc w:val="left"/>
              <w:textAlignment w:val="center"/>
              <w:rPr>
                <w:rFonts w:hint="eastAsia" w:ascii="仿宋_GB2312" w:hAnsi="宋体" w:eastAsia="仿宋_GB2312" w:cs="仿宋"/>
                <w:bCs/>
                <w:kern w:val="0"/>
                <w:sz w:val="24"/>
                <w:szCs w:val="24"/>
                <w:lang w:val="en-US" w:eastAsia="zh-CN" w:bidi="ar-SA"/>
              </w:rPr>
            </w:pPr>
            <w:r>
              <w:rPr>
                <w:rFonts w:hint="eastAsia" w:ascii="仿宋_GB2312" w:hAnsi="宋体" w:eastAsia="仿宋_GB2312" w:cs="仿宋"/>
                <w:bCs/>
                <w:kern w:val="0"/>
                <w:sz w:val="24"/>
                <w:szCs w:val="24"/>
                <w:lang w:val="en-US" w:eastAsia="zh-CN" w:bidi="ar-SA"/>
              </w:rPr>
              <w:t>带宽指标满足：最小4700MHz-km@850nm(有效模式带宽EMB)。</w:t>
            </w:r>
          </w:p>
          <w:p>
            <w:pPr>
              <w:numPr>
                <w:ilvl w:val="0"/>
                <w:numId w:val="225"/>
              </w:numPr>
              <w:adjustRightInd w:val="0"/>
              <w:snapToGrid w:val="0"/>
              <w:spacing w:before="190" w:beforeLines="50" w:after="190" w:afterLines="50" w:line="660" w:lineRule="exact"/>
              <w:ind w:left="420" w:hanging="420"/>
              <w:jc w:val="left"/>
              <w:textAlignment w:val="center"/>
              <w:rPr>
                <w:rFonts w:hint="eastAsia" w:ascii="仿宋_GB2312" w:hAnsi="宋体" w:eastAsia="仿宋_GB2312" w:cs="仿宋"/>
                <w:bCs/>
                <w:kern w:val="0"/>
                <w:sz w:val="24"/>
                <w:szCs w:val="24"/>
                <w:lang w:val="en-US" w:eastAsia="zh-CN" w:bidi="ar-SA"/>
              </w:rPr>
            </w:pPr>
            <w:r>
              <w:rPr>
                <w:rFonts w:hint="eastAsia" w:ascii="仿宋_GB2312" w:hAnsi="宋体" w:eastAsia="仿宋_GB2312" w:cs="仿宋"/>
                <w:bCs/>
                <w:kern w:val="0"/>
                <w:sz w:val="24"/>
                <w:szCs w:val="24"/>
                <w:lang w:val="en-US" w:eastAsia="zh-CN" w:bidi="ar-SA"/>
              </w:rPr>
              <w:t>良好的弯曲半径。</w:t>
            </w:r>
          </w:p>
          <w:p>
            <w:pPr>
              <w:numPr>
                <w:ilvl w:val="0"/>
                <w:numId w:val="225"/>
              </w:numPr>
              <w:adjustRightInd w:val="0"/>
              <w:snapToGrid w:val="0"/>
              <w:spacing w:before="190" w:beforeLines="50" w:after="190" w:afterLines="50" w:line="660" w:lineRule="exact"/>
              <w:ind w:left="420" w:hanging="420"/>
              <w:jc w:val="left"/>
              <w:textAlignment w:val="center"/>
              <w:rPr>
                <w:rFonts w:hint="eastAsia" w:ascii="仿宋_GB2312" w:hAnsi="宋体" w:eastAsia="仿宋_GB2312" w:cs="仿宋"/>
                <w:bCs/>
                <w:kern w:val="0"/>
                <w:sz w:val="24"/>
                <w:szCs w:val="24"/>
                <w:lang w:val="en-US" w:eastAsia="zh-CN" w:bidi="ar-SA"/>
              </w:rPr>
            </w:pPr>
            <w:r>
              <w:rPr>
                <w:rFonts w:hint="eastAsia" w:ascii="仿宋_GB2312" w:hAnsi="宋体" w:eastAsia="仿宋_GB2312" w:cs="仿宋"/>
                <w:bCs/>
                <w:kern w:val="0"/>
                <w:sz w:val="24"/>
                <w:szCs w:val="24"/>
                <w:lang w:val="en-US" w:eastAsia="zh-CN" w:bidi="ar-SA"/>
              </w:rPr>
              <w:t>芯数：单根光缆可提供12芯至96芯多种规格。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6" w:type="dxa"/>
            <w:noWrap w:val="0"/>
            <w:vAlign w:val="center"/>
          </w:tcPr>
          <w:p>
            <w:pPr>
              <w:widowControl/>
              <w:spacing w:before="190" w:beforeLines="50" w:after="190" w:afterLines="50" w:line="660" w:lineRule="exac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OM4多模光纤尾纤及跳线</w:t>
            </w:r>
          </w:p>
        </w:tc>
        <w:tc>
          <w:tcPr>
            <w:tcW w:w="6983" w:type="dxa"/>
            <w:noWrap w:val="0"/>
            <w:vAlign w:val="center"/>
          </w:tcPr>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制造商的原厂成品产品。</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规格：50\125um，多模OM4。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496" w:type="dxa"/>
            <w:noWrap w:val="0"/>
            <w:vAlign w:val="center"/>
          </w:tcPr>
          <w:p>
            <w:pPr>
              <w:widowControl/>
              <w:spacing w:before="190" w:beforeLines="50" w:after="190" w:afterLines="50" w:line="660" w:lineRule="exac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单模光纤尾纤及跳线</w:t>
            </w:r>
          </w:p>
        </w:tc>
        <w:tc>
          <w:tcPr>
            <w:tcW w:w="6983" w:type="dxa"/>
            <w:noWrap w:val="0"/>
            <w:vAlign w:val="center"/>
          </w:tcPr>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制造商的原厂成品产品。</w:t>
            </w:r>
          </w:p>
          <w:p>
            <w:pPr>
              <w:widowControl/>
              <w:numPr>
                <w:ilvl w:val="0"/>
                <w:numId w:val="225"/>
              </w:numPr>
              <w:spacing w:before="190" w:beforeLines="50" w:after="190" w:afterLines="50" w:line="660" w:lineRule="exact"/>
              <w:ind w:left="420" w:hanging="420"/>
              <w:jc w:val="left"/>
              <w:textAlignment w:val="center"/>
              <w:rPr>
                <w:rFonts w:hint="eastAsia" w:ascii="仿宋_GB2312" w:hAnsi="宋体" w:eastAsia="仿宋_GB2312" w:cs="仿宋"/>
                <w:bCs/>
                <w:sz w:val="24"/>
                <w:szCs w:val="24"/>
              </w:rPr>
            </w:pPr>
            <w:r>
              <w:rPr>
                <w:rFonts w:hint="eastAsia" w:ascii="仿宋_GB2312" w:hAnsi="宋体" w:eastAsia="仿宋_GB2312" w:cs="仿宋"/>
                <w:bCs/>
                <w:sz w:val="24"/>
                <w:szCs w:val="24"/>
              </w:rPr>
              <w:t>规格：9\125um，单模</w:t>
            </w:r>
            <w:bookmarkStart w:id="839" w:name="_Toc408935394"/>
            <w:bookmarkStart w:id="840" w:name="_Toc409103580"/>
            <w:r>
              <w:rPr>
                <w:rFonts w:hint="eastAsia" w:ascii="仿宋_GB2312" w:hAnsi="宋体" w:eastAsia="仿宋_GB2312" w:cs="仿宋"/>
                <w:bCs/>
                <w:sz w:val="24"/>
                <w:szCs w:val="24"/>
              </w:rPr>
              <w:t>。</w:t>
            </w:r>
          </w:p>
        </w:tc>
      </w:tr>
      <w:bookmarkEnd w:id="839"/>
      <w:bookmarkEnd w:id="840"/>
    </w:tbl>
    <w:p>
      <w:pPr>
        <w:widowControl w:val="0"/>
        <w:snapToGrid w:val="0"/>
        <w:spacing w:after="0" w:line="240" w:lineRule="auto"/>
        <w:ind w:firstLine="473"/>
        <w:jc w:val="both"/>
        <w:rPr>
          <w:rFonts w:ascii="Times New Roman" w:hAnsi="宋体" w:eastAsia="仿宋" w:cs="Times New Roman"/>
          <w:kern w:val="2"/>
          <w:sz w:val="24"/>
          <w:lang w:val="en-US" w:eastAsia="zh-CN" w:bidi="ar-SA"/>
        </w:rPr>
      </w:pPr>
    </w:p>
    <w:p>
      <w:pPr>
        <w:widowControl w:val="0"/>
        <w:snapToGrid w:val="0"/>
        <w:spacing w:after="0" w:line="240" w:lineRule="auto"/>
        <w:ind w:firstLine="473"/>
        <w:jc w:val="both"/>
        <w:rPr>
          <w:rFonts w:ascii="Times New Roman" w:hAnsi="宋体" w:eastAsia="仿宋" w:cs="Times New Roman"/>
          <w:kern w:val="2"/>
          <w:sz w:val="24"/>
          <w:lang w:val="en-US" w:eastAsia="zh-CN" w:bidi="ar-SA"/>
        </w:rPr>
      </w:pPr>
    </w:p>
    <w:p>
      <w:pPr>
        <w:widowControl w:val="0"/>
        <w:snapToGrid w:val="0"/>
        <w:spacing w:after="0" w:line="240" w:lineRule="auto"/>
        <w:ind w:firstLine="473"/>
        <w:jc w:val="both"/>
        <w:rPr>
          <w:rFonts w:ascii="Times New Roman" w:hAnsi="宋体" w:eastAsia="仿宋" w:cs="Times New Roman"/>
          <w:kern w:val="2"/>
          <w:sz w:val="24"/>
          <w:lang w:val="en-US" w:eastAsia="zh-CN" w:bidi="ar-SA"/>
        </w:rPr>
      </w:pP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841" w:name="_Toc8378"/>
      <w:r>
        <w:rPr>
          <w:rFonts w:hint="eastAsia" w:ascii="楷体" w:hAnsi="楷体" w:eastAsia="仿宋" w:cs="Times New Roman"/>
          <w:b/>
          <w:kern w:val="2"/>
          <w:sz w:val="28"/>
          <w:lang w:val="en-US" w:eastAsia="zh-CN" w:bidi="ar-SA"/>
        </w:rPr>
        <w:t>机柜</w:t>
      </w:r>
      <w:bookmarkEnd w:id="841"/>
    </w:p>
    <w:p>
      <w:pPr>
        <w:widowControl/>
        <w:spacing w:line="360" w:lineRule="auto"/>
        <w:ind w:firstLine="560" w:firstLineChars="200"/>
        <w:rPr>
          <w:rFonts w:hint="eastAsia" w:ascii="宋体" w:hAnsi="宋体" w:eastAsia="仿宋" w:cs="宋体"/>
          <w:sz w:val="28"/>
          <w:szCs w:val="21"/>
        </w:rPr>
      </w:pPr>
      <w:r>
        <w:rPr>
          <w:rFonts w:hint="eastAsia" w:ascii="宋体" w:hAnsi="宋体" w:eastAsia="仿宋" w:cs="宋体"/>
          <w:sz w:val="28"/>
          <w:szCs w:val="21"/>
        </w:rPr>
        <w:t>本项目使用的机柜要求采用高品质安全可靠的产品，需提供品牌厂家原厂授权证书。本章节未规定的其他技术要求应不低于中国国家标准及通信行业标准的要求。</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机柜特性</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 xml:space="preserve">(1) 机柜内19″标准立柱，可前后灵活调整，可通过前后立柱和相邻的机柜连接固定，实现快速并柜连接.                                                             </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 xml:space="preserve">(2) 前后门采用高密度网孔，通风率达到76%、通风散热，令机柜内产品得到更好散热，不会令设备因散热问题而影响其正常运作或性能低。                                                                                                              </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 xml:space="preserve">(3) 可选配安装底座达到固定机柜、底部过线、底部送冷风、防鼠的要求。                                                        </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(4) 可同时安装脚轮和支撑脚，结构坚固。</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 xml:space="preserve">(5) 粉未喷涂处理。 </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(6) 静态承重：≥1800KG，需提供第三方检测报告。</w:t>
      </w:r>
    </w:p>
    <w:p>
      <w:pPr>
        <w:widowControl/>
        <w:spacing w:line="360" w:lineRule="auto"/>
        <w:rPr>
          <w:rFonts w:ascii="宋体" w:hAnsi="宋体" w:eastAsia="宋体" w:cs="宋体"/>
          <w:sz w:val="28"/>
          <w:szCs w:val="21"/>
        </w:rPr>
      </w:pPr>
      <w:r>
        <w:rPr>
          <w:rFonts w:hint="eastAsia" w:ascii="宋体" w:hAnsi="宋体" w:eastAsia="仿宋" w:cs="宋体"/>
          <w:sz w:val="28"/>
          <w:szCs w:val="21"/>
        </w:rPr>
        <w:t>(7) 抗震等级：八</w:t>
      </w:r>
      <w:r>
        <w:rPr>
          <w:rFonts w:hint="eastAsia" w:ascii="宋体" w:hAnsi="宋体" w:eastAsia="仿宋" w:cs="宋体"/>
          <w:sz w:val="28"/>
          <w:szCs w:val="21"/>
          <w:lang w:eastAsia="zh-CN"/>
        </w:rPr>
        <w:t>级以上</w:t>
      </w:r>
      <w:r>
        <w:rPr>
          <w:rFonts w:hint="eastAsia" w:ascii="宋体" w:hAnsi="宋体" w:eastAsia="仿宋" w:cs="宋体"/>
          <w:sz w:val="28"/>
          <w:szCs w:val="21"/>
        </w:rPr>
        <w:t>抗震，需提供第三方检测报告。</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 xml:space="preserve">(8) 防护等级：IP20。   </w:t>
      </w:r>
    </w:p>
    <w:p>
      <w:pPr>
        <w:widowControl/>
        <w:spacing w:line="360" w:lineRule="auto"/>
        <w:rPr>
          <w:rFonts w:ascii="宋体" w:hAnsi="宋体" w:eastAsia="仿宋" w:cs="宋体"/>
          <w:sz w:val="28"/>
          <w:szCs w:val="21"/>
        </w:rPr>
      </w:pPr>
      <w:r>
        <w:rPr>
          <w:rFonts w:hint="eastAsia" w:ascii="宋体" w:hAnsi="宋体" w:eastAsia="仿宋" w:cs="宋体"/>
          <w:sz w:val="28"/>
          <w:szCs w:val="21"/>
        </w:rPr>
        <w:t>(9) 机柜配套安装有同品牌PDU，PDU具体特性和参数需求见其他章节。</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机柜指标参数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443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shd w:val="clear" w:color="auto" w:fill="A6A6A6"/>
            <w:noWrap w:val="0"/>
            <w:vAlign w:val="center"/>
          </w:tcPr>
          <w:p>
            <w:pPr>
              <w:widowControl w:val="0"/>
              <w:autoSpaceDE w:val="0"/>
              <w:autoSpaceDN w:val="0"/>
              <w:rPr>
                <w:rFonts w:hint="eastAsia" w:ascii="宋体" w:hAnsi="宋体" w:eastAsia="宋体" w:cs="宋体"/>
                <w:b/>
                <w:bCs/>
                <w:kern w:val="0"/>
                <w:sz w:val="21"/>
                <w:szCs w:val="21"/>
              </w:rPr>
            </w:pPr>
            <w:r>
              <w:rPr>
                <w:rFonts w:hint="eastAsia" w:ascii="宋体" w:hAnsi="宋体" w:eastAsia="宋体" w:cs="宋体"/>
                <w:b/>
                <w:bCs/>
                <w:kern w:val="0"/>
                <w:sz w:val="21"/>
                <w:szCs w:val="21"/>
              </w:rPr>
              <w:t>参数</w:t>
            </w:r>
          </w:p>
        </w:tc>
        <w:tc>
          <w:tcPr>
            <w:tcW w:w="4431" w:type="dxa"/>
            <w:shd w:val="clear" w:color="auto" w:fill="A6A6A6"/>
            <w:noWrap w:val="0"/>
            <w:vAlign w:val="center"/>
          </w:tcPr>
          <w:p>
            <w:pPr>
              <w:widowControl w:val="0"/>
              <w:autoSpaceDE w:val="0"/>
              <w:autoSpaceDN w:val="0"/>
              <w:rPr>
                <w:rFonts w:hint="eastAsia" w:ascii="宋体" w:hAnsi="宋体" w:eastAsia="宋体" w:cs="宋体"/>
                <w:b/>
                <w:bCs/>
                <w:kern w:val="0"/>
                <w:sz w:val="21"/>
                <w:szCs w:val="21"/>
              </w:rPr>
            </w:pPr>
            <w:r>
              <w:rPr>
                <w:rFonts w:hint="eastAsia" w:ascii="宋体" w:hAnsi="宋体" w:eastAsia="宋体" w:cs="宋体"/>
                <w:b/>
                <w:bCs/>
                <w:kern w:val="0"/>
                <w:sz w:val="21"/>
                <w:szCs w:val="21"/>
              </w:rPr>
              <w:t>技术指标</w:t>
            </w:r>
          </w:p>
        </w:tc>
        <w:tc>
          <w:tcPr>
            <w:tcW w:w="1817" w:type="dxa"/>
            <w:shd w:val="clear" w:color="auto" w:fill="A6A6A6"/>
            <w:noWrap w:val="0"/>
            <w:vAlign w:val="center"/>
          </w:tcPr>
          <w:p>
            <w:pPr>
              <w:widowControl w:val="0"/>
              <w:autoSpaceDE w:val="0"/>
              <w:autoSpaceDN w:val="0"/>
              <w:rPr>
                <w:rFonts w:hint="eastAsia" w:ascii="宋体" w:hAnsi="宋体" w:eastAsia="宋体" w:cs="宋体"/>
                <w:b/>
                <w:bCs/>
                <w:kern w:val="0"/>
                <w:sz w:val="21"/>
                <w:szCs w:val="21"/>
              </w:rPr>
            </w:pPr>
            <w:r>
              <w:rPr>
                <w:rFonts w:hint="eastAsia" w:ascii="宋体" w:hAnsi="宋体" w:eastAsia="宋体" w:cs="宋体"/>
                <w:b/>
                <w:bCs/>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规格</w:t>
            </w:r>
          </w:p>
        </w:tc>
        <w:tc>
          <w:tcPr>
            <w:tcW w:w="443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
                <w:kern w:val="0"/>
                <w:sz w:val="21"/>
                <w:szCs w:val="21"/>
              </w:rPr>
              <w:t>600×1</w:t>
            </w:r>
            <w:r>
              <w:rPr>
                <w:rFonts w:hint="eastAsia" w:ascii="宋体" w:hAnsi="宋体" w:eastAsia="仿宋" w:cs="宋体"/>
                <w:b/>
                <w:kern w:val="0"/>
                <w:sz w:val="21"/>
                <w:szCs w:val="21"/>
              </w:rPr>
              <w:t>2</w:t>
            </w:r>
            <w:r>
              <w:rPr>
                <w:rFonts w:hint="eastAsia" w:ascii="宋体" w:hAnsi="宋体" w:eastAsia="宋体" w:cs="宋体"/>
                <w:b/>
                <w:kern w:val="0"/>
                <w:sz w:val="21"/>
                <w:szCs w:val="21"/>
              </w:rPr>
              <w:t xml:space="preserve">00×2000mm / </w:t>
            </w:r>
            <w:r>
              <w:rPr>
                <w:rFonts w:hint="eastAsia" w:ascii="宋体" w:hAnsi="宋体" w:eastAsia="仿宋" w:cs="宋体"/>
                <w:b/>
                <w:kern w:val="0"/>
                <w:sz w:val="21"/>
                <w:szCs w:val="21"/>
              </w:rPr>
              <w:t>8</w:t>
            </w:r>
            <w:r>
              <w:rPr>
                <w:rFonts w:hint="eastAsia" w:ascii="宋体" w:hAnsi="宋体" w:eastAsia="宋体" w:cs="宋体"/>
                <w:b/>
                <w:kern w:val="0"/>
                <w:sz w:val="21"/>
                <w:szCs w:val="21"/>
              </w:rPr>
              <w:t>00×1200×2000mm(宽×深×高)</w:t>
            </w:r>
          </w:p>
        </w:tc>
        <w:tc>
          <w:tcPr>
            <w:tcW w:w="1817"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外观</w:t>
            </w:r>
          </w:p>
        </w:tc>
        <w:tc>
          <w:tcPr>
            <w:tcW w:w="443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设计新颖、高雅，结构工艺精湛，符合现代化机房设备使用要求</w:t>
            </w:r>
          </w:p>
        </w:tc>
        <w:tc>
          <w:tcPr>
            <w:tcW w:w="1817" w:type="dxa"/>
            <w:noWrap w:val="0"/>
            <w:vAlign w:val="center"/>
          </w:tcPr>
          <w:p>
            <w:pPr>
              <w:widowControl w:val="0"/>
              <w:autoSpaceDE w:val="0"/>
              <w:autoSpaceDN w:val="0"/>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材料</w:t>
            </w:r>
          </w:p>
        </w:tc>
        <w:tc>
          <w:tcPr>
            <w:tcW w:w="443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高强度优质冷轧钢板，主体骨架混合材料厚度≥1.5~2.0mm，承重层板材料厚度≥1.2mm，前、后门板材料厚度≥1.2mm，其它材料厚度≥1.0mm</w:t>
            </w:r>
          </w:p>
        </w:tc>
        <w:tc>
          <w:tcPr>
            <w:tcW w:w="1817"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结构</w:t>
            </w:r>
          </w:p>
        </w:tc>
        <w:tc>
          <w:tcPr>
            <w:tcW w:w="443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19英寸，EIA标准立柱，“G”形材型材结构，前、后、侧门可以方便拆卸，合理的线路通道。机柜前后门均带专业门锁，方便开启。机柜内装有19英寸安装方立柱，U方孔条采用</w:t>
            </w:r>
            <w:r>
              <w:rPr>
                <w:rFonts w:hint="eastAsia" w:ascii="宋体" w:hAnsi="宋体" w:eastAsia="仿宋" w:cs="宋体"/>
                <w:bCs/>
                <w:kern w:val="0"/>
                <w:sz w:val="21"/>
                <w:szCs w:val="21"/>
              </w:rPr>
              <w:t>≥</w:t>
            </w:r>
            <w:r>
              <w:rPr>
                <w:rFonts w:hint="eastAsia" w:ascii="宋体" w:hAnsi="宋体" w:eastAsia="宋体" w:cs="宋体"/>
                <w:bCs/>
                <w:kern w:val="0"/>
                <w:sz w:val="21"/>
                <w:szCs w:val="21"/>
              </w:rPr>
              <w:t>2.0mm的钢材折弯制成，可前后调节。框架、底部加固以达到增强机柜强度的效果。前后门采用全通风高密度冲孔面板，通风面积大于76%，前门采用单扇双门锁网孔门，可以左右开门互换，后门采用双扇对开门，中间开启。前后门均可方便拆卸，门的开启角不小于110°。侧面为带锁扣可拆式两段内嵌侧门，可随时拆卸，每个机柜可以通过侧面的前后立柱和相邻的机柜连接固定，做并柜连接。机架具有良好的通风散热能力,结构与机房空调送风方式和走线方式相适应，容许平均3000到5000BTUs的总热量，通风效率大于80%，静止状态下机柜内外温差不超过2.5℃。</w:t>
            </w:r>
          </w:p>
        </w:tc>
        <w:tc>
          <w:tcPr>
            <w:tcW w:w="1817"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底板</w:t>
            </w:r>
          </w:p>
        </w:tc>
        <w:tc>
          <w:tcPr>
            <w:tcW w:w="4431" w:type="dxa"/>
            <w:noWrap w:val="0"/>
            <w:vAlign w:val="center"/>
          </w:tcPr>
          <w:p>
            <w:pPr>
              <w:widowControl w:val="0"/>
              <w:autoSpaceDE w:val="0"/>
              <w:autoSpaceDN w:val="0"/>
              <w:rPr>
                <w:rFonts w:ascii="宋体" w:hAnsi="宋体" w:eastAsia="宋体" w:cs="宋体"/>
                <w:bCs/>
                <w:kern w:val="0"/>
                <w:sz w:val="21"/>
                <w:szCs w:val="21"/>
              </w:rPr>
            </w:pPr>
            <w:r>
              <w:rPr>
                <w:rFonts w:hint="eastAsia" w:ascii="宋体" w:hAnsi="宋体" w:eastAsia="宋体" w:cs="宋体"/>
                <w:bCs/>
                <w:kern w:val="0"/>
                <w:sz w:val="21"/>
                <w:szCs w:val="21"/>
              </w:rPr>
              <w:t>机柜底部采用可拆装式通风板，并具有进出线孔，进线孔采用采用塑料盖板封堵，塑料盖板采用防火等级A1级的塑料生产(达到不燃，不起明火的技术性能)，产品使用安全</w:t>
            </w:r>
          </w:p>
        </w:tc>
        <w:tc>
          <w:tcPr>
            <w:tcW w:w="1817"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顶板</w:t>
            </w:r>
          </w:p>
        </w:tc>
        <w:tc>
          <w:tcPr>
            <w:tcW w:w="4431" w:type="dxa"/>
            <w:noWrap w:val="0"/>
            <w:vAlign w:val="center"/>
          </w:tcPr>
          <w:p>
            <w:pPr>
              <w:widowControl w:val="0"/>
              <w:autoSpaceDE w:val="0"/>
              <w:autoSpaceDN w:val="0"/>
              <w:rPr>
                <w:rFonts w:ascii="宋体" w:hAnsi="宋体" w:eastAsia="宋体" w:cs="宋体"/>
                <w:bCs/>
                <w:kern w:val="0"/>
                <w:sz w:val="21"/>
                <w:szCs w:val="21"/>
              </w:rPr>
            </w:pPr>
            <w:r>
              <w:rPr>
                <w:rFonts w:hint="eastAsia" w:ascii="宋体" w:hAnsi="宋体" w:eastAsia="宋体" w:cs="宋体"/>
                <w:bCs/>
                <w:kern w:val="0"/>
                <w:sz w:val="21"/>
                <w:szCs w:val="21"/>
              </w:rPr>
              <w:t>前后各2个进出线孔，采用塑料盖板封堵，方便进线及密封。</w:t>
            </w:r>
          </w:p>
        </w:tc>
        <w:tc>
          <w:tcPr>
            <w:tcW w:w="1817"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接地</w:t>
            </w:r>
          </w:p>
        </w:tc>
        <w:tc>
          <w:tcPr>
            <w:tcW w:w="443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每个机柜设末级多处接地。每套机柜的门、立柱、侧门、底（顶）、都设有M6末端接地螺栓，并用导线的截面积大于4平方毫米导线连接，可以与设备同时接地，充分达标末级接地</w:t>
            </w:r>
          </w:p>
        </w:tc>
        <w:tc>
          <w:tcPr>
            <w:tcW w:w="1817"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U规尺</w:t>
            </w:r>
          </w:p>
        </w:tc>
        <w:tc>
          <w:tcPr>
            <w:tcW w:w="443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机柜前后4条标准规尺以高承重设计(材料厚度SPCC 2.0mm，每U为44.45mm)，每条规尺为挂钩式设计，与机柜横柱紧密相扣，以垂直挂扣为主要作用力，使安装规尺更为稳固，螺丝起到规尺的调整前后距离的固定作用，不产生承重作用，有效防止因为螺丝的单点作用力不够而产生的规尺变形问题</w:t>
            </w:r>
          </w:p>
        </w:tc>
        <w:tc>
          <w:tcPr>
            <w:tcW w:w="1817"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固定层板</w:t>
            </w:r>
          </w:p>
        </w:tc>
        <w:tc>
          <w:tcPr>
            <w:tcW w:w="443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固定层板厚度≥1.5mm，承重≥60KG</w:t>
            </w:r>
          </w:p>
        </w:tc>
        <w:tc>
          <w:tcPr>
            <w:tcW w:w="1817" w:type="dxa"/>
            <w:noWrap w:val="0"/>
            <w:vAlign w:val="center"/>
          </w:tcPr>
          <w:p>
            <w:pPr>
              <w:widowControl w:val="0"/>
              <w:autoSpaceDE w:val="0"/>
              <w:autoSpaceDN w:val="0"/>
              <w:rPr>
                <w:rFonts w:ascii="宋体" w:hAnsi="宋体" w:eastAsia="宋体" w:cs="宋体"/>
                <w:bCs/>
                <w:kern w:val="0"/>
                <w:sz w:val="21"/>
                <w:szCs w:val="21"/>
              </w:rPr>
            </w:pPr>
            <w:r>
              <w:rPr>
                <w:rFonts w:hint="eastAsia" w:ascii="宋体" w:hAnsi="宋体" w:eastAsia="宋体" w:cs="宋体"/>
                <w:bCs/>
                <w:kern w:val="0"/>
                <w:sz w:val="21"/>
                <w:szCs w:val="21"/>
              </w:rPr>
              <w:t>每台机柜配1块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束线板</w:t>
            </w:r>
          </w:p>
        </w:tc>
        <w:tc>
          <w:tcPr>
            <w:tcW w:w="443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机柜的后部左右，分别各配1条钢质垂直线缆束线槽，线槽预留可以快速挂装PDU的预留葫芦孔，方便前后线缆和PDU的固定，亦可大大增加在使用中对线的调整的方便灵活性</w:t>
            </w:r>
          </w:p>
        </w:tc>
        <w:tc>
          <w:tcPr>
            <w:tcW w:w="1817" w:type="dxa"/>
            <w:noWrap w:val="0"/>
            <w:vAlign w:val="center"/>
          </w:tcPr>
          <w:p>
            <w:pPr>
              <w:widowControl w:val="0"/>
              <w:autoSpaceDE w:val="0"/>
              <w:autoSpaceDN w:val="0"/>
              <w:rPr>
                <w:rFonts w:ascii="宋体" w:hAnsi="宋体" w:eastAsia="宋体" w:cs="宋体"/>
                <w:bCs/>
                <w:kern w:val="0"/>
                <w:sz w:val="21"/>
                <w:szCs w:val="21"/>
              </w:rPr>
            </w:pPr>
            <w:r>
              <w:rPr>
                <w:rFonts w:hint="eastAsia" w:ascii="宋体" w:hAnsi="宋体" w:eastAsia="宋体" w:cs="宋体"/>
                <w:bCs/>
                <w:kern w:val="0"/>
                <w:sz w:val="21"/>
                <w:szCs w:val="21"/>
              </w:rPr>
              <w:t>每台机柜配2块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盲板</w:t>
            </w:r>
          </w:p>
        </w:tc>
        <w:tc>
          <w:tcPr>
            <w:tcW w:w="443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快速卡扣安装，材质SPCC1.2mm</w:t>
            </w:r>
          </w:p>
        </w:tc>
        <w:tc>
          <w:tcPr>
            <w:tcW w:w="1817"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每台机柜配10个1U、2个4U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安装套件</w:t>
            </w:r>
          </w:p>
        </w:tc>
        <w:tc>
          <w:tcPr>
            <w:tcW w:w="443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每个机柜配置</w:t>
            </w:r>
            <w:r>
              <w:rPr>
                <w:rFonts w:hint="eastAsia" w:ascii="宋体" w:hAnsi="宋体" w:eastAsia="仿宋" w:cs="宋体"/>
                <w:bCs/>
                <w:kern w:val="0"/>
                <w:sz w:val="21"/>
                <w:szCs w:val="21"/>
              </w:rPr>
              <w:t>4</w:t>
            </w:r>
            <w:r>
              <w:rPr>
                <w:rFonts w:hint="eastAsia" w:ascii="宋体" w:hAnsi="宋体" w:eastAsia="宋体" w:cs="宋体"/>
                <w:bCs/>
                <w:kern w:val="0"/>
                <w:sz w:val="21"/>
                <w:szCs w:val="21"/>
              </w:rPr>
              <w:t>0套安装螺丝套件</w:t>
            </w:r>
          </w:p>
        </w:tc>
        <w:tc>
          <w:tcPr>
            <w:tcW w:w="1817"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p>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表层</w:t>
            </w:r>
          </w:p>
          <w:p>
            <w:pPr>
              <w:widowControl w:val="0"/>
              <w:autoSpaceDE w:val="0"/>
              <w:autoSpaceDN w:val="0"/>
              <w:rPr>
                <w:rFonts w:hint="eastAsia" w:ascii="宋体" w:hAnsi="宋体" w:eastAsia="宋体" w:cs="宋体"/>
                <w:bCs/>
                <w:kern w:val="0"/>
                <w:sz w:val="21"/>
                <w:szCs w:val="21"/>
              </w:rPr>
            </w:pPr>
          </w:p>
        </w:tc>
        <w:tc>
          <w:tcPr>
            <w:tcW w:w="443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用全自动喷涂生产线，先磷酸盐防锈加保护模处理，后进入高温喷粉，表层耐磨</w:t>
            </w:r>
          </w:p>
        </w:tc>
        <w:tc>
          <w:tcPr>
            <w:tcW w:w="1817"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粉末</w:t>
            </w:r>
          </w:p>
        </w:tc>
        <w:tc>
          <w:tcPr>
            <w:tcW w:w="443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采用ICI专业高硬度粉沫，确保达到防静电及BS6497国际标准，表面电泳加喷涂，表面喷塑厚度达到70-130µm，表面喷塑硬度应大于2H，附着力达到0级国际标准，符合欧洲ROSH标准，达到国家无毒无害的喷涂标准</w:t>
            </w:r>
          </w:p>
        </w:tc>
        <w:tc>
          <w:tcPr>
            <w:tcW w:w="1817"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生产标准</w:t>
            </w:r>
          </w:p>
        </w:tc>
        <w:tc>
          <w:tcPr>
            <w:tcW w:w="443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要求符合国际IEC297-2（国际19in）BSI5954、DINIn41494、41488、ANSI/EIARS-310-C、ETSI、EIA-310-D、GB/T3047-2-97</w:t>
            </w:r>
          </w:p>
        </w:tc>
        <w:tc>
          <w:tcPr>
            <w:tcW w:w="1817"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环境与安全</w:t>
            </w:r>
          </w:p>
        </w:tc>
        <w:tc>
          <w:tcPr>
            <w:tcW w:w="443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满足工作环境：-5℃～55℃</w:t>
            </w:r>
          </w:p>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相对湿度：≤90%(30℃时)</w:t>
            </w:r>
          </w:p>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大气压力:65kpa—110kpa</w:t>
            </w:r>
          </w:p>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使用材料环保无毒</w:t>
            </w:r>
          </w:p>
        </w:tc>
        <w:tc>
          <w:tcPr>
            <w:tcW w:w="1817"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8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电气接地标准</w:t>
            </w:r>
          </w:p>
        </w:tc>
        <w:tc>
          <w:tcPr>
            <w:tcW w:w="4431"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绝缘电阻:在温度20+_5℃,相对温度&lt;90%时,任意不 相通的接线端子之间、接线端子与机架间的绝缘电阻大于2兆欧。</w:t>
            </w:r>
          </w:p>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b）耐压强度：在a）条件下，任意不相通的接线端子</w:t>
            </w:r>
          </w:p>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 xml:space="preserve">之间、接线端子与机架间，能受交流50赫，2000V    </w:t>
            </w:r>
          </w:p>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电压有效值一分钟不被击穿</w:t>
            </w:r>
          </w:p>
        </w:tc>
        <w:tc>
          <w:tcPr>
            <w:tcW w:w="1817" w:type="dxa"/>
            <w:noWrap w:val="0"/>
            <w:vAlign w:val="center"/>
          </w:tcPr>
          <w:p>
            <w:pPr>
              <w:widowControl w:val="0"/>
              <w:autoSpaceDE w:val="0"/>
              <w:autoSpaceDN w:val="0"/>
              <w:rPr>
                <w:rFonts w:hint="eastAsia" w:ascii="宋体" w:hAnsi="宋体" w:eastAsia="宋体" w:cs="宋体"/>
                <w:bCs/>
                <w:kern w:val="0"/>
                <w:sz w:val="21"/>
                <w:szCs w:val="21"/>
              </w:rPr>
            </w:pPr>
            <w:r>
              <w:rPr>
                <w:rFonts w:hint="eastAsia" w:ascii="宋体" w:hAnsi="宋体" w:eastAsia="宋体" w:cs="宋体"/>
                <w:bCs/>
                <w:kern w:val="0"/>
                <w:sz w:val="21"/>
                <w:szCs w:val="21"/>
              </w:rPr>
              <w:t>–</w:t>
            </w:r>
          </w:p>
        </w:tc>
      </w:tr>
    </w:tbl>
    <w:p>
      <w:pPr>
        <w:widowControl/>
        <w:spacing w:line="360" w:lineRule="auto"/>
        <w:ind w:firstLine="560" w:firstLineChars="200"/>
        <w:rPr>
          <w:rFonts w:hint="eastAsia" w:ascii="宋体" w:hAnsi="宋体" w:eastAsia="仿宋" w:cs="宋体"/>
          <w:sz w:val="28"/>
          <w:szCs w:val="21"/>
        </w:rPr>
      </w:pPr>
    </w:p>
    <w:p>
      <w:pPr>
        <w:widowControl/>
        <w:spacing w:line="360" w:lineRule="auto"/>
        <w:ind w:firstLine="560" w:firstLineChars="200"/>
        <w:rPr>
          <w:rFonts w:hint="eastAsia" w:ascii="宋体" w:hAnsi="宋体" w:eastAsia="仿宋" w:cs="宋体"/>
          <w:sz w:val="28"/>
          <w:szCs w:val="21"/>
        </w:rPr>
      </w:pP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842" w:name="_Toc4055"/>
      <w:bookmarkStart w:id="843" w:name="_Toc25651304"/>
      <w:bookmarkStart w:id="844" w:name="_Hlk7355768"/>
      <w:r>
        <w:rPr>
          <w:rFonts w:hint="eastAsia" w:ascii="楷体" w:hAnsi="楷体" w:eastAsia="仿宋" w:cs="Times New Roman"/>
          <w:b/>
          <w:kern w:val="2"/>
          <w:sz w:val="28"/>
          <w:lang w:val="en-US" w:eastAsia="zh-CN" w:bidi="ar-SA"/>
        </w:rPr>
        <w:t>冷通道封闭要求</w:t>
      </w:r>
      <w:bookmarkEnd w:id="842"/>
      <w:bookmarkEnd w:id="843"/>
    </w:p>
    <w:p>
      <w:pPr>
        <w:widowControl/>
        <w:spacing w:line="560" w:lineRule="exact"/>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封闭冷通道主要包括通道门，翻转天窗、功能天窗、通道照明、控制单元等几个部件组成。封闭冷通道系统必须具有稳定的结构，良好的气密性，安全管理、节能设计以及消防联动功能。</w:t>
      </w:r>
      <w:bookmarkStart w:id="845" w:name="ids2000-112-0010"/>
      <w:bookmarkEnd w:id="845"/>
    </w:p>
    <w:p>
      <w:pPr>
        <w:widowControl/>
        <w:rPr>
          <w:rFonts w:hint="eastAsia" w:ascii="Calibri" w:hAnsi="Calibri" w:eastAsia="仿宋" w:cs="Times New Roman"/>
          <w:sz w:val="28"/>
          <w:szCs w:val="20"/>
        </w:rPr>
      </w:pPr>
    </w:p>
    <w:p>
      <w:pPr>
        <w:widowControl/>
        <w:rPr>
          <w:rFonts w:hint="eastAsia" w:ascii="Calibri" w:hAnsi="Calibri" w:eastAsia="仿宋" w:cs="Times New Roman"/>
          <w:b/>
          <w:bCs/>
          <w:sz w:val="28"/>
          <w:szCs w:val="20"/>
        </w:rPr>
      </w:pPr>
      <w:r>
        <w:rPr>
          <w:rFonts w:hint="eastAsia" w:ascii="Calibri" w:hAnsi="Calibri" w:eastAsia="仿宋" w:cs="Times New Roman"/>
          <w:b/>
          <w:bCs/>
          <w:sz w:val="28"/>
          <w:szCs w:val="20"/>
        </w:rPr>
        <w:t>3.1 外观与结构</w:t>
      </w:r>
    </w:p>
    <w:p>
      <w:pPr>
        <w:widowControl/>
        <w:numPr>
          <w:ilvl w:val="0"/>
          <w:numId w:val="226"/>
        </w:numPr>
        <w:spacing w:line="560" w:lineRule="exact"/>
        <w:ind w:left="0" w:firstLine="0"/>
        <w:rPr>
          <w:rFonts w:hint="eastAsia" w:ascii="仿宋" w:hAnsi="仿宋" w:eastAsia="仿宋" w:cs="Times New Roman"/>
          <w:sz w:val="28"/>
          <w:szCs w:val="28"/>
          <w:lang w:val="zh-CN"/>
        </w:rPr>
      </w:pPr>
      <w:r>
        <w:rPr>
          <w:rFonts w:hint="eastAsia" w:ascii="宋体" w:hAnsi="宋体" w:eastAsia="仿宋" w:cs="宋体"/>
          <w:sz w:val="28"/>
          <w:szCs w:val="21"/>
        </w:rPr>
        <w:t>冷通道支架采用折角平顶结构，暗装LED照明，嵌入式LED照明功耗12V/7W。供电电压均为12V安全电压，不得采用220V供电，照明采用连贯式设计，通道的照明无死角，亮度均匀，常规照度到达</w:t>
      </w:r>
      <w:r>
        <w:rPr>
          <w:rFonts w:hint="eastAsia" w:ascii="宋体" w:hAnsi="宋体" w:eastAsia="仿宋" w:cs="宋体"/>
          <w:sz w:val="28"/>
          <w:szCs w:val="21"/>
          <w:lang w:val="en-US" w:eastAsia="zh-CN"/>
        </w:rPr>
        <w:t>500</w:t>
      </w:r>
      <w:r>
        <w:rPr>
          <w:rFonts w:hint="eastAsia" w:ascii="宋体" w:hAnsi="宋体" w:eastAsia="仿宋" w:cs="宋体"/>
          <w:sz w:val="28"/>
          <w:szCs w:val="21"/>
        </w:rPr>
        <w:t xml:space="preserve">流明，采用进口专用LED透光片，寿命5年以上。支架高250mm，支架及天窗总长1200mm，整体采用栅格设计，宽度方向均匀分布。 </w:t>
      </w:r>
    </w:p>
    <w:p>
      <w:pPr>
        <w:widowControl/>
        <w:numPr>
          <w:ilvl w:val="0"/>
          <w:numId w:val="226"/>
        </w:numPr>
        <w:spacing w:line="560" w:lineRule="exact"/>
        <w:ind w:left="0" w:firstLine="0"/>
        <w:rPr>
          <w:rFonts w:hint="eastAsia" w:ascii="仿宋" w:hAnsi="仿宋" w:eastAsia="仿宋" w:cs="Times New Roman"/>
          <w:sz w:val="28"/>
          <w:szCs w:val="28"/>
          <w:lang w:val="zh-CN"/>
        </w:rPr>
      </w:pPr>
      <w:r>
        <w:rPr>
          <w:rFonts w:hint="eastAsia" w:ascii="宋体" w:hAnsi="宋体" w:eastAsia="仿宋" w:cs="宋体"/>
          <w:sz w:val="28"/>
          <w:szCs w:val="21"/>
        </w:rPr>
        <w:t>天窗根据机柜的宽度进行模块式单元设计，每个单元能独立在通道内由下往上快速安装，并能与相邻的单元连接，通过承托侧梁安装机柜正面的顶部，互换性高，安装简易。天窗与其它组件配合有限遏制冷通道内的气体组织。</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(3) 根据冷通道天窗组件使用需求，通道中间采用活动天窗，通道两端各采用一块功能天窗。天窗要求如下：</w:t>
      </w:r>
    </w:p>
    <w:p>
      <w:pPr>
        <w:widowControl/>
        <w:spacing w:line="360" w:lineRule="auto"/>
        <w:rPr>
          <w:rFonts w:hint="eastAsia" w:ascii="宋体" w:hAnsi="宋体" w:eastAsia="仿宋" w:cs="宋体"/>
          <w:sz w:val="28"/>
          <w:szCs w:val="21"/>
        </w:rPr>
      </w:pPr>
      <w:r>
        <w:rPr>
          <w:rFonts w:hint="eastAsia" w:ascii="宋体" w:hAnsi="宋体" w:eastAsia="仿宋" w:cs="宋体"/>
          <w:b/>
          <w:bCs/>
          <w:sz w:val="28"/>
          <w:szCs w:val="21"/>
        </w:rPr>
        <w:t>活动天窗：</w:t>
      </w:r>
      <w:r>
        <w:rPr>
          <w:rFonts w:hint="eastAsia" w:ascii="宋体" w:hAnsi="宋体" w:eastAsia="仿宋" w:cs="宋体"/>
          <w:sz w:val="28"/>
          <w:szCs w:val="21"/>
        </w:rPr>
        <w:t>钢化玻璃材质，铝型材边框，暗装12V LED照明，由控制单元集中供电和控制。活动天窗能根据消防提供的联动信号自动打开，支持一键复位功能，无需人工手动逐一复位。</w:t>
      </w:r>
    </w:p>
    <w:p>
      <w:pPr>
        <w:widowControl/>
        <w:numPr>
          <w:ilvl w:val="0"/>
          <w:numId w:val="227"/>
        </w:numPr>
        <w:spacing w:line="360" w:lineRule="auto"/>
        <w:ind w:left="420" w:hanging="420"/>
        <w:rPr>
          <w:rFonts w:hint="eastAsia" w:ascii="宋体" w:hAnsi="宋体" w:eastAsia="仿宋" w:cs="宋体"/>
          <w:sz w:val="28"/>
          <w:szCs w:val="21"/>
        </w:rPr>
      </w:pPr>
      <w:bookmarkStart w:id="846" w:name="_Toc503388325"/>
      <w:r>
        <w:rPr>
          <w:rFonts w:hint="eastAsia" w:ascii="宋体" w:hAnsi="宋体" w:eastAsia="仿宋" w:cs="宋体"/>
          <w:sz w:val="28"/>
          <w:szCs w:val="21"/>
        </w:rPr>
        <w:t>天窗采用标准化连续设计的应用理念，全面兼容多种消防联动的开合方式。</w:t>
      </w:r>
    </w:p>
    <w:p>
      <w:pPr>
        <w:widowControl/>
        <w:numPr>
          <w:ilvl w:val="0"/>
          <w:numId w:val="227"/>
        </w:numPr>
        <w:spacing w:line="360" w:lineRule="auto"/>
        <w:ind w:left="420" w:hanging="420"/>
        <w:rPr>
          <w:rFonts w:hint="eastAsia" w:ascii="宋体" w:hAnsi="宋体" w:eastAsia="仿宋" w:cs="宋体"/>
          <w:sz w:val="28"/>
          <w:szCs w:val="21"/>
        </w:rPr>
      </w:pPr>
      <w:r>
        <w:rPr>
          <w:rFonts w:hint="eastAsia" w:ascii="宋体" w:hAnsi="宋体" w:eastAsia="仿宋" w:cs="宋体"/>
          <w:sz w:val="28"/>
          <w:szCs w:val="21"/>
        </w:rPr>
        <w:t>天窗采用Z型铝型材结构，重量比传统钢制天窗轻35%，开合天窗的预留缝隙3毫米以内，通道密闭性高。</w:t>
      </w:r>
    </w:p>
    <w:p>
      <w:pPr>
        <w:widowControl/>
        <w:numPr>
          <w:ilvl w:val="0"/>
          <w:numId w:val="227"/>
        </w:numPr>
        <w:spacing w:line="360" w:lineRule="auto"/>
        <w:ind w:left="420" w:hanging="420"/>
        <w:rPr>
          <w:rFonts w:hint="eastAsia" w:ascii="宋体" w:hAnsi="宋体" w:eastAsia="仿宋" w:cs="宋体"/>
          <w:sz w:val="28"/>
          <w:szCs w:val="21"/>
        </w:rPr>
      </w:pPr>
      <w:r>
        <w:rPr>
          <w:rFonts w:hint="eastAsia" w:ascii="宋体" w:hAnsi="宋体" w:eastAsia="仿宋" w:cs="宋体"/>
          <w:sz w:val="28"/>
          <w:szCs w:val="21"/>
        </w:rPr>
        <w:t>消防信号启动天窗电磁实现脱扣动作，整体消防信号响应速度2秒完成通道全部天窗的打开，保证紧急情况提供保障。</w:t>
      </w:r>
    </w:p>
    <w:p>
      <w:pPr>
        <w:widowControl/>
        <w:numPr>
          <w:ilvl w:val="0"/>
          <w:numId w:val="227"/>
        </w:numPr>
        <w:spacing w:line="360" w:lineRule="auto"/>
        <w:ind w:left="420" w:hanging="420"/>
        <w:rPr>
          <w:rFonts w:hint="eastAsia" w:ascii="宋体" w:hAnsi="宋体" w:eastAsia="仿宋" w:cs="宋体"/>
          <w:sz w:val="28"/>
          <w:szCs w:val="21"/>
        </w:rPr>
      </w:pPr>
      <w:r>
        <w:rPr>
          <w:rFonts w:hint="eastAsia" w:ascii="宋体" w:hAnsi="宋体" w:eastAsia="仿宋" w:cs="宋体"/>
          <w:sz w:val="28"/>
          <w:szCs w:val="21"/>
        </w:rPr>
        <w:t>玻璃采用5mm钢化玻璃，玻璃透光率到达99%以上。</w:t>
      </w:r>
    </w:p>
    <w:p>
      <w:pPr>
        <w:widowControl/>
        <w:spacing w:line="360" w:lineRule="auto"/>
        <w:rPr>
          <w:rFonts w:hint="eastAsia" w:ascii="宋体" w:hAnsi="宋体" w:eastAsia="仿宋" w:cs="宋体"/>
          <w:sz w:val="28"/>
          <w:szCs w:val="21"/>
        </w:rPr>
      </w:pPr>
      <w:r>
        <w:rPr>
          <w:rFonts w:hint="eastAsia" w:ascii="宋体" w:hAnsi="宋体" w:eastAsia="仿宋" w:cs="宋体"/>
          <w:b/>
          <w:bCs/>
          <w:sz w:val="28"/>
          <w:szCs w:val="21"/>
        </w:rPr>
        <w:t>功能天窗：</w:t>
      </w:r>
      <w:r>
        <w:rPr>
          <w:rFonts w:hint="eastAsia" w:ascii="宋体" w:hAnsi="宋体" w:eastAsia="仿宋" w:cs="宋体"/>
          <w:sz w:val="28"/>
          <w:szCs w:val="21"/>
        </w:rPr>
        <w:t>全钣金材质，可预留监控及温湿度设备等相关设备的安装位置，考虑不同用户需求。</w:t>
      </w:r>
    </w:p>
    <w:bookmarkEnd w:id="846"/>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(4) 通道两端采用自动平移动门设计，</w:t>
      </w:r>
      <w:r>
        <w:rPr>
          <w:rFonts w:hint="eastAsia" w:ascii="Calibri" w:hAnsi="Calibri" w:eastAsia="仿宋" w:cs="Times New Roman"/>
          <w:sz w:val="28"/>
          <w:szCs w:val="20"/>
        </w:rPr>
        <w:t>采用的电机应采用进口或合资品牌</w:t>
      </w:r>
      <w:r>
        <w:rPr>
          <w:rFonts w:hint="eastAsia" w:ascii="Calibri" w:hAnsi="Calibri" w:eastAsia="仿宋" w:cs="Times New Roman"/>
          <w:sz w:val="28"/>
          <w:szCs w:val="20"/>
          <w:lang w:eastAsia="zh-CN"/>
        </w:rPr>
        <w:t>。</w:t>
      </w:r>
      <w:r>
        <w:rPr>
          <w:rFonts w:hint="eastAsia" w:ascii="宋体" w:hAnsi="宋体" w:eastAsia="仿宋" w:cs="宋体"/>
          <w:sz w:val="28"/>
          <w:szCs w:val="21"/>
        </w:rPr>
        <w:t>配置门盒，门盒空间可供通道控制单元从背面插入式安装，不占用机柜空间。门上透视观察窗口材料为钢化玻璃，厚度不低于5mm，透光度达到99.5％以上。所使用的材料符合GB15763.2-2005《建筑用安全玻璃》标准，防止玻璃粉碎而造成对数据机房及维护人员的影响。</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(5) 对于有运营商机柜的通道，通道中间应采用栅格门，将运营商机柜和业务机柜物理隔开，并具备门禁管理系统。</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(6) 靠柱子的位置，采用钢制封板密封。</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(7) 门盒应预留小母线主控模块及显示屏安装孔位。</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(8) 冷通道密闭系统预留端口与机房消防整体联动，可根据不同形式的机房消防信号进行自动打开活动天窗，消除通道内险情。</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(9) 冷通道密闭系统所有单元组件采用独具良好耐磨性，耐蚀性，精细加工，整体冲压成型，高可靠接触，单元开启寿命试验均在5000次以上，安全耐用无松动现象，确保气流输出的密封性。</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(10) 冷通道密闭系统各个金属部件均接地，以实现整体接地，而且接地可通过接地铜带上的接地引出线接至机房的接地铜排上。</w:t>
      </w:r>
    </w:p>
    <w:p>
      <w:pPr>
        <w:widowControl/>
        <w:rPr>
          <w:rFonts w:hint="eastAsia" w:ascii="Calibri" w:hAnsi="Calibri" w:eastAsia="仿宋" w:cs="Times New Roman"/>
          <w:b/>
          <w:bCs/>
          <w:sz w:val="28"/>
          <w:szCs w:val="20"/>
        </w:rPr>
      </w:pPr>
      <w:r>
        <w:rPr>
          <w:rFonts w:hint="eastAsia" w:ascii="Calibri" w:hAnsi="Calibri" w:eastAsia="仿宋" w:cs="Times New Roman"/>
          <w:b/>
          <w:bCs/>
          <w:sz w:val="28"/>
          <w:szCs w:val="20"/>
        </w:rPr>
        <w:t>3.2 材料要求</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(1) 冷通道密闭系统所有零部件（通道天窗除外）采用优质冷轧钢板，承重部件（龙骨、支撑架等）所有使用的材料厚度1.2~1.5mm。门框组件具备藏线和走线功能，天窗和通道门使用5mm厚的钢化玻璃，透光度达到99.5％，所使用的材料符合GB15763.2-2005《建筑用安全玻璃》国际标准，增加玻璃强度及玻璃粉粹从而造成对数据机房及维护人员的影响。</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(2) 所使用的信号线缆和电源线符合YD/T1173要求，为绝缘阻燃耐火材质，电缆和母线绝缘层或外护套颜色符合GB7947的相关要求。</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(3) 各部零件所有选用的材料相容，所采用的非金属材料结构件具备阻燃性，其燃烧性能符合：火焰高度20mm±2mm，施加火焰2次，每次30s，间隔10min，每次离火候的有焰燃烧时间不大于10s要求。</w:t>
      </w:r>
    </w:p>
    <w:p>
      <w:pPr>
        <w:widowControl/>
        <w:rPr>
          <w:rFonts w:hint="eastAsia" w:ascii="Calibri" w:hAnsi="Calibri" w:eastAsia="仿宋" w:cs="Times New Roman"/>
          <w:b/>
          <w:bCs/>
          <w:sz w:val="28"/>
          <w:szCs w:val="20"/>
        </w:rPr>
      </w:pPr>
      <w:r>
        <w:rPr>
          <w:rFonts w:hint="eastAsia" w:ascii="Calibri" w:hAnsi="Calibri" w:eastAsia="仿宋" w:cs="Times New Roman"/>
          <w:b/>
          <w:bCs/>
          <w:sz w:val="28"/>
          <w:szCs w:val="20"/>
        </w:rPr>
        <w:t>3.3 表面质量</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(1) 颜色：</w:t>
      </w:r>
      <w:r>
        <w:rPr>
          <w:rFonts w:hint="eastAsia" w:ascii="仿宋" w:hAnsi="仿宋" w:eastAsia="仿宋" w:cs="Times New Roman"/>
          <w:sz w:val="28"/>
          <w:szCs w:val="28"/>
          <w:lang w:val="zh-CN"/>
        </w:rPr>
        <w:t>通道密闭组件颜色（与机柜风格）一致，配合美观，在机房灯光下无眩晕</w:t>
      </w:r>
      <w:r>
        <w:rPr>
          <w:rFonts w:hint="eastAsia" w:ascii="宋体" w:hAnsi="宋体" w:eastAsia="仿宋" w:cs="宋体"/>
          <w:sz w:val="28"/>
          <w:szCs w:val="21"/>
        </w:rPr>
        <w:t>。</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(2) 表面进行脱脂、酸洗、防锈磷化、纯水清洗、静电喷塑等处理，不脱漆、耐酸碱、耐溶剂、耐腐蚀、耐指纹不受手汗影响、附着力应100％附着、抗冲击，安全防护达到IP2X标准。</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(3) 表面处理采用高硬度粉末静电喷涂和高温烤漆处理工艺，表层外观表面光洁、色泽均匀、无露底、无流积、无起泡、无裂纹、无桔皮、金属件无毛刺和锈蚀。</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(4) 焊缝整齐均匀，不许有裂缝、咬边、豁口，烧穿等缺陷，焊缝不出现外表物夹渣、气孔、焊瘤、凹坑等缺陷，焊后进行打磨。</w:t>
      </w:r>
    </w:p>
    <w:p>
      <w:pPr>
        <w:widowControl/>
        <w:spacing w:line="360" w:lineRule="auto"/>
        <w:rPr>
          <w:rFonts w:hint="eastAsia" w:ascii="宋体" w:hAnsi="宋体" w:eastAsia="仿宋" w:cs="宋体"/>
          <w:sz w:val="28"/>
          <w:szCs w:val="21"/>
        </w:rPr>
      </w:pPr>
      <w:r>
        <w:rPr>
          <w:rFonts w:hint="eastAsia" w:ascii="宋体" w:hAnsi="宋体" w:eastAsia="仿宋" w:cs="宋体"/>
          <w:sz w:val="28"/>
          <w:szCs w:val="21"/>
        </w:rPr>
        <w:t>(5) 表面涂层厚度不少于0.05mm。</w:t>
      </w:r>
    </w:p>
    <w:bookmarkEnd w:id="844"/>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847" w:name="_Toc25921"/>
      <w:r>
        <w:rPr>
          <w:rFonts w:hint="eastAsia" w:ascii="楷体" w:hAnsi="楷体" w:eastAsia="仿宋" w:cs="Times New Roman"/>
          <w:b/>
          <w:kern w:val="2"/>
          <w:sz w:val="28"/>
          <w:lang w:val="en-US" w:eastAsia="zh-CN" w:bidi="ar-SA"/>
        </w:rPr>
        <w:t>开放式网格桥架</w:t>
      </w:r>
      <w:bookmarkEnd w:id="847"/>
    </w:p>
    <w:p>
      <w:pPr>
        <w:widowControl/>
        <w:numPr>
          <w:ilvl w:val="0"/>
          <w:numId w:val="22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开放式网格桥架原材料为中碳钢，经焊接后成型，最后进行表面处理。表面处理分别为：电镀锌、热镀锌等；</w:t>
      </w:r>
    </w:p>
    <w:p>
      <w:pPr>
        <w:widowControl/>
        <w:numPr>
          <w:ilvl w:val="0"/>
          <w:numId w:val="22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开放式网格桥架，可以保证任意点出线，并有利于电缆散热，电缆可视可控。改动升级快捷方便，安全。</w:t>
      </w:r>
    </w:p>
    <w:p>
      <w:pPr>
        <w:widowControl/>
        <w:numPr>
          <w:ilvl w:val="0"/>
          <w:numId w:val="22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桥架两侧的顶部钢丝采用侧面焊接形成安全边缘，不伤手。</w:t>
      </w:r>
    </w:p>
    <w:p>
      <w:pPr>
        <w:widowControl/>
        <w:numPr>
          <w:ilvl w:val="0"/>
          <w:numId w:val="22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所有三通，转弯均由直段桥架现场剪裁而成，设计、订货、施工、维护期管理简单，省钱、省时。而且桥架、支吊架可反复使用，节约资源。</w:t>
      </w:r>
    </w:p>
    <w:p>
      <w:pPr>
        <w:widowControl/>
        <w:numPr>
          <w:ilvl w:val="0"/>
          <w:numId w:val="22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唯一的桥架剪切工具，独特的单刃断线钳，剪切桥架时不需电力或其他非人工动力，不会产生空气污染，100%环境友好。</w:t>
      </w:r>
    </w:p>
    <w:p>
      <w:pPr>
        <w:widowControl/>
        <w:numPr>
          <w:ilvl w:val="0"/>
          <w:numId w:val="22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电缆桥架拥有专业的出线护板，放线装置，保护电缆不受伤害。</w:t>
      </w:r>
    </w:p>
    <w:p>
      <w:pPr>
        <w:widowControl/>
        <w:numPr>
          <w:ilvl w:val="0"/>
          <w:numId w:val="22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电缆桥架的支撑件最大安装间隔为≤1.5m，并且不得超过厂商所规定的特定规格电缆桥架最的大承载负荷。所有焊接处的水平最小抗拉强度为500公斤。</w:t>
      </w:r>
    </w:p>
    <w:p>
      <w:pPr>
        <w:widowControl/>
        <w:numPr>
          <w:ilvl w:val="0"/>
          <w:numId w:val="22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安装开放式网格桥架所使用的配件须为开放式网络桥架生产商提供的原厂配套配件。</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848" w:name="_Toc30638"/>
      <w:r>
        <w:rPr>
          <w:rFonts w:hint="eastAsia" w:ascii="楷体" w:hAnsi="楷体" w:eastAsia="仿宋" w:cs="Times New Roman"/>
          <w:b/>
          <w:kern w:val="2"/>
          <w:sz w:val="28"/>
          <w:lang w:val="en-US" w:eastAsia="zh-CN" w:bidi="ar-SA"/>
        </w:rPr>
        <w:t>光纤槽道</w:t>
      </w:r>
      <w:bookmarkEnd w:id="848"/>
    </w:p>
    <w:p>
      <w:pPr>
        <w:widowControl/>
        <w:numPr>
          <w:ilvl w:val="0"/>
          <w:numId w:val="22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传统独立安装方式，光纤槽可独立用于吊装及机柜顶部安装。可采用侧边出现、顶部出线及底部出线三种方式。</w:t>
      </w:r>
    </w:p>
    <w:p>
      <w:pPr>
        <w:widowControl/>
        <w:numPr>
          <w:ilvl w:val="0"/>
          <w:numId w:val="22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材质为ABS。</w:t>
      </w:r>
    </w:p>
    <w:p>
      <w:pPr>
        <w:widowControl/>
        <w:numPr>
          <w:ilvl w:val="0"/>
          <w:numId w:val="22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结合网格式桥架一体化安装方式，采用专用固定套件将光纤槽固定于网格桥架上，光缆和铜缆一体化并排敷设，虽布放在同一个平面上又完全隔离，安装效果更趋简约，同时节省安装空间以及单独吊挂安装的成本和精力，方便后期维护；同时，也适用于侧边出线、顶部出线及底部出线三种方式。</w:t>
      </w:r>
    </w:p>
    <w:p>
      <w:pPr>
        <w:widowControl/>
        <w:numPr>
          <w:ilvl w:val="0"/>
          <w:numId w:val="22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采用专用下线组件，可与机柜直接固定；光纤槽主体可抗摇、抗震等。</w:t>
      </w:r>
    </w:p>
    <w:p>
      <w:pPr>
        <w:widowControl/>
        <w:numPr>
          <w:ilvl w:val="0"/>
          <w:numId w:val="22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全体采用模块化的组合方式，设计有直线段、转弯、下线等专用组件，安装方便维护便利。</w:t>
      </w:r>
    </w:p>
    <w:p>
      <w:pPr>
        <w:widowControl/>
        <w:numPr>
          <w:ilvl w:val="0"/>
          <w:numId w:val="22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光纤槽的材质是ABS阻燃材料，从设计及生产工艺上完全避免对光缆的损伤；有效起到光纤布线及保护作用。</w:t>
      </w:r>
    </w:p>
    <w:p>
      <w:pPr>
        <w:widowControl/>
        <w:numPr>
          <w:ilvl w:val="0"/>
          <w:numId w:val="22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有权威第三方机构检验认证，塑料件燃烧性能：注塑件、挤出件制品燃烧性能符合等级：UL94-2015 HB等级。</w:t>
      </w:r>
    </w:p>
    <w:p>
      <w:pPr>
        <w:widowControl/>
        <w:numPr>
          <w:ilvl w:val="0"/>
          <w:numId w:val="22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提供的产品采用统一标准，任意出产的同一款产品可任意搭配，具有出口资质等能力。</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849" w:name="_Toc22425"/>
      <w:r>
        <w:rPr>
          <w:rFonts w:hint="eastAsia" w:ascii="楷体" w:hAnsi="楷体" w:eastAsia="仿宋" w:cs="Times New Roman"/>
          <w:b/>
          <w:kern w:val="2"/>
          <w:sz w:val="28"/>
          <w:lang w:val="en-US" w:eastAsia="zh-CN" w:bidi="ar-SA"/>
        </w:rPr>
        <w:t>综合布线系统施工要求</w:t>
      </w:r>
      <w:bookmarkEnd w:id="849"/>
    </w:p>
    <w:p>
      <w:pPr>
        <w:widowControl/>
        <w:numPr>
          <w:ilvl w:val="0"/>
          <w:numId w:val="23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干线布线系统采用镀锌金属线槽沿弱电竖井敷设，水平布线线缆集中敷设时采用镀锌金属线槽顶棚敷设，末端采用镀锌电线管沿天花内或暗埋墙/地板敷设。</w:t>
      </w:r>
    </w:p>
    <w:p>
      <w:pPr>
        <w:widowControl/>
        <w:numPr>
          <w:ilvl w:val="0"/>
          <w:numId w:val="230"/>
        </w:numPr>
        <w:spacing w:line="560" w:lineRule="exact"/>
        <w:ind w:left="0" w:firstLine="0"/>
        <w:rPr>
          <w:rFonts w:hint="eastAsia" w:ascii="仿宋" w:hAnsi="仿宋" w:eastAsia="仿宋" w:cs="Times New Roman"/>
          <w:sz w:val="28"/>
          <w:szCs w:val="28"/>
          <w:lang w:val="zh-CN"/>
        </w:rPr>
      </w:pPr>
      <w:bookmarkStart w:id="850" w:name="_Toc211937180"/>
      <w:r>
        <w:rPr>
          <w:rFonts w:hint="eastAsia" w:ascii="仿宋" w:hAnsi="仿宋" w:eastAsia="仿宋" w:cs="Times New Roman"/>
          <w:sz w:val="28"/>
          <w:szCs w:val="28"/>
          <w:lang w:val="zh-CN"/>
        </w:rPr>
        <w:t>特殊的穿线要求</w:t>
      </w:r>
      <w:bookmarkEnd w:id="850"/>
      <w:r>
        <w:rPr>
          <w:rFonts w:hint="eastAsia" w:ascii="仿宋" w:hAnsi="仿宋" w:eastAsia="仿宋" w:cs="Times New Roman"/>
          <w:sz w:val="28"/>
          <w:szCs w:val="28"/>
          <w:lang w:val="zh-CN"/>
        </w:rPr>
        <w:t>：地面插座盒穿线宜在地坪铺设完成后进行。在穿线前应确保地面插座盒内没有水，以免双绞线进水。双绞线的预留长度应充分考虑到插座盒内的盘绕路由，长度太短则可能无法端接。如果电线管中有水，应在穿线完成是立即将进水的线头剪去，以免水顺着双绞线内芯线之间的缝隙渗透到双绞线的深处。</w:t>
      </w:r>
    </w:p>
    <w:p>
      <w:pPr>
        <w:widowControl/>
        <w:numPr>
          <w:ilvl w:val="0"/>
          <w:numId w:val="23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线缆的现场保护：在布线工程中，从穿线完毕到模块端接、配线架制作，往往都有着一个漫长的等待周期。如果现场保护不做好，那到时候就可能被迫重新穿线。</w:t>
      </w:r>
    </w:p>
    <w:p>
      <w:pPr>
        <w:widowControl/>
        <w:numPr>
          <w:ilvl w:val="0"/>
          <w:numId w:val="23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配线架之间的跳线管理器暂不安装，其暴露出的1个标准高度空间在端接时将发挥重要的作用：让配线架的模块可以在机柜正面安装，以免安装人员蜷缩在机柜内安装所可能导致的疲劳和端接质量下降的弊病。</w:t>
      </w:r>
    </w:p>
    <w:p>
      <w:pPr>
        <w:widowControl/>
        <w:numPr>
          <w:ilvl w:val="0"/>
          <w:numId w:val="230"/>
        </w:numPr>
        <w:spacing w:line="560" w:lineRule="exact"/>
        <w:ind w:left="0" w:firstLine="0"/>
        <w:rPr>
          <w:rFonts w:hint="eastAsia" w:ascii="仿宋" w:hAnsi="仿宋" w:eastAsia="仿宋" w:cs="Times New Roman"/>
          <w:sz w:val="28"/>
          <w:szCs w:val="28"/>
          <w:lang w:val="zh-CN"/>
        </w:rPr>
      </w:pPr>
      <w:bookmarkStart w:id="851" w:name="_Toc211937185"/>
      <w:r>
        <w:rPr>
          <w:rFonts w:hint="eastAsia" w:ascii="仿宋" w:hAnsi="仿宋" w:eastAsia="仿宋" w:cs="Times New Roman"/>
          <w:sz w:val="28"/>
          <w:szCs w:val="28"/>
          <w:lang w:val="zh-CN"/>
        </w:rPr>
        <w:t>机柜理线</w:t>
      </w:r>
      <w:bookmarkEnd w:id="851"/>
      <w:r>
        <w:rPr>
          <w:rFonts w:hint="eastAsia" w:ascii="仿宋" w:hAnsi="仿宋" w:eastAsia="仿宋" w:cs="Times New Roman"/>
          <w:sz w:val="28"/>
          <w:szCs w:val="28"/>
          <w:lang w:val="zh-CN"/>
        </w:rPr>
        <w:t>：在机房内，应当做到每根线从进入机房开始，直到配线架的模块为止，都应做到横平竖直不交叉。并按电子设备排线的要求，做到每个弯角处都有线缆固定，保证线缆在弯角处有一定的转弯半径，同时做到横平竖直。</w:t>
      </w:r>
    </w:p>
    <w:p>
      <w:pPr>
        <w:widowControl/>
        <w:numPr>
          <w:ilvl w:val="0"/>
          <w:numId w:val="23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室外布线：室外布线时应电信工程安装规范或建筑电气设计规范执行，建议不要随意施工，以免因外界环境造成寿命缩短或引起其他不必要的麻烦。室外布线建议在进入建筑物后安排进线机房，将室外线缆转换成室内线缆后再铺设到机房区，以免又粗又硬的室外线缆与精巧的室内桥架之间发生空间和转弯半径之间的冲突。</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val="0"/>
          <w:bCs/>
          <w:kern w:val="2"/>
          <w:sz w:val="28"/>
          <w:szCs w:val="20"/>
          <w:lang w:val="en-US" w:eastAsia="zh-CN" w:bidi="ar-SA"/>
        </w:rPr>
      </w:pPr>
      <w:r>
        <w:rPr>
          <w:rFonts w:hint="eastAsia" w:ascii="楷体" w:hAnsi="楷体" w:eastAsia="仿宋" w:cs="Times New Roman"/>
          <w:b/>
          <w:kern w:val="2"/>
          <w:sz w:val="28"/>
          <w:szCs w:val="20"/>
          <w:lang w:val="en-US" w:eastAsia="zh-CN" w:bidi="ar-SA"/>
        </w:rPr>
        <w:t xml:space="preserve">光缆 </w:t>
      </w:r>
      <w:r>
        <w:rPr>
          <w:rFonts w:hint="eastAsia" w:ascii="楷体" w:hAnsi="楷体" w:eastAsia="仿宋" w:cs="Times New Roman"/>
          <w:b w:val="0"/>
          <w:bCs/>
          <w:kern w:val="2"/>
          <w:sz w:val="28"/>
          <w:szCs w:val="20"/>
          <w:lang w:val="en-US" w:eastAsia="zh-CN" w:bidi="ar-SA"/>
        </w:rPr>
        <w:t xml:space="preserve">  </w:t>
      </w:r>
    </w:p>
    <w:p>
      <w:pPr>
        <w:widowControl/>
        <w:spacing w:line="560" w:lineRule="exact"/>
        <w:ind w:firstLine="478" w:firstLineChars="171"/>
        <w:rPr>
          <w:rFonts w:hint="eastAsia" w:ascii="仿宋" w:hAnsi="仿宋" w:eastAsia="仿宋" w:cs="仿宋"/>
          <w:bCs/>
          <w:sz w:val="28"/>
          <w:szCs w:val="28"/>
        </w:rPr>
      </w:pPr>
      <w:r>
        <w:rPr>
          <w:rFonts w:hint="eastAsia" w:ascii="仿宋" w:hAnsi="仿宋" w:eastAsia="仿宋" w:cs="仿宋"/>
          <w:bCs/>
          <w:sz w:val="28"/>
          <w:szCs w:val="28"/>
        </w:rPr>
        <w:t>在牵引光纤前，必须检查内管道，并保证没有堵塞及倒塌的段落，保证敷设通路无阻。敷设多条光纤时，尽量不要同时牵引光纤，对于每一条新的光纤要用一条新的拉绳，以避免拉绳断开而出现问题。并同一时间将光缆牵引进管道。往占用的管道敷设新的光纤时，先要采用一种方法来测量最大张强；当使用滑车轮拉线时要采用一个拉力计以保证张强小于100磅。牵引光纤应以稳定的速度（大约每分钟75英尺），并避免中途停止，以减少重新牵引时的张强过大。相关具体要求如下：</w:t>
      </w:r>
    </w:p>
    <w:p>
      <w:pPr>
        <w:widowControl/>
        <w:numPr>
          <w:ilvl w:val="0"/>
          <w:numId w:val="23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安装温度：0度~70度；存储温度：-5度~70度</w:t>
      </w:r>
    </w:p>
    <w:p>
      <w:pPr>
        <w:widowControl/>
        <w:numPr>
          <w:ilvl w:val="0"/>
          <w:numId w:val="23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光缆的最小弯曲半径：15倍光缆直径（短期-有负荷）区域设置：</w:t>
      </w:r>
    </w:p>
    <w:p>
      <w:pPr>
        <w:widowControl/>
        <w:numPr>
          <w:ilvl w:val="0"/>
          <w:numId w:val="23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安装前规划好所有光缆路径，确保光缆维持最小弯曲半径，并且不会受到化学的或者机械的损伤。</w:t>
      </w:r>
    </w:p>
    <w:p>
      <w:pPr>
        <w:widowControl/>
        <w:numPr>
          <w:ilvl w:val="0"/>
          <w:numId w:val="23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在安装其间，要监控光缆的拉力，确保光缆不会超过要求。</w:t>
      </w:r>
    </w:p>
    <w:p>
      <w:pPr>
        <w:widowControl/>
        <w:numPr>
          <w:ilvl w:val="0"/>
          <w:numId w:val="23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在安装其间，使用可自由转动的拉线器以防止光缆扭绞。</w:t>
      </w:r>
    </w:p>
    <w:p>
      <w:pPr>
        <w:widowControl/>
        <w:numPr>
          <w:ilvl w:val="0"/>
          <w:numId w:val="23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布放光缆时要清除拐角，光缆不可敷设在任何有尖角或尖棱的地方。</w:t>
      </w:r>
    </w:p>
    <w:p>
      <w:pPr>
        <w:widowControl/>
        <w:numPr>
          <w:ilvl w:val="0"/>
          <w:numId w:val="23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光缆布放时，须以固定间隔绑扎，绑扎程度以线缆不弯为度。即使是微弯的光缆也会影响光的传输。</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r>
        <w:rPr>
          <w:rFonts w:hint="eastAsia" w:ascii="楷体" w:hAnsi="楷体" w:eastAsia="仿宋" w:cs="Times New Roman"/>
          <w:b/>
          <w:kern w:val="2"/>
          <w:sz w:val="28"/>
          <w:szCs w:val="20"/>
          <w:lang w:val="en-US" w:eastAsia="zh-CN" w:bidi="ar-SA"/>
        </w:rPr>
        <w:t>铜缆</w:t>
      </w:r>
    </w:p>
    <w:p>
      <w:pPr>
        <w:widowControl/>
        <w:numPr>
          <w:ilvl w:val="0"/>
          <w:numId w:val="23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确保电缆与电磁干扰源（电力电缆、变压器、电机及荧光照明等）的距离符合标准要求。</w:t>
      </w:r>
    </w:p>
    <w:p>
      <w:pPr>
        <w:widowControl/>
        <w:numPr>
          <w:ilvl w:val="0"/>
          <w:numId w:val="23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线缆捆扎时不要使外护套变形。</w:t>
      </w:r>
    </w:p>
    <w:p>
      <w:pPr>
        <w:widowControl/>
        <w:numPr>
          <w:ilvl w:val="0"/>
          <w:numId w:val="23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布放线缆应遵守建筑工业标准建议的电缆填充率进行安装。</w:t>
      </w:r>
    </w:p>
    <w:p>
      <w:pPr>
        <w:widowControl/>
        <w:numPr>
          <w:ilvl w:val="0"/>
          <w:numId w:val="23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当电缆穿过放火屏障时，要采用适当的阻燃措施（光缆适用）。</w:t>
      </w:r>
    </w:p>
    <w:p>
      <w:pPr>
        <w:widowControl/>
        <w:numPr>
          <w:ilvl w:val="0"/>
          <w:numId w:val="23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单根4对双绞线的拉力不可超过110N（25lbs,约11公斤）。</w:t>
      </w:r>
    </w:p>
    <w:p>
      <w:pPr>
        <w:widowControl/>
        <w:numPr>
          <w:ilvl w:val="0"/>
          <w:numId w:val="23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保持线缆的最小弯曲半径符合标准要求（4对双绞线的最小弯曲半径是电缆外径的4倍）。</w:t>
      </w:r>
    </w:p>
    <w:p>
      <w:pPr>
        <w:widowControl/>
        <w:numPr>
          <w:ilvl w:val="0"/>
          <w:numId w:val="23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安装线缆时不可将线缆扭绞，扭绞会改变线缆的内线对几何形状，从而影响电缆性能。</w:t>
      </w:r>
    </w:p>
    <w:p>
      <w:pPr>
        <w:widowControl/>
        <w:numPr>
          <w:ilvl w:val="0"/>
          <w:numId w:val="23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端接线缆时，线对拆开的长度不宜超过13mm。</w:t>
      </w:r>
    </w:p>
    <w:p>
      <w:pPr>
        <w:widowControl/>
        <w:numPr>
          <w:ilvl w:val="0"/>
          <w:numId w:val="23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安装时，线缆不可被挤压。</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bookmarkStart w:id="852" w:name="_Toc11654261"/>
      <w:bookmarkStart w:id="853" w:name="_Toc6678341"/>
      <w:bookmarkStart w:id="854" w:name="_Toc325127336"/>
      <w:bookmarkStart w:id="855" w:name="_Toc10822458"/>
      <w:bookmarkStart w:id="856" w:name="_Toc323810071"/>
      <w:bookmarkStart w:id="857" w:name="_Toc93394742"/>
      <w:bookmarkStart w:id="858" w:name="_Toc325127171"/>
      <w:bookmarkStart w:id="859" w:name="_Toc326679669"/>
      <w:r>
        <w:rPr>
          <w:rFonts w:hint="eastAsia" w:ascii="楷体" w:hAnsi="楷体" w:eastAsia="仿宋" w:cs="Times New Roman"/>
          <w:b/>
          <w:kern w:val="2"/>
          <w:sz w:val="28"/>
          <w:szCs w:val="20"/>
          <w:lang w:val="en-US" w:eastAsia="zh-CN" w:bidi="ar-SA"/>
        </w:rPr>
        <w:t>信息插座及配线架的施工</w:t>
      </w:r>
      <w:bookmarkEnd w:id="852"/>
      <w:bookmarkEnd w:id="853"/>
      <w:bookmarkEnd w:id="854"/>
      <w:bookmarkEnd w:id="855"/>
      <w:bookmarkEnd w:id="856"/>
      <w:bookmarkEnd w:id="857"/>
      <w:bookmarkEnd w:id="858"/>
      <w:bookmarkEnd w:id="859"/>
    </w:p>
    <w:p>
      <w:pPr>
        <w:widowControl/>
        <w:numPr>
          <w:ilvl w:val="0"/>
          <w:numId w:val="23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最小拨开缆线的表皮，应小于6mm，以保持原有的缆线的绞距。过长的去掉外皮会影响系统的NEXT和FEXT性能。</w:t>
      </w:r>
    </w:p>
    <w:p>
      <w:pPr>
        <w:widowControl/>
        <w:numPr>
          <w:ilvl w:val="0"/>
          <w:numId w:val="23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线对压入插座的配线架触点时，应保持最小散开线对以保持较好的绞距。</w:t>
      </w:r>
    </w:p>
    <w:p>
      <w:pPr>
        <w:widowControl/>
        <w:numPr>
          <w:ilvl w:val="0"/>
          <w:numId w:val="23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保持缆线的弯曲半径为缆线直径的8倍。</w:t>
      </w:r>
    </w:p>
    <w:p>
      <w:pPr>
        <w:widowControl/>
        <w:numPr>
          <w:ilvl w:val="0"/>
          <w:numId w:val="23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当弯曲时应保持合适的缆线张力。</w:t>
      </w:r>
    </w:p>
    <w:p>
      <w:pPr>
        <w:widowControl/>
        <w:numPr>
          <w:ilvl w:val="0"/>
          <w:numId w:val="23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完整标识配线架的标签。</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bookmarkStart w:id="860" w:name="_Toc326679670"/>
      <w:bookmarkStart w:id="861" w:name="_Toc325127337"/>
      <w:bookmarkStart w:id="862" w:name="_Toc325127172"/>
      <w:bookmarkStart w:id="863" w:name="_Toc93394744"/>
      <w:bookmarkStart w:id="864" w:name="_Toc323810073"/>
      <w:r>
        <w:rPr>
          <w:rFonts w:hint="eastAsia" w:ascii="楷体" w:hAnsi="楷体" w:eastAsia="仿宋" w:cs="Times New Roman"/>
          <w:b/>
          <w:kern w:val="2"/>
          <w:sz w:val="28"/>
          <w:szCs w:val="20"/>
          <w:lang w:val="en-US" w:eastAsia="zh-CN" w:bidi="ar-SA"/>
        </w:rPr>
        <w:t>机架、机柜的安装</w:t>
      </w:r>
      <w:bookmarkEnd w:id="860"/>
      <w:bookmarkEnd w:id="861"/>
      <w:bookmarkEnd w:id="862"/>
      <w:bookmarkEnd w:id="863"/>
      <w:bookmarkEnd w:id="864"/>
    </w:p>
    <w:p>
      <w:pPr>
        <w:widowControl/>
        <w:numPr>
          <w:ilvl w:val="0"/>
          <w:numId w:val="23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机架、机柜的安装位置符合设计要求，保证机架、机柜与地面垂直，其前后左右的垂直偏差度不大于3mm。底座水平误差不大于2mm。</w:t>
      </w:r>
    </w:p>
    <w:p>
      <w:pPr>
        <w:widowControl/>
        <w:numPr>
          <w:ilvl w:val="0"/>
          <w:numId w:val="23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保证机架、机柜的外观完整，没有磕碰损伤。内部零部件连接牢固。各种标志统一、完整、清晰、醒目。</w:t>
      </w:r>
    </w:p>
    <w:p>
      <w:pPr>
        <w:widowControl/>
        <w:numPr>
          <w:ilvl w:val="0"/>
          <w:numId w:val="23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保证机架、机柜安装牢固可靠。在有抗震的要求时，将根据设计中的要求进行防震加固。各种螺丝均已拧紧，没有松动、损坏或锈蚀等缺陷。</w:t>
      </w:r>
    </w:p>
    <w:p>
      <w:pPr>
        <w:widowControl/>
        <w:numPr>
          <w:ilvl w:val="0"/>
          <w:numId w:val="23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为保证施工和未来维护的方便，机架、机柜安装时将保证前部六有1500mm空间，其后部空间不小于800mm，便于人员施工、维护和通行。</w:t>
      </w:r>
    </w:p>
    <w:p>
      <w:pPr>
        <w:widowControl/>
        <w:numPr>
          <w:ilvl w:val="0"/>
          <w:numId w:val="23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架或机柜阵列安装时，顶部安装应采取由上架、立柱、连固铁、列间撑铁、旁侧撑铁和斜撑组成的加固连接网。构件之间按规定牢固连接，使之成为一个整体。对8度及8度以上的抗震，须采用抗震夹板或螺栓加固。</w:t>
      </w:r>
    </w:p>
    <w:p>
      <w:pPr>
        <w:widowControl/>
        <w:numPr>
          <w:ilvl w:val="0"/>
          <w:numId w:val="23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机架、机柜采用壁挂安装时，其底边应距地面300-800mm。</w:t>
      </w:r>
    </w:p>
    <w:p>
      <w:pPr>
        <w:widowControl/>
        <w:numPr>
          <w:ilvl w:val="0"/>
          <w:numId w:val="23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机架、机柜的接地装置符合设计要求，保持良好的电气连接。</w:t>
      </w:r>
    </w:p>
    <w:p>
      <w:pPr>
        <w:numPr>
          <w:ilvl w:val="3"/>
          <w:numId w:val="2"/>
        </w:numPr>
        <w:spacing w:before="0" w:beforeLines="0" w:after="0" w:afterLines="0" w:line="560" w:lineRule="exact"/>
        <w:ind w:left="0" w:firstLine="0"/>
        <w:jc w:val="both"/>
        <w:outlineLvl w:val="3"/>
        <w:rPr>
          <w:rFonts w:hint="eastAsia" w:ascii="楷体" w:hAnsi="楷体" w:eastAsia="仿宋" w:cs="Times New Roman"/>
          <w:b/>
          <w:kern w:val="2"/>
          <w:sz w:val="28"/>
          <w:szCs w:val="20"/>
          <w:lang w:val="en-US" w:eastAsia="zh-CN" w:bidi="ar-SA"/>
        </w:rPr>
      </w:pPr>
      <w:bookmarkStart w:id="865" w:name="_Toc326679671"/>
      <w:bookmarkStart w:id="866" w:name="_Toc323810085"/>
      <w:bookmarkStart w:id="867" w:name="_Toc325127173"/>
      <w:bookmarkStart w:id="868" w:name="_Toc93394758"/>
      <w:bookmarkStart w:id="869" w:name="_Toc325127338"/>
      <w:bookmarkStart w:id="870" w:name="_Toc75179232"/>
      <w:r>
        <w:rPr>
          <w:rFonts w:hint="eastAsia" w:ascii="楷体" w:hAnsi="楷体" w:eastAsia="仿宋" w:cs="Times New Roman"/>
          <w:b/>
          <w:kern w:val="2"/>
          <w:sz w:val="28"/>
          <w:szCs w:val="20"/>
          <w:lang w:val="en-US" w:eastAsia="zh-CN" w:bidi="ar-SA"/>
        </w:rPr>
        <w:t>测试</w:t>
      </w:r>
      <w:bookmarkEnd w:id="865"/>
      <w:bookmarkEnd w:id="866"/>
      <w:bookmarkEnd w:id="867"/>
      <w:bookmarkEnd w:id="868"/>
      <w:bookmarkEnd w:id="869"/>
      <w:bookmarkEnd w:id="870"/>
    </w:p>
    <w:p>
      <w:pPr>
        <w:keepNext/>
        <w:keepLines/>
        <w:numPr>
          <w:ilvl w:val="4"/>
          <w:numId w:val="2"/>
        </w:numPr>
        <w:spacing w:before="0" w:beforeLines="0" w:after="0" w:afterLines="0" w:line="560" w:lineRule="exact"/>
        <w:ind w:left="0" w:firstLine="0"/>
        <w:jc w:val="both"/>
        <w:outlineLvl w:val="4"/>
        <w:rPr>
          <w:rFonts w:hint="eastAsia" w:ascii="楷体" w:hAnsi="楷体" w:eastAsia="仿宋" w:cs="Times New Roman"/>
          <w:b w:val="0"/>
          <w:bCs w:val="0"/>
          <w:kern w:val="2"/>
          <w:sz w:val="28"/>
          <w:szCs w:val="20"/>
          <w:lang w:val="en-US" w:eastAsia="zh-CN" w:bidi="ar-SA"/>
        </w:rPr>
      </w:pPr>
      <w:bookmarkStart w:id="871" w:name="_Toc325127174"/>
      <w:bookmarkStart w:id="872" w:name="_Toc323810087"/>
      <w:bookmarkStart w:id="873" w:name="_Toc15882077"/>
      <w:bookmarkStart w:id="874" w:name="_Toc325127339"/>
      <w:bookmarkStart w:id="875" w:name="_Toc326679672"/>
      <w:bookmarkStart w:id="876" w:name="_Toc6583685"/>
      <w:bookmarkStart w:id="877" w:name="_Toc6678335"/>
      <w:bookmarkStart w:id="878" w:name="_Toc75179234"/>
      <w:bookmarkStart w:id="879" w:name="_Toc93394760"/>
      <w:r>
        <w:rPr>
          <w:rFonts w:hint="eastAsia" w:ascii="楷体" w:hAnsi="楷体" w:eastAsia="仿宋" w:cs="Times New Roman"/>
          <w:b w:val="0"/>
          <w:bCs w:val="0"/>
          <w:kern w:val="2"/>
          <w:sz w:val="28"/>
          <w:szCs w:val="20"/>
          <w:lang w:val="en-US" w:eastAsia="zh-CN" w:bidi="ar-SA"/>
        </w:rPr>
        <w:t>铜缆测试</w:t>
      </w:r>
      <w:bookmarkEnd w:id="871"/>
      <w:bookmarkEnd w:id="872"/>
      <w:bookmarkEnd w:id="873"/>
      <w:bookmarkEnd w:id="874"/>
      <w:bookmarkEnd w:id="875"/>
      <w:bookmarkEnd w:id="876"/>
      <w:bookmarkEnd w:id="877"/>
      <w:bookmarkEnd w:id="878"/>
      <w:bookmarkEnd w:id="879"/>
    </w:p>
    <w:p>
      <w:pPr>
        <w:widowControl/>
        <w:spacing w:line="560" w:lineRule="exact"/>
        <w:ind w:firstLine="478" w:firstLineChars="171"/>
        <w:rPr>
          <w:rFonts w:hint="eastAsia" w:ascii="仿宋" w:hAnsi="仿宋" w:eastAsia="仿宋" w:cs="仿宋"/>
          <w:bCs/>
          <w:sz w:val="28"/>
          <w:szCs w:val="28"/>
        </w:rPr>
      </w:pPr>
      <w:bookmarkStart w:id="880" w:name="_Toc6678336"/>
      <w:bookmarkStart w:id="881" w:name="_Toc15882078"/>
      <w:bookmarkStart w:id="882" w:name="_Toc6583686"/>
      <w:bookmarkStart w:id="883" w:name="_Toc75179235"/>
      <w:r>
        <w:rPr>
          <w:rFonts w:hint="eastAsia" w:ascii="仿宋" w:hAnsi="仿宋" w:eastAsia="仿宋" w:cs="仿宋"/>
          <w:bCs/>
          <w:sz w:val="28"/>
          <w:szCs w:val="28"/>
        </w:rPr>
        <w:t>水平铜缆的测试包括以下内容：</w:t>
      </w:r>
    </w:p>
    <w:p>
      <w:pPr>
        <w:widowControl/>
        <w:numPr>
          <w:ilvl w:val="0"/>
          <w:numId w:val="23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接线图（Wire Map）</w:t>
      </w:r>
    </w:p>
    <w:p>
      <w:pPr>
        <w:widowControl/>
        <w:numPr>
          <w:ilvl w:val="0"/>
          <w:numId w:val="23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长度（Length）</w:t>
      </w:r>
    </w:p>
    <w:p>
      <w:pPr>
        <w:widowControl/>
        <w:numPr>
          <w:ilvl w:val="0"/>
          <w:numId w:val="23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插入损耗/衰减（Insertion loss/attenuation）</w:t>
      </w:r>
    </w:p>
    <w:p>
      <w:pPr>
        <w:widowControl/>
        <w:numPr>
          <w:ilvl w:val="0"/>
          <w:numId w:val="23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lang w:val="zh-CN"/>
        </w:rPr>
        <w:t>近端串音</w:t>
      </w:r>
      <w:r>
        <w:rPr>
          <w:rFonts w:hint="eastAsia" w:ascii="仿宋" w:hAnsi="仿宋" w:eastAsia="仿宋" w:cs="Times New Roman"/>
          <w:sz w:val="28"/>
          <w:szCs w:val="28"/>
        </w:rPr>
        <w:t>（NEXT，Near End Crosstalk）</w:t>
      </w:r>
    </w:p>
    <w:p>
      <w:pPr>
        <w:widowControl/>
        <w:numPr>
          <w:ilvl w:val="0"/>
          <w:numId w:val="235"/>
        </w:numPr>
        <w:spacing w:line="560" w:lineRule="exact"/>
        <w:ind w:left="0" w:firstLine="0"/>
        <w:rPr>
          <w:rFonts w:hint="eastAsia" w:ascii="仿宋" w:hAnsi="仿宋" w:eastAsia="仿宋" w:cs="Times New Roman"/>
          <w:sz w:val="28"/>
          <w:szCs w:val="28"/>
        </w:rPr>
      </w:pPr>
      <w:r>
        <w:rPr>
          <w:rFonts w:hint="eastAsia" w:ascii="仿宋" w:hAnsi="仿宋" w:eastAsia="仿宋" w:cs="Times New Roman"/>
          <w:sz w:val="28"/>
          <w:szCs w:val="28"/>
          <w:lang w:val="zh-CN"/>
        </w:rPr>
        <w:t>近端串音的功率和</w:t>
      </w:r>
      <w:r>
        <w:rPr>
          <w:rFonts w:hint="eastAsia" w:ascii="仿宋" w:hAnsi="仿宋" w:eastAsia="仿宋" w:cs="Times New Roman"/>
          <w:sz w:val="28"/>
          <w:szCs w:val="28"/>
        </w:rPr>
        <w:t>（PSNEXT，Power sum NEXT）</w:t>
      </w:r>
    </w:p>
    <w:p>
      <w:pPr>
        <w:widowControl/>
        <w:numPr>
          <w:ilvl w:val="0"/>
          <w:numId w:val="23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衰减-串音衰减比率（ACR，Attenuation to Crosstalk Rate）</w:t>
      </w:r>
    </w:p>
    <w:p>
      <w:pPr>
        <w:widowControl/>
        <w:numPr>
          <w:ilvl w:val="0"/>
          <w:numId w:val="23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等电平远端串音（ELFEXT，Equal Level Far End Crosstalk）</w:t>
      </w:r>
    </w:p>
    <w:p>
      <w:pPr>
        <w:widowControl/>
        <w:numPr>
          <w:ilvl w:val="0"/>
          <w:numId w:val="23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等电平远端串音的功率和（PSELFEXT，Power sum ELFEXT）</w:t>
      </w:r>
    </w:p>
    <w:p>
      <w:pPr>
        <w:widowControl/>
        <w:numPr>
          <w:ilvl w:val="0"/>
          <w:numId w:val="23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结构回波损耗（SRL，Structural Return Loss）</w:t>
      </w:r>
    </w:p>
    <w:p>
      <w:pPr>
        <w:widowControl/>
        <w:numPr>
          <w:ilvl w:val="0"/>
          <w:numId w:val="23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特性阻抗（Impedance）</w:t>
      </w:r>
    </w:p>
    <w:p>
      <w:pPr>
        <w:widowControl/>
        <w:numPr>
          <w:ilvl w:val="0"/>
          <w:numId w:val="23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直流电阻（DC resistance）</w:t>
      </w:r>
    </w:p>
    <w:p>
      <w:pPr>
        <w:widowControl/>
        <w:numPr>
          <w:ilvl w:val="0"/>
          <w:numId w:val="23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线对间传输延时差（Delay skew）</w:t>
      </w:r>
    </w:p>
    <w:p>
      <w:pPr>
        <w:widowControl/>
        <w:numPr>
          <w:ilvl w:val="0"/>
          <w:numId w:val="23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传输延时（Propagation Delay）</w:t>
      </w:r>
    </w:p>
    <w:p>
      <w:pPr>
        <w:keepNext/>
        <w:keepLines/>
        <w:numPr>
          <w:ilvl w:val="4"/>
          <w:numId w:val="2"/>
        </w:numPr>
        <w:spacing w:before="0" w:beforeLines="0" w:after="0" w:afterLines="0" w:line="560" w:lineRule="exact"/>
        <w:ind w:left="0" w:firstLine="0"/>
        <w:jc w:val="both"/>
        <w:outlineLvl w:val="4"/>
        <w:rPr>
          <w:rFonts w:hint="eastAsia" w:ascii="楷体" w:hAnsi="楷体" w:eastAsia="仿宋" w:cs="Times New Roman"/>
          <w:b w:val="0"/>
          <w:bCs w:val="0"/>
          <w:kern w:val="2"/>
          <w:sz w:val="28"/>
          <w:szCs w:val="20"/>
          <w:lang w:val="en-US" w:eastAsia="zh-CN" w:bidi="ar-SA"/>
        </w:rPr>
      </w:pPr>
      <w:bookmarkStart w:id="884" w:name="_Toc325127340"/>
      <w:bookmarkStart w:id="885" w:name="_Toc325127175"/>
      <w:bookmarkStart w:id="886" w:name="_Toc326679673"/>
      <w:bookmarkStart w:id="887" w:name="_Toc323810088"/>
      <w:bookmarkStart w:id="888" w:name="_Toc93394761"/>
      <w:r>
        <w:rPr>
          <w:rFonts w:hint="eastAsia" w:ascii="楷体" w:hAnsi="楷体" w:eastAsia="仿宋" w:cs="Times New Roman"/>
          <w:b w:val="0"/>
          <w:bCs w:val="0"/>
          <w:kern w:val="2"/>
          <w:sz w:val="28"/>
          <w:szCs w:val="20"/>
          <w:lang w:val="en-US" w:eastAsia="zh-CN" w:bidi="ar-SA"/>
        </w:rPr>
        <w:t>光纤测试</w:t>
      </w:r>
      <w:bookmarkEnd w:id="880"/>
      <w:bookmarkEnd w:id="881"/>
      <w:bookmarkEnd w:id="882"/>
      <w:bookmarkEnd w:id="883"/>
      <w:bookmarkEnd w:id="884"/>
      <w:bookmarkEnd w:id="885"/>
      <w:bookmarkEnd w:id="886"/>
      <w:bookmarkEnd w:id="887"/>
      <w:bookmarkEnd w:id="888"/>
    </w:p>
    <w:p>
      <w:pPr>
        <w:widowControl/>
        <w:spacing w:line="560" w:lineRule="exact"/>
        <w:ind w:firstLine="478" w:firstLineChars="171"/>
        <w:rPr>
          <w:rFonts w:hint="eastAsia" w:ascii="仿宋" w:hAnsi="仿宋" w:eastAsia="仿宋" w:cs="仿宋"/>
          <w:bCs/>
          <w:sz w:val="28"/>
          <w:szCs w:val="28"/>
        </w:rPr>
      </w:pPr>
      <w:r>
        <w:rPr>
          <w:rFonts w:hint="eastAsia" w:ascii="仿宋" w:hAnsi="仿宋" w:eastAsia="仿宋" w:cs="仿宋"/>
          <w:bCs/>
          <w:sz w:val="28"/>
          <w:szCs w:val="28"/>
        </w:rPr>
        <w:t>光纤系统的测试包括以下内容：</w:t>
      </w:r>
    </w:p>
    <w:p>
      <w:pPr>
        <w:widowControl/>
        <w:numPr>
          <w:ilvl w:val="0"/>
          <w:numId w:val="2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光纤链路长度</w:t>
      </w:r>
    </w:p>
    <w:p>
      <w:pPr>
        <w:widowControl/>
        <w:numPr>
          <w:ilvl w:val="0"/>
          <w:numId w:val="23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光纤链路衰减</w:t>
      </w:r>
    </w:p>
    <w:p>
      <w:pPr>
        <w:numPr>
          <w:ilvl w:val="0"/>
          <w:numId w:val="2"/>
        </w:numPr>
        <w:spacing w:line="560" w:lineRule="exact"/>
        <w:jc w:val="center"/>
        <w:textAlignment w:val="baseline"/>
        <w:outlineLvl w:val="0"/>
        <w:rPr>
          <w:rFonts w:hint="eastAsia" w:ascii="仿宋" w:hAnsi="仿宋" w:eastAsia="仿宋" w:cs="仿宋"/>
          <w:b/>
          <w:color w:val="000000"/>
          <w:kern w:val="2"/>
          <w:sz w:val="30"/>
          <w:szCs w:val="30"/>
          <w:lang w:val="en-US" w:eastAsia="zh-CN" w:bidi="ar-SA"/>
        </w:rPr>
      </w:pPr>
      <w:bookmarkStart w:id="889" w:name="_Toc40262283"/>
      <w:bookmarkEnd w:id="889"/>
      <w:bookmarkStart w:id="890" w:name="_Toc40262284"/>
      <w:bookmarkEnd w:id="890"/>
      <w:bookmarkStart w:id="891" w:name="_Toc40262285"/>
      <w:bookmarkEnd w:id="891"/>
      <w:bookmarkStart w:id="892" w:name="_Toc40262286"/>
      <w:bookmarkEnd w:id="892"/>
      <w:bookmarkStart w:id="893" w:name="_Toc40262287"/>
      <w:bookmarkEnd w:id="893"/>
      <w:bookmarkStart w:id="894" w:name="_Toc40262288"/>
      <w:bookmarkEnd w:id="894"/>
      <w:bookmarkStart w:id="895" w:name="_Toc40262289"/>
      <w:bookmarkEnd w:id="895"/>
      <w:bookmarkStart w:id="896" w:name="_Toc40262290"/>
      <w:bookmarkEnd w:id="896"/>
      <w:bookmarkStart w:id="897" w:name="_Toc40262291"/>
      <w:bookmarkEnd w:id="897"/>
      <w:bookmarkStart w:id="898" w:name="_Toc40262292"/>
      <w:bookmarkEnd w:id="898"/>
      <w:bookmarkStart w:id="899" w:name="_Toc40262293"/>
      <w:bookmarkEnd w:id="899"/>
      <w:bookmarkStart w:id="900" w:name="_Toc40262294"/>
      <w:bookmarkEnd w:id="900"/>
      <w:bookmarkStart w:id="901" w:name="_Toc40262295"/>
      <w:bookmarkEnd w:id="901"/>
      <w:bookmarkStart w:id="902" w:name="_Toc40262296"/>
      <w:bookmarkEnd w:id="902"/>
      <w:bookmarkStart w:id="903" w:name="_Toc40262297"/>
      <w:bookmarkEnd w:id="903"/>
      <w:bookmarkStart w:id="904" w:name="_Toc40262298"/>
      <w:bookmarkEnd w:id="904"/>
      <w:bookmarkStart w:id="905" w:name="_Toc40262299"/>
      <w:bookmarkEnd w:id="905"/>
      <w:bookmarkStart w:id="906" w:name="_Toc40262300"/>
      <w:bookmarkEnd w:id="906"/>
      <w:bookmarkStart w:id="907" w:name="_Toc40262301"/>
      <w:bookmarkEnd w:id="907"/>
      <w:bookmarkStart w:id="908" w:name="_Toc40262302"/>
      <w:bookmarkEnd w:id="908"/>
      <w:bookmarkStart w:id="909" w:name="_Toc40262303"/>
      <w:bookmarkEnd w:id="909"/>
      <w:bookmarkStart w:id="910" w:name="_Toc40262304"/>
      <w:bookmarkEnd w:id="910"/>
      <w:bookmarkStart w:id="911" w:name="_Toc40262305"/>
      <w:bookmarkEnd w:id="911"/>
      <w:bookmarkStart w:id="912" w:name="_Toc40262306"/>
      <w:bookmarkEnd w:id="912"/>
      <w:bookmarkStart w:id="913" w:name="_Toc40262307"/>
      <w:bookmarkEnd w:id="913"/>
      <w:bookmarkStart w:id="914" w:name="_Toc40262308"/>
      <w:bookmarkEnd w:id="914"/>
      <w:bookmarkStart w:id="915" w:name="_Toc40262309"/>
      <w:bookmarkEnd w:id="915"/>
      <w:bookmarkStart w:id="916" w:name="_Toc40262310"/>
      <w:bookmarkEnd w:id="916"/>
      <w:bookmarkStart w:id="917" w:name="_Toc40262311"/>
      <w:bookmarkEnd w:id="917"/>
      <w:bookmarkStart w:id="918" w:name="_Toc40262312"/>
      <w:bookmarkEnd w:id="918"/>
      <w:bookmarkStart w:id="919" w:name="_Toc40262313"/>
      <w:bookmarkEnd w:id="919"/>
      <w:bookmarkStart w:id="920" w:name="_Toc357878129"/>
      <w:bookmarkEnd w:id="920"/>
      <w:bookmarkStart w:id="921" w:name="_Toc357878130"/>
      <w:bookmarkStart w:id="922" w:name="_Toc10874"/>
      <w:r>
        <w:rPr>
          <w:rFonts w:hint="eastAsia" w:ascii="仿宋" w:hAnsi="仿宋" w:eastAsia="仿宋" w:cs="仿宋"/>
          <w:b/>
          <w:color w:val="auto"/>
          <w:kern w:val="2"/>
          <w:sz w:val="28"/>
          <w:szCs w:val="28"/>
          <w:lang w:val="en-US" w:eastAsia="zh-CN" w:bidi="ar-SA"/>
        </w:rPr>
        <w:br w:type="page"/>
      </w:r>
      <w:bookmarkStart w:id="923" w:name="_Toc17587"/>
      <w:r>
        <w:rPr>
          <w:rFonts w:hint="eastAsia" w:ascii="仿宋" w:hAnsi="仿宋" w:eastAsia="仿宋" w:cs="仿宋"/>
          <w:b/>
          <w:color w:val="000000"/>
          <w:kern w:val="2"/>
          <w:sz w:val="30"/>
          <w:szCs w:val="30"/>
          <w:lang w:val="en-US" w:eastAsia="zh-CN" w:bidi="ar-SA"/>
        </w:rPr>
        <w:t>工程实施与管理要求</w:t>
      </w:r>
      <w:bookmarkEnd w:id="923"/>
    </w:p>
    <w:bookmarkEnd w:id="921"/>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924" w:name="_Toc8069"/>
      <w:r>
        <w:rPr>
          <w:rFonts w:hint="eastAsia" w:ascii="仿宋" w:hAnsi="仿宋" w:eastAsia="仿宋" w:cs="仿宋"/>
          <w:b/>
          <w:bCs/>
          <w:kern w:val="2"/>
          <w:sz w:val="28"/>
          <w:szCs w:val="28"/>
          <w:lang w:val="en-US" w:eastAsia="zh-CN" w:bidi="ar-SA"/>
        </w:rPr>
        <w:t>总则</w:t>
      </w:r>
      <w:bookmarkEnd w:id="924"/>
    </w:p>
    <w:bookmarkEnd w:id="922"/>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中标方在签订工程合同直至验收合格期间，在现场必须成立由管理人员和技术人员组成的“项目管理部”，并委派一名专职项目经理，定期参加现场会议，负责与招标人、监</w:t>
      </w:r>
      <w:bookmarkStart w:id="925" w:name="_Toc30324"/>
      <w:r>
        <w:rPr>
          <w:rFonts w:hint="eastAsia" w:ascii="仿宋" w:hAnsi="仿宋" w:eastAsia="仿宋" w:cs="Times New Roman"/>
          <w:sz w:val="28"/>
          <w:szCs w:val="28"/>
          <w:lang w:val="zh-CN"/>
        </w:rPr>
        <w:t>理工程师联系。如招标人认为该人员未达到要求时可要</w:t>
      </w:r>
      <w:bookmarkEnd w:id="925"/>
      <w:r>
        <w:rPr>
          <w:rFonts w:hint="eastAsia" w:ascii="仿宋" w:hAnsi="仿宋" w:eastAsia="仿宋" w:cs="Times New Roman"/>
          <w:sz w:val="28"/>
          <w:szCs w:val="28"/>
          <w:lang w:val="zh-CN"/>
        </w:rPr>
        <w:t>求</w:t>
      </w:r>
      <w:bookmarkStart w:id="926" w:name="_Toc19882"/>
      <w:r>
        <w:rPr>
          <w:rFonts w:hint="eastAsia" w:ascii="仿宋" w:hAnsi="仿宋" w:eastAsia="仿宋" w:cs="Times New Roman"/>
          <w:sz w:val="28"/>
          <w:szCs w:val="28"/>
          <w:lang w:val="zh-CN"/>
        </w:rPr>
        <w:t>更换，中标方应按招标人要求及时替换。</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投标方必须在接到中标通知书后，立即展开施工图纸的深化设计工作。</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工程实施具备开工条件后，中标方应服从招标人安排，派员到达现场办理材料</w:t>
      </w:r>
      <w:bookmarkEnd w:id="926"/>
      <w:r>
        <w:rPr>
          <w:rFonts w:hint="eastAsia" w:ascii="仿宋" w:hAnsi="仿宋" w:eastAsia="仿宋" w:cs="Times New Roman"/>
          <w:sz w:val="28"/>
          <w:szCs w:val="28"/>
          <w:lang w:val="zh-CN"/>
        </w:rPr>
        <w:t>堆放、临时设施搭设、现场运输、临时水电接通等事宜。</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工程施工用水、电，施工现场的临时设施以及竣工后的清理工作，均由中标方自行解决，工程竣工后，将施工垃圾全部清理完毕，做到工完、料净、地清，并承担相关的费用。</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中标方必须按照GB50325-2010《民用建筑工程室内环境污染控制规范》的标准对室内空气、环境进行检测，检测项目包括检测室内空气中的甲醛、笨、TVOC、氦、放射性氢等指标参数，并承担检测费用。</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投标方应当充分考虑与各专业分包单位协调材料运输、施工现场相互配合等可能产生的费用，并将其纳入投标报价中，结算时此项费用不做任何调整。</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中标方在工程实施过程中，必须服从招标人、监理在工程进度、质量、施工管理等多方面的管理要求。</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w:t>
      </w:r>
      <w:bookmarkStart w:id="927" w:name="_Toc24747"/>
      <w:r>
        <w:rPr>
          <w:rFonts w:hint="eastAsia" w:ascii="仿宋" w:hAnsi="仿宋" w:eastAsia="仿宋" w:cs="Times New Roman"/>
          <w:sz w:val="28"/>
          <w:szCs w:val="28"/>
          <w:lang w:val="zh-CN"/>
        </w:rPr>
        <w:t>在工程实施过程中，必须无条件接受招标人、监理工程师的检查和监督，并执行招标人、监理工程师所发出的指令，以确保工程质量优良。</w:t>
      </w:r>
    </w:p>
    <w:bookmarkEnd w:id="927"/>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中标方在设备安装之前，应该对设备安装处的土建及环境条件进行检查</w:t>
      </w:r>
      <w:bookmarkStart w:id="928" w:name="_Toc24030"/>
      <w:r>
        <w:rPr>
          <w:rFonts w:hint="eastAsia" w:ascii="仿宋" w:hAnsi="仿宋" w:eastAsia="仿宋" w:cs="Times New Roman"/>
          <w:sz w:val="28"/>
          <w:szCs w:val="28"/>
          <w:lang w:val="zh-CN"/>
        </w:rPr>
        <w:t>，由于中标方变动安装条件引起的费用应自行负担。</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中标方应在安装完成2周之前，向招标人提交调试和试运行的程序及记录表格，供招标人批准。</w:t>
      </w:r>
      <w:bookmarkEnd w:id="928"/>
    </w:p>
    <w:p>
      <w:pPr>
        <w:widowControl/>
        <w:numPr>
          <w:ilvl w:val="0"/>
          <w:numId w:val="237"/>
        </w:numPr>
        <w:spacing w:line="560" w:lineRule="exact"/>
        <w:ind w:left="0" w:firstLine="0"/>
        <w:rPr>
          <w:rFonts w:hint="eastAsia" w:ascii="仿宋" w:hAnsi="仿宋" w:eastAsia="仿宋" w:cs="Times New Roman"/>
          <w:sz w:val="28"/>
          <w:szCs w:val="28"/>
          <w:lang w:val="zh-CN"/>
        </w:rPr>
      </w:pPr>
      <w:bookmarkStart w:id="929" w:name="_Toc28614"/>
      <w:r>
        <w:rPr>
          <w:rFonts w:hint="eastAsia" w:ascii="仿宋" w:hAnsi="仿宋" w:eastAsia="仿宋" w:cs="Times New Roman"/>
          <w:sz w:val="28"/>
          <w:szCs w:val="28"/>
          <w:lang w:val="zh-CN"/>
        </w:rPr>
        <w:t>中标方应根据招标人批准的调试和试运行计划进行工作，调试和试运行应在招标人、顾问、监理工程师在场的情况下进行，并提交所有的记录和报告。由于中标方原因造成的调试和试运行失败引起的费用增加，由</w:t>
      </w:r>
      <w:bookmarkStart w:id="930" w:name="_Toc20137"/>
      <w:r>
        <w:rPr>
          <w:rFonts w:hint="eastAsia" w:ascii="仿宋" w:hAnsi="仿宋" w:eastAsia="仿宋" w:cs="Times New Roman"/>
          <w:sz w:val="28"/>
          <w:szCs w:val="28"/>
          <w:lang w:val="zh-CN"/>
        </w:rPr>
        <w:t>中标方自行承担。因此而引起的工期延误及经济损失，也由中标方负责承担。</w:t>
      </w:r>
    </w:p>
    <w:bookmarkEnd w:id="930"/>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本技术</w:t>
      </w:r>
      <w:bookmarkStart w:id="931" w:name="_Toc10348"/>
      <w:r>
        <w:rPr>
          <w:rFonts w:hint="eastAsia" w:ascii="仿宋" w:hAnsi="仿宋" w:eastAsia="仿宋" w:cs="Times New Roman"/>
          <w:sz w:val="28"/>
          <w:szCs w:val="28"/>
          <w:lang w:val="zh-CN"/>
        </w:rPr>
        <w:t>需求书与招标人其他技术要求都是本工程整体要求的组成部分。</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本技术需求书将作为招标人与中标方签订合同的基础，供中标方编写技术方案书、报</w:t>
      </w:r>
      <w:bookmarkEnd w:id="931"/>
      <w:r>
        <w:rPr>
          <w:rFonts w:hint="eastAsia" w:ascii="仿宋" w:hAnsi="仿宋" w:eastAsia="仿宋" w:cs="Times New Roman"/>
          <w:sz w:val="28"/>
          <w:szCs w:val="28"/>
          <w:lang w:val="zh-CN"/>
        </w:rPr>
        <w:t>价，并作为中选后的设备材料采购及安装的指导书。</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中标方要严格按照交付的技术需求书、国家标准、规范组织深化设计和施工，确保工程质量，并接受招标人代表的监督和检查。同时，中标方应考虑施</w:t>
      </w:r>
      <w:bookmarkEnd w:id="929"/>
      <w:r>
        <w:rPr>
          <w:rFonts w:hint="eastAsia" w:ascii="仿宋" w:hAnsi="仿宋" w:eastAsia="仿宋" w:cs="Times New Roman"/>
          <w:sz w:val="28"/>
          <w:szCs w:val="28"/>
          <w:lang w:val="zh-CN"/>
        </w:rPr>
        <w:t>工</w:t>
      </w:r>
      <w:bookmarkStart w:id="932" w:name="_Toc14203"/>
      <w:r>
        <w:rPr>
          <w:rFonts w:hint="eastAsia" w:ascii="仿宋" w:hAnsi="仿宋" w:eastAsia="仿宋" w:cs="Times New Roman"/>
          <w:sz w:val="28"/>
          <w:szCs w:val="28"/>
          <w:lang w:val="zh-CN"/>
        </w:rPr>
        <w:t>过程中有义务核对并在招标人指导下改正招标图纸中的错误。</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投标方对本技术需求书中的技术要求有异议，</w:t>
      </w:r>
      <w:bookmarkEnd w:id="932"/>
      <w:r>
        <w:rPr>
          <w:rFonts w:hint="eastAsia" w:ascii="仿宋" w:hAnsi="仿宋" w:eastAsia="仿宋" w:cs="Times New Roman"/>
          <w:sz w:val="28"/>
          <w:szCs w:val="28"/>
          <w:lang w:val="zh-CN"/>
        </w:rPr>
        <w:t>请</w:t>
      </w:r>
      <w:bookmarkStart w:id="933" w:name="_Toc3746"/>
      <w:r>
        <w:rPr>
          <w:rFonts w:hint="eastAsia" w:ascii="仿宋" w:hAnsi="仿宋" w:eastAsia="仿宋" w:cs="Times New Roman"/>
          <w:sz w:val="28"/>
          <w:szCs w:val="28"/>
          <w:lang w:val="zh-CN"/>
        </w:rPr>
        <w:t>以书面形式提出，招标人将以书面形式给以明确答复，否则，工程验收时，将以标准较高的技术要求为准。</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投标方未经招标人同意</w:t>
      </w:r>
      <w:bookmarkEnd w:id="933"/>
      <w:r>
        <w:rPr>
          <w:rFonts w:hint="eastAsia" w:ascii="仿宋" w:hAnsi="仿宋" w:eastAsia="仿宋" w:cs="Times New Roman"/>
          <w:sz w:val="28"/>
          <w:szCs w:val="28"/>
          <w:lang w:val="zh-CN"/>
        </w:rPr>
        <w:t>，</w:t>
      </w:r>
      <w:bookmarkStart w:id="934" w:name="_Toc3101"/>
      <w:r>
        <w:rPr>
          <w:rFonts w:hint="eastAsia" w:ascii="仿宋" w:hAnsi="仿宋" w:eastAsia="仿宋" w:cs="Times New Roman"/>
          <w:sz w:val="28"/>
          <w:szCs w:val="28"/>
          <w:lang w:val="zh-CN"/>
        </w:rPr>
        <w:t>不得以任何形式向第三方公开本文件。</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招标人在任何时候保留和拥有对本文件的解释权。在签定合同前，招标人有权根据需要修改和补充本技术需求书，修改补充后的最终技术</w:t>
      </w:r>
      <w:bookmarkEnd w:id="934"/>
      <w:bookmarkStart w:id="935" w:name="_Toc31672"/>
      <w:r>
        <w:rPr>
          <w:rFonts w:hint="eastAsia" w:ascii="仿宋" w:hAnsi="仿宋" w:eastAsia="仿宋" w:cs="Times New Roman"/>
          <w:sz w:val="28"/>
          <w:szCs w:val="28"/>
          <w:lang w:val="zh-CN"/>
        </w:rPr>
        <w:t>需求书将作为合同的附件。</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中标方在设计、采购和施工安装中所涉及的各项规程、规范和标准必须遵循现行最新版本的国家标准。本技术需求书所使用的标准如遇与中标方执行</w:t>
      </w:r>
      <w:bookmarkEnd w:id="935"/>
      <w:r>
        <w:rPr>
          <w:rFonts w:hint="eastAsia" w:ascii="仿宋" w:hAnsi="仿宋" w:eastAsia="仿宋" w:cs="Times New Roman"/>
          <w:sz w:val="28"/>
          <w:szCs w:val="28"/>
          <w:lang w:val="zh-CN"/>
        </w:rPr>
        <w:t>的</w:t>
      </w:r>
      <w:bookmarkStart w:id="936" w:name="_Toc25747"/>
      <w:r>
        <w:rPr>
          <w:rFonts w:hint="eastAsia" w:ascii="仿宋" w:hAnsi="仿宋" w:eastAsia="仿宋" w:cs="Times New Roman"/>
          <w:sz w:val="28"/>
          <w:szCs w:val="28"/>
          <w:lang w:val="zh-CN"/>
        </w:rPr>
        <w:t>标准不一致时，按较高标准执行并予以说明。</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中标方应充分熟悉本技术需求书的要求，完全理解本技术需求书的内容必须满足有关法规、规范要求。</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本技术需求书应视为满足招标人需求的最低要求，如有遗漏，中标方应予以补充，且认同遗漏部分已包含在此次的报价内。</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在投标过程中，招标人将以书面形式要求投标方对有关问题进行进一步的技术澄清，投标方应以书面资料给予正式应答；所有的技术澄清文件都将作为响应文件和合同签订依据。</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投标方提供的各项设备及系统的功能、性能应完全符合招标人指明的标准，或高于招标人提出的要求。对于本技术需求书未规定的有关设备性能，投标方应提出建议，</w:t>
      </w:r>
      <w:bookmarkEnd w:id="936"/>
      <w:bookmarkStart w:id="937" w:name="_Toc30520"/>
      <w:r>
        <w:rPr>
          <w:rFonts w:hint="eastAsia" w:ascii="仿宋" w:hAnsi="仿宋" w:eastAsia="仿宋" w:cs="Times New Roman"/>
          <w:sz w:val="28"/>
          <w:szCs w:val="28"/>
          <w:lang w:val="zh-CN"/>
        </w:rPr>
        <w:t>并陈述其理由。</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中标方所有系统的深化设计、施工图设计在实施前必须通过招标人、顾问、监理工程师的联合审议，审核认可后方可进行施工，并且应有表现主要功能间的效果图和设备安装综合系统天花平面图。</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中标方应完全按照技术文件和相关规范标准执行。任何建议的偏差，或者可选的建议，应清晰的在响应文件中描述。只有当这些被证明有重大意义的成本降低或更可靠或相等品质时，偏差才会被考虑。</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主要设备材料选购时，中标方需向招标人提交设备材料报审，只有得到招标人同意后，中标方才可以进行采购工作；没有得到招标人认可的材料，招标人有权要求中标方更换，其相应损失由中标方自行承担。</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采购时应严格依照招标人提供的设备材料品牌参考表和技术要求进行采购，严禁采购不在参考表之列的品牌。除非特殊情况下，可向招标人申请采购参考表之外的品牌，只有得到招标人、监理工程师书面认可后方可采购。对于设备材料品牌参考表中没有指明的设备和材料应采购符合国家相应规范标准的优质产品。</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所提供的设备材料必须是全新的、无破损的，为原厂包装，并符合合同规定的规格、质量，如不符时，中标方应负全责，并免费更换全部不合格产品，所有因产品规格不符、质量不符及因产品损坏而造成的工程延误和由此产生</w:t>
      </w:r>
      <w:bookmarkEnd w:id="937"/>
      <w:r>
        <w:rPr>
          <w:rFonts w:hint="eastAsia" w:ascii="仿宋" w:hAnsi="仿宋" w:eastAsia="仿宋" w:cs="Times New Roman"/>
          <w:sz w:val="28"/>
          <w:szCs w:val="28"/>
          <w:lang w:val="zh-CN"/>
        </w:rPr>
        <w:t>的相关费用由中标方负责，招标人保留终止合同和向中标方索赔的权利。</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中标方负责采购设备材料的型号、生产厂家需上报招标人确认。为了保证产品不被假冒，请中标方提供相关厂家产品的有效证明、合格证和检验证书，并附原厂有效发货清单，以便招标人及监理方复核。</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设备材料进入施工现场应立即通知招标人及监理工程师到现场验货，同时应提供相关产品的装箱单、合格证、使用说明书、测试报告或记录、检验证书、发货证明等有效证件，进口的产品应提供原产地证明和报关单。</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中标方向招标人提供本系统所有实际外购件清单，包括型号、规格、厂家；重要设备、仪器和仪表要有使用说明书及合格证；外购件随机配套件应无偿交给招标人。</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所有的设备及材料应满足中国辽宁省的环境条件。</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凡在实施强制性产品认证产品目录内的产品必须具有3C认证。</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设备与材料样品的送审与报批，国家相关部门的审批许可也包含在工作范围内。</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机房所有使用的型钢支架均要求为热镀锌，镀锌层厚度需满足规范要求，所有切口需进行防锈处理（环氧富锌底漆）。</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设备材料的包装、运输、保险及保管。</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设备的包装应符合相关标准，</w:t>
      </w:r>
      <w:bookmarkStart w:id="938" w:name="_Toc31033"/>
      <w:r>
        <w:rPr>
          <w:rFonts w:hint="eastAsia" w:ascii="Calibri" w:hAnsi="Calibri" w:eastAsia="仿宋" w:cs="Times New Roman"/>
          <w:sz w:val="28"/>
          <w:szCs w:val="22"/>
        </w:rPr>
        <w:t>因包装不善引起的损坏、腐蚀等损失由中标方承担。</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包装箱内附装箱单、合格证和产品说明书，包装费包含在投标报价中。</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中标方安装的设备、外购件和材料，由中标方运到安装现场并负责保管以及提供存放场地，运杂费已包含在投标报价中。</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重要的设备和外购件，中标方要与供货商、招标人、监理工程师共同开箱检查。</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由中标方提供的材料、设备和外购件在运输过程中发生的一切</w:t>
      </w:r>
      <w:bookmarkEnd w:id="938"/>
      <w:r>
        <w:rPr>
          <w:rFonts w:hint="eastAsia" w:ascii="Calibri" w:hAnsi="Calibri" w:eastAsia="仿宋" w:cs="Times New Roman"/>
          <w:sz w:val="28"/>
          <w:szCs w:val="22"/>
        </w:rPr>
        <w:t>损</w:t>
      </w:r>
      <w:bookmarkStart w:id="939" w:name="_Toc12676"/>
      <w:r>
        <w:rPr>
          <w:rFonts w:hint="eastAsia" w:ascii="Calibri" w:hAnsi="Calibri" w:eastAsia="仿宋" w:cs="Times New Roman"/>
          <w:sz w:val="28"/>
          <w:szCs w:val="22"/>
        </w:rPr>
        <w:t>失由中标方承担。</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中标方对所采购保管的设备、材料、外购件应建立货架，分类保管，同时建立领料登</w:t>
      </w:r>
      <w:bookmarkEnd w:id="939"/>
      <w:r>
        <w:rPr>
          <w:rFonts w:hint="eastAsia" w:ascii="Calibri" w:hAnsi="Calibri" w:eastAsia="仿宋" w:cs="Times New Roman"/>
          <w:sz w:val="28"/>
          <w:szCs w:val="22"/>
        </w:rPr>
        <w:t>记</w:t>
      </w:r>
      <w:bookmarkStart w:id="940" w:name="_Toc15376"/>
      <w:bookmarkStart w:id="941" w:name="_Toc348944833"/>
      <w:bookmarkStart w:id="942" w:name="_Toc354155887"/>
      <w:bookmarkStart w:id="943" w:name="_Toc115229848"/>
      <w:r>
        <w:rPr>
          <w:rFonts w:hint="eastAsia" w:ascii="Calibri" w:hAnsi="Calibri" w:eastAsia="仿宋" w:cs="Times New Roman"/>
          <w:sz w:val="28"/>
          <w:szCs w:val="22"/>
        </w:rPr>
        <w:t>制度</w:t>
      </w:r>
      <w:bookmarkEnd w:id="940"/>
      <w:bookmarkEnd w:id="941"/>
      <w:bookmarkEnd w:id="942"/>
      <w:r>
        <w:rPr>
          <w:rFonts w:hint="eastAsia" w:ascii="Calibri" w:hAnsi="Calibri" w:eastAsia="仿宋" w:cs="Times New Roman"/>
          <w:sz w:val="28"/>
          <w:szCs w:val="22"/>
        </w:rPr>
        <w:t>，招标人对中标方的材料保管不定期检查。</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中标方应为所承担的工程购买相应的工程保险，为现场人员购买人身保险，并承担该工程的灭失风险。（还必须考虑因本工程涉及其它楼层的水火险，以及因本工程施工引起对其他人员造成伤害的保险）</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编号系统。</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所有设备都应有标牌加以标志，明确表明它们的功能和编号。</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接线端子和导体应按原理接线图进行编号。</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设备铭牌应包含有关标准要求的所有内容。</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除上述要求外，还需按照招标人要求增加必要的标牌。</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中标方施工过程中应注意成品保护，对于正式移交前出现的施工成品破损中标方承担相应的责任和损失。</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要求中标方施工过程中注意洁净维护，在施工中严格控制灰尘，并采取相应的防护和控制措施。</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提供机房消防报批及验收所需的必要文件，负责整个机房通过当地消防主管部门的消防报批及验收。</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负责施工范围内所有孔洞的封堵、防火封堵、修补及收边工作。</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室内主要部分的装修，必须先做样板，经招标人、顾问、监理单位三方共同确认后方可大面积施工。</w:t>
      </w:r>
    </w:p>
    <w:p>
      <w:pPr>
        <w:widowControl/>
        <w:numPr>
          <w:ilvl w:val="0"/>
          <w:numId w:val="23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投标费用应全包括，如中标方提供的设计图纸存在偏离而造成修改、机房系统需求发生变化或有方向性的变动、系统的改动及不可抗拒的原因造成相关改变等，中标方需全方位配合修改所有相关的深化图纸，且在深化过程中原则不能产生任何追加的费用，并最终达到招标人对日后设计与施工的整体要求。</w:t>
      </w: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944" w:name="_Toc3741"/>
      <w:r>
        <w:rPr>
          <w:rFonts w:hint="eastAsia" w:ascii="仿宋" w:hAnsi="仿宋" w:eastAsia="仿宋" w:cs="仿宋"/>
          <w:b/>
          <w:bCs/>
          <w:kern w:val="2"/>
          <w:sz w:val="28"/>
          <w:szCs w:val="28"/>
          <w:lang w:val="en-US" w:eastAsia="zh-CN" w:bidi="ar-SA"/>
        </w:rPr>
        <w:t>深化设计阶段</w:t>
      </w:r>
      <w:bookmarkEnd w:id="944"/>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45" w:name="_Toc20701"/>
      <w:r>
        <w:rPr>
          <w:rFonts w:hint="eastAsia" w:ascii="楷体" w:hAnsi="楷体" w:eastAsia="仿宋" w:cs="Times New Roman"/>
          <w:b/>
          <w:kern w:val="2"/>
          <w:sz w:val="28"/>
          <w:lang w:val="en-US" w:eastAsia="zh-CN" w:bidi="ar-SA"/>
        </w:rPr>
        <w:t>实施要求</w:t>
      </w:r>
      <w:bookmarkEnd w:id="945"/>
    </w:p>
    <w:p>
      <w:pPr>
        <w:widowControl/>
        <w:numPr>
          <w:ilvl w:val="0"/>
          <w:numId w:val="2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中标方在接到采购结果通知书后开始进入最终深化阶段，并将在20个工作日内提交深化设计图纸供招标人和顾问批准。</w:t>
      </w:r>
    </w:p>
    <w:p>
      <w:pPr>
        <w:widowControl/>
        <w:numPr>
          <w:ilvl w:val="0"/>
          <w:numId w:val="2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在深化前，中标方应就招标人的使用特点、需求与招标人和顾问进行技术交流；</w:t>
      </w:r>
    </w:p>
    <w:p>
      <w:pPr>
        <w:widowControl/>
        <w:numPr>
          <w:ilvl w:val="0"/>
          <w:numId w:val="23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中标方提交的深化设计资料包括：</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设计说明（说明实施系统的构成、功能、主要软硬件性能指标等）；</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系统图（按实施系统设备的物理位置和逻辑关系绘制，应清楚表示设备和线缆的型号、规格，包括系统结构图、网络拓扑图）；</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平面图（清楚表示各系统设备的位置、设计编号、各机房的平面图等）；</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设备安装大样图</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各系统或设备的控制原理图及电气接线图（包括端子接线图）；</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所有第三方接口的设计说明（包括：硬件接口和软件协议）；</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最终的设备清单（包括主要的设备材料）和所有设备技术资料及使用说明书；</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招标人要求提供的其他与本工程有关的资料。</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 xml:space="preserve"> 综合管线图</w:t>
      </w:r>
    </w:p>
    <w:p>
      <w:pPr>
        <w:widowControl/>
        <w:numPr>
          <w:ilvl w:val="0"/>
          <w:numId w:val="239"/>
        </w:numPr>
        <w:spacing w:line="560" w:lineRule="exact"/>
        <w:ind w:left="425" w:hanging="425"/>
        <w:rPr>
          <w:rFonts w:hint="eastAsia" w:ascii="仿宋" w:hAnsi="仿宋" w:eastAsia="仿宋" w:cs="仿宋"/>
          <w:sz w:val="28"/>
          <w:szCs w:val="28"/>
        </w:rPr>
      </w:pPr>
      <w:r>
        <w:rPr>
          <w:rFonts w:hint="eastAsia" w:ascii="仿宋" w:hAnsi="仿宋" w:eastAsia="仿宋" w:cs="仿宋"/>
          <w:sz w:val="28"/>
          <w:szCs w:val="28"/>
        </w:rPr>
        <w:t>在采购结果通知书发出后5个工作日内，中标方应提交工程进度计划、供货计划、以及所有子系统安装、施工的土建条件和环境要求，由招标人核准，该计划必须满足工程深化设计、施工、安装的进度要求。</w:t>
      </w:r>
    </w:p>
    <w:p>
      <w:pPr>
        <w:widowControl/>
        <w:numPr>
          <w:ilvl w:val="0"/>
          <w:numId w:val="239"/>
        </w:numPr>
        <w:spacing w:line="560" w:lineRule="exact"/>
        <w:ind w:left="425" w:hanging="425"/>
        <w:rPr>
          <w:rFonts w:hint="eastAsia" w:ascii="仿宋" w:hAnsi="仿宋" w:eastAsia="仿宋" w:cs="仿宋"/>
          <w:sz w:val="28"/>
          <w:szCs w:val="28"/>
        </w:rPr>
      </w:pPr>
      <w:r>
        <w:rPr>
          <w:rFonts w:hint="eastAsia" w:ascii="仿宋" w:hAnsi="仿宋" w:eastAsia="仿宋" w:cs="仿宋"/>
          <w:sz w:val="28"/>
          <w:szCs w:val="28"/>
        </w:rPr>
        <w:t>所有深化图纸文件只有在招标人批准的情况下，才可用于工程施工，实施中如有必要修改，需经招标人批准。</w:t>
      </w:r>
    </w:p>
    <w:p>
      <w:pPr>
        <w:widowControl/>
        <w:numPr>
          <w:ilvl w:val="0"/>
          <w:numId w:val="239"/>
        </w:numPr>
        <w:spacing w:line="560" w:lineRule="exact"/>
        <w:ind w:left="425" w:hanging="425"/>
        <w:rPr>
          <w:rFonts w:hint="eastAsia" w:ascii="仿宋" w:hAnsi="仿宋" w:eastAsia="仿宋" w:cs="仿宋"/>
          <w:sz w:val="28"/>
          <w:szCs w:val="28"/>
        </w:rPr>
      </w:pPr>
      <w:r>
        <w:rPr>
          <w:rFonts w:hint="eastAsia" w:ascii="仿宋" w:hAnsi="仿宋" w:eastAsia="仿宋" w:cs="仿宋"/>
          <w:sz w:val="28"/>
          <w:szCs w:val="28"/>
        </w:rPr>
        <w:t>如果发生技术文件短缺、遗失或损坏，中标方应在收到招标人通知后一周内补齐这部分文件。由于中标方提交了不完整或不正确的图纸及数据引起的制造、安装或调试的延误和造成的损失，应由中标方负责。</w:t>
      </w:r>
    </w:p>
    <w:p>
      <w:pPr>
        <w:widowControl/>
        <w:numPr>
          <w:ilvl w:val="0"/>
          <w:numId w:val="239"/>
        </w:numPr>
        <w:spacing w:line="560" w:lineRule="exact"/>
        <w:ind w:left="425" w:hanging="425"/>
        <w:rPr>
          <w:rFonts w:hint="eastAsia" w:ascii="仿宋" w:hAnsi="仿宋" w:eastAsia="仿宋" w:cs="仿宋"/>
          <w:sz w:val="28"/>
          <w:szCs w:val="28"/>
        </w:rPr>
      </w:pPr>
      <w:r>
        <w:rPr>
          <w:rFonts w:hint="eastAsia" w:ascii="仿宋" w:hAnsi="仿宋" w:eastAsia="仿宋" w:cs="仿宋"/>
          <w:sz w:val="28"/>
          <w:szCs w:val="28"/>
        </w:rPr>
        <w:t>中标方应提供上述图纸文件(A1)一式4份、及电子件文档1套。</w:t>
      </w:r>
    </w:p>
    <w:p>
      <w:pPr>
        <w:widowControl/>
        <w:numPr>
          <w:ilvl w:val="0"/>
          <w:numId w:val="239"/>
        </w:numPr>
        <w:spacing w:line="560" w:lineRule="exact"/>
        <w:ind w:left="425" w:hanging="425"/>
        <w:rPr>
          <w:rFonts w:hint="eastAsia" w:ascii="仿宋" w:hAnsi="仿宋" w:eastAsia="仿宋" w:cs="仿宋"/>
          <w:sz w:val="28"/>
          <w:szCs w:val="28"/>
        </w:rPr>
      </w:pPr>
      <w:r>
        <w:rPr>
          <w:rFonts w:hint="eastAsia" w:ascii="仿宋" w:hAnsi="仿宋" w:eastAsia="仿宋" w:cs="仿宋"/>
          <w:sz w:val="28"/>
          <w:szCs w:val="28"/>
        </w:rPr>
        <w:t>中标方应对其提供的图纸和资料负责，由于图纸资料表示不清、不全面造成的损失，由中标方承担。</w:t>
      </w:r>
    </w:p>
    <w:bookmarkEnd w:id="943"/>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46" w:name="_Toc28921"/>
      <w:r>
        <w:rPr>
          <w:rFonts w:hint="eastAsia" w:ascii="楷体" w:hAnsi="楷体" w:eastAsia="仿宋" w:cs="Times New Roman"/>
          <w:b/>
          <w:kern w:val="2"/>
          <w:sz w:val="28"/>
          <w:lang w:val="en-US" w:eastAsia="zh-CN" w:bidi="ar-SA"/>
        </w:rPr>
        <w:t>图纸深度要求</w:t>
      </w:r>
      <w:bookmarkEnd w:id="946"/>
    </w:p>
    <w:p>
      <w:pPr>
        <w:widowControl/>
        <w:numPr>
          <w:ilvl w:val="0"/>
          <w:numId w:val="24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各系统除按照国标《建筑工程设计文件编制深度规定（2016年版）》中施工图要求外，考虑该项目的重要性还必须满足以下要求并提供文件：</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对机房的PUE值进行计算。</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提供机房的电气负荷及空调冷量计算书。</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对机房模块、室外机进行CFD分析。</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机房建设设计方案文件。</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需要提供包括机房系统各项目的图纸，如顶部保温、墙身、地面和各功能间剖立面图、所有相关细部节点工艺安装、强弱电、空调通风、消防等成套图纸，整体设计必须达到可直接见图施工的程度，设计深度要求必须满足施工的条件。</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提供安装细节的大样图包含设备基础图纸。</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机房内所有使用的材料均需注明厚度，如顶部保温、地板、墙身彩钢板、踢脚线、钢结构等。</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效果图：</w:t>
      </w:r>
    </w:p>
    <w:p>
      <w:pPr>
        <w:widowControl/>
        <w:numPr>
          <w:ilvl w:val="0"/>
          <w:numId w:val="241"/>
        </w:numPr>
        <w:spacing w:line="560" w:lineRule="exact"/>
        <w:ind w:left="425" w:hanging="425"/>
        <w:rPr>
          <w:rFonts w:hint="eastAsia" w:ascii="仿宋" w:hAnsi="仿宋" w:eastAsia="仿宋" w:cs="仿宋"/>
          <w:sz w:val="28"/>
          <w:szCs w:val="28"/>
        </w:rPr>
      </w:pPr>
      <w:r>
        <w:rPr>
          <w:rFonts w:hint="eastAsia" w:ascii="仿宋" w:hAnsi="仿宋" w:eastAsia="仿宋" w:cs="仿宋"/>
          <w:sz w:val="28"/>
          <w:szCs w:val="28"/>
        </w:rPr>
        <w:t>机房模块不同角度不少于2张。</w:t>
      </w:r>
    </w:p>
    <w:p>
      <w:pPr>
        <w:widowControl/>
        <w:numPr>
          <w:ilvl w:val="0"/>
          <w:numId w:val="241"/>
        </w:numPr>
        <w:spacing w:line="560" w:lineRule="exact"/>
        <w:ind w:left="425" w:hanging="425"/>
        <w:rPr>
          <w:rFonts w:hint="eastAsia" w:ascii="仿宋" w:hAnsi="仿宋" w:eastAsia="仿宋" w:cs="仿宋"/>
          <w:sz w:val="28"/>
          <w:szCs w:val="28"/>
        </w:rPr>
      </w:pPr>
      <w:r>
        <w:rPr>
          <w:rFonts w:hint="eastAsia" w:ascii="仿宋" w:hAnsi="仿宋" w:eastAsia="仿宋" w:cs="仿宋"/>
          <w:sz w:val="28"/>
          <w:szCs w:val="28"/>
        </w:rPr>
        <w:t>监控中心不少于1张。</w:t>
      </w:r>
    </w:p>
    <w:p>
      <w:pPr>
        <w:widowControl/>
        <w:numPr>
          <w:ilvl w:val="0"/>
          <w:numId w:val="241"/>
        </w:numPr>
        <w:spacing w:line="560" w:lineRule="exact"/>
        <w:ind w:left="425" w:hanging="425"/>
        <w:rPr>
          <w:rFonts w:hint="eastAsia" w:ascii="仿宋" w:hAnsi="仿宋" w:eastAsia="仿宋" w:cs="仿宋"/>
          <w:sz w:val="28"/>
          <w:szCs w:val="28"/>
        </w:rPr>
      </w:pPr>
      <w:r>
        <w:rPr>
          <w:rFonts w:hint="eastAsia" w:ascii="仿宋" w:hAnsi="仿宋" w:eastAsia="仿宋" w:cs="仿宋"/>
          <w:sz w:val="28"/>
          <w:szCs w:val="28"/>
        </w:rPr>
        <w:t>冷通道封闭不少于1张。</w:t>
      </w:r>
    </w:p>
    <w:p>
      <w:pPr>
        <w:widowControl/>
        <w:numPr>
          <w:ilvl w:val="0"/>
          <w:numId w:val="241"/>
        </w:numPr>
        <w:spacing w:line="560" w:lineRule="exact"/>
        <w:ind w:left="425" w:hanging="425"/>
        <w:rPr>
          <w:rFonts w:hint="eastAsia" w:ascii="仿宋" w:hAnsi="仿宋" w:eastAsia="仿宋" w:cs="仿宋"/>
          <w:sz w:val="28"/>
          <w:szCs w:val="28"/>
        </w:rPr>
      </w:pPr>
      <w:r>
        <w:rPr>
          <w:rFonts w:hint="eastAsia" w:ascii="仿宋" w:hAnsi="仿宋" w:eastAsia="仿宋" w:cs="仿宋"/>
          <w:sz w:val="28"/>
          <w:szCs w:val="28"/>
        </w:rPr>
        <w:t>走廊不少于1张。</w:t>
      </w:r>
    </w:p>
    <w:p>
      <w:pPr>
        <w:widowControl/>
        <w:numPr>
          <w:ilvl w:val="0"/>
          <w:numId w:val="241"/>
        </w:numPr>
        <w:spacing w:line="560" w:lineRule="exact"/>
        <w:ind w:left="425" w:hanging="425"/>
        <w:rPr>
          <w:rFonts w:hint="eastAsia" w:ascii="仿宋" w:hAnsi="仿宋" w:eastAsia="仿宋" w:cs="仿宋"/>
          <w:sz w:val="28"/>
          <w:szCs w:val="28"/>
        </w:rPr>
      </w:pPr>
      <w:r>
        <w:rPr>
          <w:rFonts w:hint="eastAsia" w:ascii="仿宋" w:hAnsi="仿宋" w:eastAsia="仿宋" w:cs="仿宋"/>
          <w:sz w:val="28"/>
          <w:szCs w:val="28"/>
        </w:rPr>
        <w:t>以上效果总数不少于5张。</w:t>
      </w:r>
    </w:p>
    <w:p>
      <w:pPr>
        <w:widowControl/>
        <w:numPr>
          <w:ilvl w:val="0"/>
          <w:numId w:val="24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所有效果图的输出建议采用A2或A3规格尺寸的装饰板材料。应挑选最佳的角度。透视图的场景必须符合现场的实际环境，而且不允许采用广角效果表现，必须表现真实的空间感。</w:t>
      </w:r>
    </w:p>
    <w:p>
      <w:pPr>
        <w:widowControl/>
        <w:numPr>
          <w:ilvl w:val="0"/>
          <w:numId w:val="24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其他认为需提供的相关文件。</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47" w:name="_Toc23487"/>
      <w:r>
        <w:rPr>
          <w:rFonts w:hint="eastAsia" w:ascii="楷体" w:hAnsi="楷体" w:eastAsia="仿宋" w:cs="Times New Roman"/>
          <w:b/>
          <w:kern w:val="2"/>
          <w:sz w:val="28"/>
          <w:lang w:val="en-US" w:eastAsia="zh-CN" w:bidi="ar-SA"/>
        </w:rPr>
        <w:t>重点需求备注</w:t>
      </w:r>
      <w:bookmarkEnd w:id="947"/>
    </w:p>
    <w:p>
      <w:pPr>
        <w:widowControl/>
        <w:numPr>
          <w:ilvl w:val="0"/>
          <w:numId w:val="24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各应标单位在应标前未明事宜及招标人需求临时变更，招标人将在应标前统一补充说明。在不影响总体建设思路的前提下，对于文档中没有具体明确或描述不尽合理的事项，投标方可以在投标中提出更好的建议，并且需要提供解决方案。</w:t>
      </w:r>
    </w:p>
    <w:p>
      <w:pPr>
        <w:widowControl/>
        <w:numPr>
          <w:ilvl w:val="0"/>
          <w:numId w:val="24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在室外平台施工如对防水及保护层造成破坏，应进行修复及完善，且需重新做闭水测试，所产生的全部费用由中标方负责。</w:t>
      </w:r>
    </w:p>
    <w:p>
      <w:pPr>
        <w:widowControl/>
        <w:numPr>
          <w:ilvl w:val="0"/>
          <w:numId w:val="24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相关弱电部分的材料及设备，必须满足招标人实际使用的需求，因此投标方应作全面性考虑。</w:t>
      </w:r>
    </w:p>
    <w:p>
      <w:pPr>
        <w:widowControl/>
        <w:numPr>
          <w:ilvl w:val="0"/>
          <w:numId w:val="24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所有相关系统需严格按照横平竖直、对缝对线进行设计及施工，如不满足，必须进行返工处理。</w:t>
      </w:r>
    </w:p>
    <w:p>
      <w:pPr>
        <w:widowControl/>
        <w:numPr>
          <w:ilvl w:val="0"/>
          <w:numId w:val="24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所使用的装修材料必须为A级防火物料及满足规范要求，如不满足，必须进行返工处理。</w:t>
      </w:r>
    </w:p>
    <w:p>
      <w:pPr>
        <w:widowControl/>
        <w:numPr>
          <w:ilvl w:val="0"/>
          <w:numId w:val="24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所有相关的防火封堵必须使用专用的防火物料，不能使用膨胀泡沫代替。</w:t>
      </w:r>
    </w:p>
    <w:p>
      <w:pPr>
        <w:widowControl/>
        <w:numPr>
          <w:ilvl w:val="0"/>
          <w:numId w:val="24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ECC设计的颜色配搭应具有IT及现代感的效果，且不能采用平板式设计，应具有3D层次感。</w:t>
      </w:r>
    </w:p>
    <w:p>
      <w:pPr>
        <w:widowControl/>
        <w:tabs>
          <w:tab w:val="left" w:pos="719"/>
        </w:tabs>
        <w:autoSpaceDE w:val="0"/>
        <w:autoSpaceDN w:val="0"/>
        <w:spacing w:before="190" w:beforeLines="50" w:after="190" w:afterLines="50" w:line="560" w:lineRule="exact"/>
        <w:ind w:firstLine="562" w:firstLineChars="200"/>
        <w:rPr>
          <w:rFonts w:hint="eastAsia" w:ascii="仿宋" w:hAnsi="仿宋" w:eastAsia="仿宋" w:cs="仿宋"/>
          <w:b/>
          <w:bCs/>
          <w:sz w:val="28"/>
          <w:szCs w:val="28"/>
        </w:rPr>
      </w:pPr>
    </w:p>
    <w:p>
      <w:pPr>
        <w:widowControl/>
        <w:tabs>
          <w:tab w:val="left" w:pos="719"/>
        </w:tabs>
        <w:autoSpaceDE w:val="0"/>
        <w:autoSpaceDN w:val="0"/>
        <w:spacing w:before="190" w:beforeLines="50" w:after="190" w:afterLines="50"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注：</w:t>
      </w:r>
    </w:p>
    <w:p>
      <w:pPr>
        <w:widowControl/>
        <w:numPr>
          <w:ilvl w:val="0"/>
          <w:numId w:val="24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中标后最终的深化图纸，需提供至招标人、顾问方审批并修改完成,且需达到招标人、顾问方对设计、日后施工的技术要求，同时出具蓝图盖章确认。</w:t>
      </w:r>
    </w:p>
    <w:p>
      <w:pPr>
        <w:widowControl/>
        <w:numPr>
          <w:ilvl w:val="0"/>
          <w:numId w:val="24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上述如存在未提及的内容，但结合本项目是实际需要的，均应包含在本次设计和施工一体化的范围内。</w:t>
      </w: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948" w:name="_Toc31500"/>
      <w:r>
        <w:rPr>
          <w:rFonts w:hint="eastAsia" w:ascii="仿宋" w:hAnsi="仿宋" w:eastAsia="仿宋" w:cs="仿宋"/>
          <w:b/>
          <w:bCs/>
          <w:kern w:val="2"/>
          <w:sz w:val="28"/>
          <w:szCs w:val="28"/>
          <w:lang w:val="en-US" w:eastAsia="zh-CN" w:bidi="ar-SA"/>
        </w:rPr>
        <w:t>施工阶段</w:t>
      </w:r>
      <w:bookmarkEnd w:id="948"/>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49" w:name="_Toc31611"/>
      <w:r>
        <w:rPr>
          <w:rFonts w:hint="eastAsia" w:ascii="楷体" w:hAnsi="楷体" w:eastAsia="仿宋" w:cs="Times New Roman"/>
          <w:b/>
          <w:kern w:val="2"/>
          <w:sz w:val="28"/>
          <w:lang w:val="en-US" w:eastAsia="zh-CN" w:bidi="ar-SA"/>
        </w:rPr>
        <w:t>施工规划与施工方案</w:t>
      </w:r>
      <w:bookmarkEnd w:id="949"/>
    </w:p>
    <w:p>
      <w:pPr>
        <w:widowControl/>
        <w:numPr>
          <w:ilvl w:val="0"/>
          <w:numId w:val="2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在合同生效后5个工作日内，向招标人及监理工程师提交一份适合于整个工程的施工规划，以及主要工序的施工方案，供招标人、顾问及监理工程师批准。该施工规划和施工方案不应对响应文件提交的施工规划和施工方案做实质性变动，而是对其的进一步细化。在施工过程中，招标人及监理工程师有权要求中标方，随时提交招标人和监理工程师认为有必要的关于施工规划和施工方案的任何说明文件。</w:t>
      </w:r>
    </w:p>
    <w:p>
      <w:pPr>
        <w:widowControl/>
        <w:numPr>
          <w:ilvl w:val="0"/>
          <w:numId w:val="2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中标方应按照经监理工程师批准的上述施工规划和施工方案进行施工。但在任何情况下，监理工程师对上述任何施工规划或施工方案的批准不应解除中标方对其应负的责任。</w:t>
      </w:r>
    </w:p>
    <w:p>
      <w:pPr>
        <w:widowControl/>
        <w:numPr>
          <w:ilvl w:val="0"/>
          <w:numId w:val="24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中标方应对整个现场的施工规划和施工方案的适用性、安全性负全面责任。</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50" w:name="_Toc10137"/>
      <w:r>
        <w:rPr>
          <w:rFonts w:hint="eastAsia" w:ascii="楷体" w:hAnsi="楷体" w:eastAsia="仿宋" w:cs="Times New Roman"/>
          <w:b/>
          <w:kern w:val="2"/>
          <w:sz w:val="28"/>
          <w:lang w:val="en-US" w:eastAsia="zh-CN" w:bidi="ar-SA"/>
        </w:rPr>
        <w:t>工程施工及安装</w:t>
      </w:r>
      <w:bookmarkEnd w:id="950"/>
    </w:p>
    <w:p>
      <w:pPr>
        <w:widowControl/>
        <w:numPr>
          <w:ilvl w:val="0"/>
          <w:numId w:val="24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工程施工及安装内容包括前述章节规定的“设计与施工范围”中规定的各项工作内容。</w:t>
      </w:r>
    </w:p>
    <w:p>
      <w:pPr>
        <w:widowControl/>
        <w:numPr>
          <w:ilvl w:val="0"/>
          <w:numId w:val="24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本工程中标方为全部工程的实施、完成以及修补其中的缺陷负责。</w:t>
      </w:r>
    </w:p>
    <w:p>
      <w:pPr>
        <w:widowControl/>
        <w:numPr>
          <w:ilvl w:val="0"/>
          <w:numId w:val="24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中标方应按招标人在投标结果通知书中提出的时间和要求进场并开工。</w:t>
      </w:r>
    </w:p>
    <w:p>
      <w:pPr>
        <w:widowControl/>
        <w:numPr>
          <w:ilvl w:val="0"/>
          <w:numId w:val="24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中标方必须定期参加现场会议，积极配合招标人工作，以解决安装、调试、试运行中的所有问题。</w:t>
      </w:r>
    </w:p>
    <w:p>
      <w:pPr>
        <w:widowControl/>
        <w:numPr>
          <w:ilvl w:val="0"/>
          <w:numId w:val="24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为了保证在进场后能尽快实施工程，中标方应在进场前做好必要和适当的准备工作，这些准备工作应视为中标方为了完成合同而进行工作的一部分。</w:t>
      </w:r>
    </w:p>
    <w:p>
      <w:pPr>
        <w:widowControl/>
        <w:numPr>
          <w:ilvl w:val="0"/>
          <w:numId w:val="24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应当设置合理可行的现场组织机构，并为此安排具有足够经验、认真负责和精干称职的管理和技术人员。除非事先得到招标人和监理工程师的书面批准，中标方不得更换或撤回主要管理和技术人员。招标人和监理工程师可要求中标方撤换其在现场被认为有下列行为的任何人员：</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在履行其职责时不能胜任或玩忽职守；</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不遵守合同的约定；</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经常出现有损健康与安全或有损环境保护的行为；</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严重违反招标人的有关规定和条例。</w:t>
      </w:r>
      <w:r>
        <w:rPr>
          <w:rFonts w:hint="eastAsia" w:ascii="Calibri" w:hAnsi="Calibri" w:eastAsia="仿宋" w:cs="Times New Roman"/>
          <w:sz w:val="28"/>
          <w:szCs w:val="22"/>
        </w:rPr>
        <w:tab/>
      </w:r>
    </w:p>
    <w:p>
      <w:pPr>
        <w:widowControl/>
        <w:spacing w:line="560" w:lineRule="exact"/>
        <w:ind w:left="4" w:leftChars="2" w:firstLine="560" w:firstLineChars="200"/>
        <w:rPr>
          <w:rFonts w:hint="eastAsia" w:ascii="仿宋" w:hAnsi="仿宋" w:eastAsia="仿宋" w:cs="仿宋"/>
          <w:sz w:val="28"/>
          <w:szCs w:val="28"/>
        </w:rPr>
      </w:pPr>
      <w:r>
        <w:rPr>
          <w:rFonts w:hint="eastAsia" w:ascii="仿宋" w:hAnsi="仿宋" w:eastAsia="仿宋" w:cs="仿宋"/>
          <w:sz w:val="28"/>
          <w:szCs w:val="28"/>
        </w:rPr>
        <w:t>如出现上述情况，中标方应在招标人和监理工程师提出此类要求后三天内选派合适的替代人员，同时中标方不得以此为理由提出任何工作的顺延或索赔，且应保证工程正常如期进行。</w:t>
      </w:r>
    </w:p>
    <w:p>
      <w:pPr>
        <w:widowControl/>
        <w:numPr>
          <w:ilvl w:val="0"/>
          <w:numId w:val="24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如中标方擅自调配资格能力不符合招标人要求的施工队伍或施工人员进驻现场，将遭到拒绝，由此引起的一切后果和费用均由中标方承担。</w:t>
      </w:r>
    </w:p>
    <w:p>
      <w:pPr>
        <w:widowControl/>
        <w:numPr>
          <w:ilvl w:val="0"/>
          <w:numId w:val="24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中标方为本工程雇佣特殊工种的工人和操作人员应受过专门的培训，并已取得政府和有关管理机构规定的上岗证书。</w:t>
      </w:r>
    </w:p>
    <w:p>
      <w:pPr>
        <w:widowControl/>
        <w:numPr>
          <w:ilvl w:val="0"/>
          <w:numId w:val="24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无论何时，如监理工程师认为工程的实际进度与已经批准的进度计划不符，中标方应</w:t>
      </w:r>
      <w:bookmarkStart w:id="951" w:name="_Toc115229853"/>
      <w:bookmarkStart w:id="952" w:name="_Toc23597"/>
      <w:bookmarkStart w:id="953" w:name="_Toc348944837"/>
      <w:bookmarkStart w:id="954" w:name="_Toc354155891"/>
      <w:r>
        <w:rPr>
          <w:rFonts w:hint="eastAsia" w:ascii="仿宋" w:hAnsi="仿宋" w:eastAsia="仿宋" w:cs="Times New Roman"/>
          <w:sz w:val="28"/>
          <w:szCs w:val="28"/>
          <w:lang w:val="zh-CN"/>
        </w:rPr>
        <w:t>根据监理工程师的</w:t>
      </w:r>
      <w:bookmarkEnd w:id="951"/>
      <w:bookmarkEnd w:id="952"/>
      <w:bookmarkEnd w:id="953"/>
      <w:bookmarkEnd w:id="954"/>
      <w:r>
        <w:rPr>
          <w:rFonts w:hint="eastAsia" w:ascii="仿宋" w:hAnsi="仿宋" w:eastAsia="仿宋" w:cs="Times New Roman"/>
          <w:sz w:val="28"/>
          <w:szCs w:val="28"/>
          <w:lang w:val="zh-CN"/>
        </w:rPr>
        <w:t>要求提出一份经过修订的进度计划。</w:t>
      </w:r>
    </w:p>
    <w:p>
      <w:pPr>
        <w:widowControl/>
        <w:numPr>
          <w:ilvl w:val="0"/>
          <w:numId w:val="24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中标方应采取任何必要和适当的措施来保证工程按照批准的进度计划或按照经过修订的进度计划进行，任何与此类措施有关的费用应自行承担。</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55" w:name="_Toc433"/>
      <w:r>
        <w:rPr>
          <w:rFonts w:hint="eastAsia" w:ascii="楷体" w:hAnsi="楷体" w:eastAsia="仿宋" w:cs="Times New Roman"/>
          <w:b/>
          <w:kern w:val="2"/>
          <w:sz w:val="28"/>
          <w:lang w:val="en-US" w:eastAsia="zh-CN" w:bidi="ar-SA"/>
        </w:rPr>
        <w:t>变更</w:t>
      </w:r>
      <w:bookmarkEnd w:id="955"/>
    </w:p>
    <w:p>
      <w:pPr>
        <w:widowControl/>
        <w:numPr>
          <w:ilvl w:val="0"/>
          <w:numId w:val="24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所执行的合同是“闭口”合同，对投标文件、投标结果通知书等所有投标来往文件实行“闭口包死”，对上述文件中所有为本项目合理正常工作，以及满足规范要求所需的设备材料都是中标方的供货安装内容。</w:t>
      </w:r>
    </w:p>
    <w:p>
      <w:pPr>
        <w:widowControl/>
        <w:numPr>
          <w:ilvl w:val="0"/>
          <w:numId w:val="24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中标方由于未看清楚招标人需求而多报出主要设备及材料，但未在提交的深化设计图之中使用，招标人将扣除此部分设备及材料的费用。</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56" w:name="_Toc25602"/>
      <w:r>
        <w:rPr>
          <w:rFonts w:hint="eastAsia" w:ascii="楷体" w:hAnsi="楷体" w:eastAsia="仿宋" w:cs="Times New Roman"/>
          <w:b/>
          <w:kern w:val="2"/>
          <w:sz w:val="28"/>
          <w:lang w:val="en-US" w:eastAsia="zh-CN" w:bidi="ar-SA"/>
        </w:rPr>
        <w:t>现场成品保护</w:t>
      </w:r>
      <w:bookmarkEnd w:id="956"/>
    </w:p>
    <w:p>
      <w:pPr>
        <w:widowControl/>
        <w:numPr>
          <w:ilvl w:val="0"/>
          <w:numId w:val="24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在工程施工期间，中标方应保持现场整洁，按规定存放所有关设备及材料。</w:t>
      </w:r>
    </w:p>
    <w:p>
      <w:pPr>
        <w:widowControl/>
        <w:numPr>
          <w:ilvl w:val="0"/>
          <w:numId w:val="24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在工程结束正式移交给招标人之前，中标方应从其所涉及的施工现场清除并运出自己的全部施工设备、多余材料、垃圾和各种临时工程。</w:t>
      </w:r>
    </w:p>
    <w:p>
      <w:pPr>
        <w:widowControl/>
        <w:numPr>
          <w:ilvl w:val="0"/>
          <w:numId w:val="24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除非合同中另有约定，从工程开工日期起直到</w:t>
      </w:r>
      <w:bookmarkStart w:id="957" w:name="_Toc115229854"/>
      <w:r>
        <w:rPr>
          <w:rFonts w:hint="eastAsia" w:ascii="仿宋" w:hAnsi="仿宋" w:eastAsia="仿宋" w:cs="Times New Roman"/>
          <w:sz w:val="28"/>
          <w:szCs w:val="28"/>
          <w:lang w:val="zh-CN"/>
        </w:rPr>
        <w:t>颁发整个工程的竣工移交证书日期止，中标方</w:t>
      </w:r>
      <w:bookmarkStart w:id="958" w:name="_Toc16210"/>
      <w:bookmarkStart w:id="959" w:name="_Toc348944838"/>
      <w:bookmarkStart w:id="960" w:name="_Toc354155892"/>
      <w:r>
        <w:rPr>
          <w:rFonts w:hint="eastAsia" w:ascii="仿宋" w:hAnsi="仿宋" w:eastAsia="仿宋" w:cs="Times New Roman"/>
          <w:sz w:val="28"/>
          <w:szCs w:val="28"/>
          <w:lang w:val="zh-CN"/>
        </w:rPr>
        <w:t>应对整个工程、</w:t>
      </w:r>
      <w:bookmarkEnd w:id="957"/>
      <w:bookmarkEnd w:id="958"/>
      <w:bookmarkEnd w:id="959"/>
      <w:bookmarkEnd w:id="960"/>
      <w:r>
        <w:rPr>
          <w:rFonts w:hint="eastAsia" w:ascii="仿宋" w:hAnsi="仿宋" w:eastAsia="仿宋" w:cs="Times New Roman"/>
          <w:sz w:val="28"/>
          <w:szCs w:val="28"/>
          <w:lang w:val="zh-CN"/>
        </w:rPr>
        <w:t>施工过程的中间成果、工程材料、待安装的工程设备、施工成品等的保护负完全责任。这种保护的责任应随招标人使用之日或竣工移交证书一起移交给招标人。</w:t>
      </w:r>
    </w:p>
    <w:p>
      <w:pPr>
        <w:widowControl/>
        <w:numPr>
          <w:ilvl w:val="0"/>
          <w:numId w:val="24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在中标方施工期间，如果中标方所负责工程、施工过程的中间结果、工程材料、设备出现任何损失或损坏，除非合同中另有约定，不论出于其他任何原因，中标方必须弥补此类损失或损坏。</w:t>
      </w:r>
    </w:p>
    <w:p>
      <w:pPr>
        <w:widowControl/>
        <w:numPr>
          <w:ilvl w:val="0"/>
          <w:numId w:val="24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在中标方施工期间，除非经监理工程师同意，中标方不得对其责任以外的工程施工，施工过程的中间成果、工程材料和设备造成损坏。中标方应对其在进行施工过程中造成的对工程的任何损失或损坏承担责任。</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61" w:name="_Toc1905"/>
      <w:r>
        <w:rPr>
          <w:rFonts w:hint="eastAsia" w:ascii="楷体" w:hAnsi="楷体" w:eastAsia="仿宋" w:cs="Times New Roman"/>
          <w:b/>
          <w:kern w:val="2"/>
          <w:sz w:val="28"/>
          <w:lang w:val="en-US" w:eastAsia="zh-CN" w:bidi="ar-SA"/>
        </w:rPr>
        <w:t>测试与调试</w:t>
      </w:r>
      <w:bookmarkEnd w:id="961"/>
    </w:p>
    <w:p>
      <w:pPr>
        <w:widowControl/>
        <w:numPr>
          <w:ilvl w:val="0"/>
          <w:numId w:val="24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安装结束后，中标方负责对系统进行全面的检查与测试，并在测试表中作记录，及完成系统的局部和整体的调试工作。</w:t>
      </w:r>
    </w:p>
    <w:p>
      <w:pPr>
        <w:widowControl/>
        <w:numPr>
          <w:ilvl w:val="0"/>
          <w:numId w:val="24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中标方必须负责整个系统的测试工作，所有测试工作都必须由经过产品制造商认证的工程师参与进行，测试时应采用符合相应精度要求的仪表，测试工作所需的仪器仪表、工具、材料均由中标方负责。</w:t>
      </w:r>
    </w:p>
    <w:p>
      <w:pPr>
        <w:widowControl/>
        <w:numPr>
          <w:ilvl w:val="0"/>
          <w:numId w:val="24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中标方必须在系统测试工作开始前10个工作日，提交测试工作计划和方案，详细说明测试工作内容、测试方法、测试仪器和仪表，由招标人和监理工程师审核批准。</w:t>
      </w:r>
    </w:p>
    <w:p>
      <w:pPr>
        <w:widowControl/>
        <w:numPr>
          <w:ilvl w:val="0"/>
          <w:numId w:val="24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中标方必须依照批准的测试工作计</w:t>
      </w:r>
      <w:bookmarkStart w:id="962" w:name="_Toc7714"/>
      <w:bookmarkStart w:id="963" w:name="_Toc348944839"/>
      <w:bookmarkStart w:id="964" w:name="_Toc354155893"/>
      <w:r>
        <w:rPr>
          <w:rFonts w:hint="eastAsia" w:ascii="仿宋" w:hAnsi="仿宋" w:eastAsia="仿宋" w:cs="Times New Roman"/>
          <w:sz w:val="28"/>
          <w:szCs w:val="28"/>
          <w:lang w:val="zh-CN"/>
        </w:rPr>
        <w:t>划和方案、</w:t>
      </w:r>
      <w:bookmarkEnd w:id="962"/>
      <w:bookmarkEnd w:id="963"/>
      <w:bookmarkEnd w:id="964"/>
      <w:r>
        <w:rPr>
          <w:rFonts w:hint="eastAsia" w:ascii="仿宋" w:hAnsi="仿宋" w:eastAsia="仿宋" w:cs="Times New Roman"/>
          <w:sz w:val="28"/>
          <w:szCs w:val="28"/>
          <w:lang w:val="zh-CN"/>
        </w:rPr>
        <w:t>相关标准及规范对系统中所有设备进行测试。所有的测试工作必须在合同约定的时间内完成。</w:t>
      </w:r>
    </w:p>
    <w:p>
      <w:pPr>
        <w:widowControl/>
        <w:numPr>
          <w:ilvl w:val="0"/>
          <w:numId w:val="24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中标方承担所有测试的记录工作，并分别以书面和电子文件的形式向招标人提交4份测试报告。提交的测试报告必须签署并盖章。</w:t>
      </w:r>
    </w:p>
    <w:p>
      <w:pPr>
        <w:widowControl/>
        <w:numPr>
          <w:ilvl w:val="0"/>
          <w:numId w:val="24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中标方必须修复在测试中发现的故障和缺陷，并承担修复故障和缺陷所发生的费用。招标人有权追究中标方由于修复故障和缺陷造成工期延误而产生的损失。</w:t>
      </w:r>
    </w:p>
    <w:p>
      <w:pPr>
        <w:widowControl/>
        <w:numPr>
          <w:ilvl w:val="0"/>
          <w:numId w:val="24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测试完成后，招标人有权邀请第三方对系统进行测试复查，如果发现抽样复查结果与中标方提供的测试报告有不一致，招标人和监理工程师有权对中标方提供的测试报告质疑，并要求中标方重新进行全面测试和整改，由此造成的费用和工期延误损失由中标方负责。</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65" w:name="_Toc10600"/>
      <w:r>
        <w:rPr>
          <w:rFonts w:hint="eastAsia" w:ascii="楷体" w:hAnsi="楷体" w:eastAsia="仿宋" w:cs="Times New Roman"/>
          <w:b/>
          <w:kern w:val="2"/>
          <w:sz w:val="28"/>
          <w:lang w:val="en-US" w:eastAsia="zh-CN" w:bidi="ar-SA"/>
        </w:rPr>
        <w:t>试</w:t>
      </w:r>
      <w:bookmarkStart w:id="966" w:name="_Toc115229856"/>
      <w:bookmarkStart w:id="967" w:name="_Toc28840"/>
      <w:bookmarkStart w:id="968" w:name="_Toc348944840"/>
      <w:bookmarkStart w:id="969" w:name="_Toc354155894"/>
      <w:r>
        <w:rPr>
          <w:rFonts w:hint="eastAsia" w:ascii="楷体" w:hAnsi="楷体" w:eastAsia="仿宋" w:cs="Times New Roman"/>
          <w:b/>
          <w:kern w:val="2"/>
          <w:sz w:val="28"/>
          <w:lang w:val="en-US" w:eastAsia="zh-CN" w:bidi="ar-SA"/>
        </w:rPr>
        <w:t>运行</w:t>
      </w:r>
      <w:bookmarkEnd w:id="965"/>
    </w:p>
    <w:bookmarkEnd w:id="966"/>
    <w:bookmarkEnd w:id="967"/>
    <w:bookmarkEnd w:id="968"/>
    <w:bookmarkEnd w:id="969"/>
    <w:p>
      <w:pPr>
        <w:widowControl/>
        <w:numPr>
          <w:ilvl w:val="0"/>
          <w:numId w:val="24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中标方负责系统试运行的全过程；</w:t>
      </w:r>
    </w:p>
    <w:p>
      <w:pPr>
        <w:widowControl/>
        <w:numPr>
          <w:ilvl w:val="0"/>
          <w:numId w:val="24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试运行是考核整个系统的工程质量和可靠性的重要步骤，试运行期为3个月；</w:t>
      </w:r>
    </w:p>
    <w:p>
      <w:pPr>
        <w:widowControl/>
        <w:numPr>
          <w:ilvl w:val="0"/>
          <w:numId w:val="24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在试运行前，中标方需要提交操作和维护手册各四套，使招标人及有关人员能事前熟悉所安装的设备和系统。</w:t>
      </w:r>
    </w:p>
    <w:p>
      <w:pPr>
        <w:widowControl/>
        <w:numPr>
          <w:ilvl w:val="0"/>
          <w:numId w:val="24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系统开通和试运行期间，中标方有责任配合与系统相关的其它设备的调试和测试工作，并不得以此为由要求增加费用。</w:t>
      </w:r>
    </w:p>
    <w:p>
      <w:pPr>
        <w:widowControl/>
        <w:numPr>
          <w:ilvl w:val="0"/>
          <w:numId w:val="24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在进行系统有关的机电系统调试和测试工作时，如与其它承包人发生争议，中标方必须服从招标人和监理工程师的裁决，无条件执行由招标人和监理工程师对此发出的指令。</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70" w:name="_Toc7273"/>
      <w:r>
        <w:rPr>
          <w:rFonts w:hint="eastAsia" w:ascii="楷体" w:hAnsi="楷体" w:eastAsia="仿宋" w:cs="Times New Roman"/>
          <w:b/>
          <w:kern w:val="2"/>
          <w:sz w:val="28"/>
          <w:lang w:val="en-US" w:eastAsia="zh-CN" w:bidi="ar-SA"/>
        </w:rPr>
        <w:t>工程质量保证</w:t>
      </w:r>
      <w:bookmarkEnd w:id="970"/>
    </w:p>
    <w:p>
      <w:pPr>
        <w:widowControl/>
        <w:numPr>
          <w:ilvl w:val="0"/>
          <w:numId w:val="25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本工程质量标准必须符合中华人民共和国的国家标准。若合同中约定的任何工程质量标准高于国家标准，则按合同中约定的标准执行。</w:t>
      </w:r>
    </w:p>
    <w:p>
      <w:pPr>
        <w:widowControl/>
        <w:numPr>
          <w:ilvl w:val="0"/>
          <w:numId w:val="25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中标方应为工程的实施、竣工和修补缺陷建立适当和可行的质量保证体系，并保证工程的实施、竣工和修补缺陷的全部过程符合该质量体系的要求。</w:t>
      </w:r>
    </w:p>
    <w:p>
      <w:pPr>
        <w:widowControl/>
        <w:numPr>
          <w:ilvl w:val="0"/>
          <w:numId w:val="25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中标方应按照质量保证体系的要求提供、填写、整理并保存任何必要的过程记录。这些过程记录应随时可供招标人、监理工程师或有关主管部门查阅。</w:t>
      </w:r>
    </w:p>
    <w:p>
      <w:pPr>
        <w:widowControl/>
        <w:numPr>
          <w:ilvl w:val="0"/>
          <w:numId w:val="25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对于按合同约定必须进行检查和检验的施工工序及其工艺，中标方应同监理工程师商定对其检查和检验的时间。中标方应提前24小时通知监理工程师准备参加此类检查和检验。由监理工程师对检查和检验结果进行确认。</w:t>
      </w:r>
    </w:p>
    <w:p>
      <w:pPr>
        <w:widowControl/>
        <w:numPr>
          <w:ilvl w:val="0"/>
          <w:numId w:val="25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任何隐蔽工程或中间验收部位在被覆盖、包装或隐蔽之前，必须经过检验并得到监理工程师的批准。检验过程中由中标方填写并准备检验记录。如检验结果表明其施工符合合同约定的标准与规范，监理工程师在验收记录上签字，中标方可进行包装、覆盖、隐蔽和继续施工。</w:t>
      </w:r>
    </w:p>
    <w:p>
      <w:pPr>
        <w:widowControl/>
        <w:numPr>
          <w:ilvl w:val="0"/>
          <w:numId w:val="25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如果上述任何检验表明被检验的材料、设备、工艺质量或工程不符合合同约定的标准与规范，则监理工程师有权指示中标方：</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在指示规定的时间内一次或分几次将监理工程师认为不符合合同约定的任何材料或工程设备运出现场，用符合合同约定的合格材料或工程设备取代；</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中标方必须在指定的时间内，完成监理工程师的指示，并不得以此为由要求</w:t>
      </w:r>
      <w:bookmarkStart w:id="971" w:name="_Toc115229857"/>
      <w:bookmarkStart w:id="972" w:name="_Toc21798"/>
      <w:bookmarkStart w:id="973" w:name="_Toc348944841"/>
      <w:bookmarkStart w:id="974" w:name="_Toc354155895"/>
      <w:r>
        <w:rPr>
          <w:rFonts w:hint="eastAsia" w:ascii="Calibri" w:hAnsi="Calibri" w:eastAsia="仿宋" w:cs="Times New Roman"/>
          <w:sz w:val="28"/>
          <w:szCs w:val="22"/>
        </w:rPr>
        <w:t>招标人增加费用。</w:t>
      </w:r>
    </w:p>
    <w:bookmarkEnd w:id="971"/>
    <w:bookmarkEnd w:id="972"/>
    <w:bookmarkEnd w:id="973"/>
    <w:bookmarkEnd w:id="974"/>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所有在合同中明确要求必须进行检验的材料和设备在经过检验并获得监理工程师批准以前，不得直接用于工程。</w:t>
      </w:r>
    </w:p>
    <w:p>
      <w:pPr>
        <w:widowControl/>
        <w:numPr>
          <w:ilvl w:val="0"/>
          <w:numId w:val="25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对于合同中约定的所有需要报送样品的材料或设备，中标方应在用于工程之前至少5个工作日，向监理工程师提交样品，并提交必要的说明书、证书、出厂报告、性能介绍、使用说明等相关资料，以供检验。</w:t>
      </w:r>
    </w:p>
    <w:p>
      <w:pPr>
        <w:widowControl/>
        <w:numPr>
          <w:ilvl w:val="0"/>
          <w:numId w:val="25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如果检查、检测、检验或试验的结果表明，任何送检的设备、材料有缺陷或不符合合同的约定，监理工程师可拒收此类设备、材料，并应立即通知中标方，同时说明理由。中标方应立即修复上述缺陷并保证其符合合同约定，并再次送交监理工程师检验。</w:t>
      </w:r>
    </w:p>
    <w:p>
      <w:pPr>
        <w:widowControl/>
        <w:numPr>
          <w:ilvl w:val="0"/>
          <w:numId w:val="25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对监理工程师拒收和再度检验所产生的费用，由中标方承担。</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75" w:name="_Toc32679"/>
      <w:r>
        <w:rPr>
          <w:rFonts w:hint="eastAsia" w:ascii="楷体" w:hAnsi="楷体" w:eastAsia="仿宋" w:cs="Times New Roman"/>
          <w:b/>
          <w:kern w:val="2"/>
          <w:sz w:val="28"/>
          <w:lang w:val="en-US" w:eastAsia="zh-CN" w:bidi="ar-SA"/>
        </w:rPr>
        <w:t>工程竣工验收</w:t>
      </w:r>
      <w:bookmarkEnd w:id="975"/>
    </w:p>
    <w:p>
      <w:pPr>
        <w:widowControl/>
        <w:numPr>
          <w:ilvl w:val="0"/>
          <w:numId w:val="25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工程竣工验收的条件</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中标方已完成按合同约定的工程施工安装、设备测试及系统调试工作；</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性能测试和试运行验收时出现的问题已被解决至招标人满意；</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试运行期间，系统性能满足合同要求；</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中标方已提供了合同约定的全部货物；</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中标方竣工资料齐备完整；</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中标方符合政府或有关管理机构规定的其他任何竣工条件。</w:t>
      </w:r>
    </w:p>
    <w:p>
      <w:pPr>
        <w:widowControl/>
        <w:numPr>
          <w:ilvl w:val="0"/>
          <w:numId w:val="25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如果中标方认为工程已达到约定的竣工验收条件，中标方应通知监理工程师和招标人，各方应根据合同约定进行竣工验收。除非合同中另有约定，中标方应至少提前一周将某一确定的日期通知监理工程师，说明在该日期的工程将具备竣工验收的条件，同时为招标人提供一份副本，该日期称为“竣工报验申请日期”。</w:t>
      </w:r>
    </w:p>
    <w:p>
      <w:pPr>
        <w:widowControl/>
        <w:numPr>
          <w:ilvl w:val="0"/>
          <w:numId w:val="25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中标方在施工过程中应负责全部设备的保护和清洁工作直至项目验收合格。若因中标方对设施、设备</w:t>
      </w:r>
      <w:bookmarkStart w:id="976" w:name="_Toc115229859"/>
      <w:bookmarkStart w:id="977" w:name="_Toc22701"/>
      <w:bookmarkStart w:id="978" w:name="_Toc348944842"/>
      <w:bookmarkStart w:id="979" w:name="_Toc354155896"/>
      <w:r>
        <w:rPr>
          <w:rFonts w:hint="eastAsia" w:ascii="仿宋" w:hAnsi="仿宋" w:eastAsia="仿宋" w:cs="Times New Roman"/>
          <w:sz w:val="28"/>
          <w:szCs w:val="28"/>
          <w:lang w:val="zh-CN"/>
        </w:rPr>
        <w:t>的保护措施不当等原因造成</w:t>
      </w:r>
      <w:bookmarkEnd w:id="976"/>
      <w:bookmarkEnd w:id="977"/>
      <w:bookmarkEnd w:id="978"/>
      <w:bookmarkEnd w:id="979"/>
      <w:r>
        <w:rPr>
          <w:rFonts w:hint="eastAsia" w:ascii="仿宋" w:hAnsi="仿宋" w:eastAsia="仿宋" w:cs="Times New Roman"/>
          <w:sz w:val="28"/>
          <w:szCs w:val="28"/>
          <w:lang w:val="zh-CN"/>
        </w:rPr>
        <w:t>设备、设施的受污、受损，须由中标方负责清洁或给予无偿更换。</w:t>
      </w:r>
    </w:p>
    <w:p>
      <w:pPr>
        <w:widowControl/>
        <w:numPr>
          <w:ilvl w:val="0"/>
          <w:numId w:val="25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如工程或某部分工程未能通过竣工验收，则中标方应根据验收结果对工程或某部分工程进行整改或修复。整改修复完毕之后，应重新验收。</w:t>
      </w:r>
    </w:p>
    <w:p>
      <w:pPr>
        <w:widowControl/>
        <w:numPr>
          <w:ilvl w:val="0"/>
          <w:numId w:val="25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有义务协助招标人向政府及有关管理机构办理必要的竣工批准和登记手续。如政府及有关管理机构要求对工程进行进一步核验，则中标方应给予配合，对于在这种核验过程中发现的任何缺陷，中标方有义务进行整改和修复并承担相应的费用。</w:t>
      </w:r>
    </w:p>
    <w:p>
      <w:pPr>
        <w:widowControl/>
        <w:numPr>
          <w:ilvl w:val="0"/>
          <w:numId w:val="25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当工程获得了竣工证书，中标方向招标人提交工程移交申请。招标人在接到中标方提交的工程移交申请后一周内，办理工程移交手续，向中标方颁发工程竣工移交证书。</w:t>
      </w:r>
    </w:p>
    <w:p>
      <w:pPr>
        <w:widowControl w:val="0"/>
        <w:numPr>
          <w:ilvl w:val="1"/>
          <w:numId w:val="2"/>
        </w:numPr>
        <w:spacing w:line="560" w:lineRule="exact"/>
        <w:jc w:val="left"/>
        <w:textAlignment w:val="baseline"/>
        <w:outlineLvl w:val="1"/>
        <w:rPr>
          <w:rFonts w:hint="eastAsia" w:ascii="仿宋" w:hAnsi="仿宋" w:eastAsia="仿宋" w:cs="仿宋"/>
          <w:b/>
          <w:bCs/>
          <w:color w:val="000000"/>
          <w:kern w:val="2"/>
          <w:sz w:val="28"/>
          <w:szCs w:val="28"/>
          <w:lang w:val="en-US" w:eastAsia="zh-CN" w:bidi="ar-SA"/>
        </w:rPr>
      </w:pPr>
      <w:bookmarkStart w:id="980" w:name="_Toc3163"/>
      <w:r>
        <w:rPr>
          <w:rFonts w:hint="eastAsia" w:ascii="仿宋" w:hAnsi="仿宋" w:eastAsia="仿宋" w:cs="仿宋"/>
          <w:b/>
          <w:bCs/>
          <w:color w:val="000000"/>
          <w:kern w:val="2"/>
          <w:sz w:val="28"/>
          <w:szCs w:val="28"/>
          <w:lang w:val="en-US" w:eastAsia="zh-CN" w:bidi="ar-SA"/>
        </w:rPr>
        <w:t>其它技术文档</w:t>
      </w:r>
      <w:bookmarkEnd w:id="980"/>
    </w:p>
    <w:p>
      <w:pPr>
        <w:widowControl/>
        <w:numPr>
          <w:ilvl w:val="0"/>
          <w:numId w:val="252"/>
        </w:numPr>
        <w:spacing w:line="560" w:lineRule="exact"/>
        <w:ind w:left="0" w:firstLine="0"/>
        <w:rPr>
          <w:rFonts w:hint="eastAsia" w:ascii="仿宋" w:hAnsi="仿宋" w:eastAsia="仿宋" w:cs="Times New Roman"/>
          <w:color w:val="000000"/>
          <w:sz w:val="28"/>
          <w:szCs w:val="28"/>
          <w:lang w:val="zh-CN"/>
        </w:rPr>
      </w:pPr>
      <w:r>
        <w:rPr>
          <w:rFonts w:hint="eastAsia" w:ascii="仿宋" w:hAnsi="仿宋" w:eastAsia="仿宋" w:cs="Times New Roman"/>
          <w:color w:val="000000"/>
          <w:sz w:val="28"/>
          <w:szCs w:val="28"/>
          <w:lang w:val="zh-CN"/>
        </w:rPr>
        <w:t>拟定的本项目组织机构及主要设计人员、施工管理人员一览表。</w:t>
      </w:r>
    </w:p>
    <w:p>
      <w:pPr>
        <w:widowControl/>
        <w:numPr>
          <w:ilvl w:val="0"/>
          <w:numId w:val="252"/>
        </w:numPr>
        <w:spacing w:line="560" w:lineRule="exact"/>
        <w:ind w:left="0" w:firstLine="0"/>
        <w:rPr>
          <w:rFonts w:hint="eastAsia" w:ascii="仿宋" w:hAnsi="仿宋" w:eastAsia="仿宋" w:cs="Times New Roman"/>
          <w:color w:val="000000"/>
          <w:sz w:val="28"/>
          <w:szCs w:val="28"/>
          <w:lang w:val="zh-CN"/>
        </w:rPr>
      </w:pPr>
      <w:r>
        <w:rPr>
          <w:rFonts w:hint="eastAsia" w:ascii="仿宋" w:hAnsi="仿宋" w:eastAsia="仿宋" w:cs="Times New Roman"/>
          <w:color w:val="000000"/>
          <w:sz w:val="28"/>
          <w:szCs w:val="28"/>
          <w:lang w:val="zh-CN"/>
        </w:rPr>
        <w:t>拟投入本工程的主要施工机械设备清单（含技术参数一览表）。</w:t>
      </w:r>
    </w:p>
    <w:p>
      <w:pPr>
        <w:widowControl/>
        <w:numPr>
          <w:ilvl w:val="0"/>
          <w:numId w:val="252"/>
        </w:numPr>
        <w:spacing w:line="560" w:lineRule="exact"/>
        <w:ind w:left="0" w:firstLine="0"/>
        <w:rPr>
          <w:rFonts w:hint="eastAsia" w:ascii="仿宋" w:hAnsi="仿宋" w:eastAsia="仿宋" w:cs="Times New Roman"/>
          <w:color w:val="000000"/>
          <w:sz w:val="28"/>
          <w:szCs w:val="28"/>
          <w:lang w:val="zh-CN"/>
        </w:rPr>
      </w:pPr>
      <w:r>
        <w:rPr>
          <w:rFonts w:hint="eastAsia" w:ascii="仿宋" w:hAnsi="仿宋" w:eastAsia="仿宋" w:cs="Times New Roman"/>
          <w:color w:val="000000"/>
          <w:sz w:val="28"/>
          <w:szCs w:val="28"/>
          <w:lang w:val="zh-CN"/>
        </w:rPr>
        <w:t>符合本工程工期要求的设计及施工组织方案 （注意：投标方的设计施工组织方案必须按以下要求，针对本项目特点编制）：</w:t>
      </w:r>
    </w:p>
    <w:p>
      <w:pPr>
        <w:widowControl/>
        <w:numPr>
          <w:ilvl w:val="0"/>
          <w:numId w:val="4"/>
        </w:numPr>
        <w:spacing w:line="560" w:lineRule="exact"/>
        <w:ind w:left="420" w:hanging="420"/>
        <w:rPr>
          <w:rFonts w:hint="eastAsia" w:ascii="Calibri" w:hAnsi="Calibri" w:eastAsia="仿宋" w:cs="Times New Roman"/>
          <w:color w:val="000000"/>
          <w:sz w:val="28"/>
          <w:szCs w:val="22"/>
        </w:rPr>
      </w:pPr>
      <w:r>
        <w:rPr>
          <w:rFonts w:hint="eastAsia" w:ascii="Calibri" w:hAnsi="Calibri" w:eastAsia="仿宋" w:cs="Times New Roman"/>
          <w:color w:val="000000"/>
          <w:sz w:val="28"/>
          <w:szCs w:val="22"/>
        </w:rPr>
        <w:t>项目管理目标（工期、质量、成本）；</w:t>
      </w:r>
    </w:p>
    <w:p>
      <w:pPr>
        <w:widowControl/>
        <w:numPr>
          <w:ilvl w:val="0"/>
          <w:numId w:val="4"/>
        </w:numPr>
        <w:spacing w:line="560" w:lineRule="exact"/>
        <w:ind w:left="420" w:hanging="420"/>
        <w:rPr>
          <w:rFonts w:hint="eastAsia" w:ascii="Calibri" w:hAnsi="Calibri" w:eastAsia="仿宋" w:cs="Times New Roman"/>
          <w:color w:val="000000"/>
          <w:sz w:val="28"/>
          <w:szCs w:val="22"/>
        </w:rPr>
      </w:pPr>
      <w:r>
        <w:rPr>
          <w:rFonts w:hint="eastAsia" w:ascii="Calibri" w:hAnsi="Calibri" w:eastAsia="仿宋" w:cs="Times New Roman"/>
          <w:color w:val="000000"/>
          <w:sz w:val="28"/>
          <w:szCs w:val="22"/>
        </w:rPr>
        <w:t>项目设计、施工任务分解；</w:t>
      </w:r>
    </w:p>
    <w:p>
      <w:pPr>
        <w:widowControl/>
        <w:numPr>
          <w:ilvl w:val="0"/>
          <w:numId w:val="4"/>
        </w:numPr>
        <w:spacing w:line="560" w:lineRule="exact"/>
        <w:ind w:left="420" w:hanging="420"/>
        <w:rPr>
          <w:rFonts w:hint="eastAsia" w:ascii="Calibri" w:hAnsi="Calibri" w:eastAsia="仿宋" w:cs="Times New Roman"/>
          <w:color w:val="000000"/>
          <w:sz w:val="28"/>
          <w:szCs w:val="22"/>
        </w:rPr>
      </w:pPr>
      <w:r>
        <w:rPr>
          <w:rFonts w:hint="eastAsia" w:ascii="Calibri" w:hAnsi="Calibri" w:eastAsia="仿宋" w:cs="Times New Roman"/>
          <w:color w:val="000000"/>
          <w:sz w:val="28"/>
          <w:szCs w:val="22"/>
        </w:rPr>
        <w:t>与本项目所有相关单位的配合；</w:t>
      </w:r>
    </w:p>
    <w:p>
      <w:pPr>
        <w:widowControl/>
        <w:numPr>
          <w:ilvl w:val="0"/>
          <w:numId w:val="4"/>
        </w:numPr>
        <w:spacing w:line="560" w:lineRule="exact"/>
        <w:ind w:left="420" w:hanging="420"/>
        <w:rPr>
          <w:rFonts w:hint="eastAsia" w:ascii="Calibri" w:hAnsi="Calibri" w:eastAsia="仿宋" w:cs="Times New Roman"/>
          <w:color w:val="000000"/>
          <w:sz w:val="28"/>
          <w:szCs w:val="22"/>
        </w:rPr>
      </w:pPr>
      <w:r>
        <w:rPr>
          <w:rFonts w:hint="eastAsia" w:ascii="Calibri" w:hAnsi="Calibri" w:eastAsia="仿宋" w:cs="Times New Roman"/>
          <w:color w:val="000000"/>
          <w:sz w:val="28"/>
          <w:szCs w:val="22"/>
        </w:rPr>
        <w:t>设计、施工的工期计划及确保工期的技术组织措施；</w:t>
      </w:r>
    </w:p>
    <w:p>
      <w:pPr>
        <w:widowControl/>
        <w:numPr>
          <w:ilvl w:val="0"/>
          <w:numId w:val="4"/>
        </w:numPr>
        <w:spacing w:line="560" w:lineRule="exact"/>
        <w:ind w:left="420" w:hanging="420"/>
        <w:rPr>
          <w:rFonts w:hint="eastAsia" w:ascii="Calibri" w:hAnsi="Calibri" w:eastAsia="仿宋" w:cs="Times New Roman"/>
          <w:color w:val="000000"/>
          <w:sz w:val="28"/>
          <w:szCs w:val="22"/>
        </w:rPr>
      </w:pPr>
      <w:r>
        <w:rPr>
          <w:rFonts w:hint="eastAsia" w:ascii="Calibri" w:hAnsi="Calibri" w:eastAsia="仿宋" w:cs="Times New Roman"/>
          <w:color w:val="000000"/>
          <w:sz w:val="28"/>
          <w:szCs w:val="22"/>
        </w:rPr>
        <w:t>质量控制计划及确保工程质量的技术组织措施；</w:t>
      </w:r>
    </w:p>
    <w:p>
      <w:pPr>
        <w:widowControl/>
        <w:numPr>
          <w:ilvl w:val="0"/>
          <w:numId w:val="4"/>
        </w:numPr>
        <w:spacing w:line="560" w:lineRule="exact"/>
        <w:ind w:left="420" w:hanging="420"/>
        <w:rPr>
          <w:rFonts w:hint="eastAsia" w:ascii="Calibri" w:hAnsi="Calibri" w:eastAsia="仿宋" w:cs="Times New Roman"/>
          <w:color w:val="000000"/>
          <w:sz w:val="28"/>
          <w:szCs w:val="22"/>
        </w:rPr>
      </w:pPr>
      <w:r>
        <w:rPr>
          <w:rFonts w:hint="eastAsia" w:ascii="Calibri" w:hAnsi="Calibri" w:eastAsia="仿宋" w:cs="Times New Roman"/>
          <w:color w:val="000000"/>
          <w:sz w:val="28"/>
          <w:szCs w:val="22"/>
        </w:rPr>
        <w:t>确保安全生产的技术组织措施；</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确保工期的技术组织措施；</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相关专业配合接口界面及配合措施。</w:t>
      </w:r>
    </w:p>
    <w:p>
      <w:pPr>
        <w:widowControl/>
        <w:numPr>
          <w:ilvl w:val="0"/>
          <w:numId w:val="25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招标文件中要求提供的其他辅助资料。</w:t>
      </w:r>
    </w:p>
    <w:p>
      <w:pPr>
        <w:widowControl/>
        <w:numPr>
          <w:ilvl w:val="0"/>
          <w:numId w:val="25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需招标人与本项目相关的其他单位的配合、照管、协调的具体内容与要求说明。如未提出的，招标人确认其已包括在招标工程范围内而由中标方自行负责并落实或完成；</w:t>
      </w:r>
    </w:p>
    <w:p>
      <w:pPr>
        <w:widowControl/>
        <w:numPr>
          <w:ilvl w:val="0"/>
          <w:numId w:val="25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设计及施工工程任何可供选择的建议及其有关费用。</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81" w:name="_Toc16744"/>
      <w:r>
        <w:rPr>
          <w:rFonts w:hint="eastAsia" w:ascii="楷体" w:hAnsi="楷体" w:eastAsia="仿宋" w:cs="Times New Roman"/>
          <w:b/>
          <w:kern w:val="2"/>
          <w:sz w:val="28"/>
          <w:lang w:val="en-US" w:eastAsia="zh-CN" w:bidi="ar-SA"/>
        </w:rPr>
        <w:t>竣工验收图纸文件要求</w:t>
      </w:r>
      <w:bookmarkEnd w:id="981"/>
    </w:p>
    <w:p>
      <w:pPr>
        <w:widowControl/>
        <w:numPr>
          <w:ilvl w:val="0"/>
          <w:numId w:val="25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所有竣工图纸文件必须在工程验收前完成，所有图纸文件均需要编号并统一列表，属于操作与维修部分的图纸要做相应的记号。</w:t>
      </w:r>
    </w:p>
    <w:p>
      <w:pPr>
        <w:widowControl/>
        <w:numPr>
          <w:ilvl w:val="0"/>
          <w:numId w:val="25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竣工图纸要符合国内有关制图标准及要求。</w:t>
      </w:r>
    </w:p>
    <w:p>
      <w:pPr>
        <w:widowControl/>
        <w:numPr>
          <w:ilvl w:val="0"/>
          <w:numId w:val="25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竣工图纸应绘出全部实际安装的设备和装置及其管线。</w:t>
      </w:r>
    </w:p>
    <w:p>
      <w:pPr>
        <w:widowControl/>
        <w:numPr>
          <w:ilvl w:val="0"/>
          <w:numId w:val="25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竣工图纸对设备运行、操作、保养以及日后调校有用的有关资料，亦应加以清楚表示，所使用的控制器、部件或任何零件的有关参数，以及设备的铭牌上列出的文字和数字均应加以综合摘引。</w:t>
      </w:r>
    </w:p>
    <w:p>
      <w:pPr>
        <w:widowControl/>
        <w:numPr>
          <w:ilvl w:val="0"/>
          <w:numId w:val="25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中标方应提供竣工图纸文件(A1)一式4份、及电子件文档1套。</w:t>
      </w:r>
    </w:p>
    <w:p>
      <w:pPr>
        <w:widowControl/>
        <w:numPr>
          <w:ilvl w:val="0"/>
          <w:numId w:val="25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中标方应在完成系统安装和调试，并符合合同所规定要求后的1周内，提交在本工程实施过程中所有关施工记录及中间验收资料，在1个月内提交竣工图纸。</w:t>
      </w:r>
    </w:p>
    <w:p>
      <w:pPr>
        <w:widowControl/>
        <w:numPr>
          <w:ilvl w:val="0"/>
          <w:numId w:val="25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中标方在培训工作开始前应向招标人免费提供所有中文培训资料。</w:t>
      </w:r>
    </w:p>
    <w:p>
      <w:pPr>
        <w:widowControl/>
        <w:numPr>
          <w:ilvl w:val="0"/>
          <w:numId w:val="25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中标方在系统测试、设备调试、系统总调试阶段的所有报告应完整无缺上交招标人。</w:t>
      </w:r>
    </w:p>
    <w:p>
      <w:pPr>
        <w:widowControl/>
        <w:numPr>
          <w:ilvl w:val="0"/>
          <w:numId w:val="25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竣工验收图纸文件内容：</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根据工程实施的实际情况，包括工程变更、配置调整等，提供经修改与工程实际相吻合的深化设计文件；</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竣工图纸；</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系统测试报告（包括测试方法、程序、项目、仪器、测试数据等）；</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隐蔽工程记录；</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施工质量验收记录；</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工程变更记录；</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系统试运行记录；</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使用和维修手册；</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备品、备件清单；</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仪器、仪表、工具清单；</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政府有关部门和档案管理部门所需的其它资料。</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使用和维修手册</w:t>
      </w:r>
    </w:p>
    <w:p>
      <w:pPr>
        <w:widowControl/>
        <w:numPr>
          <w:ilvl w:val="0"/>
          <w:numId w:val="254"/>
        </w:num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手册应采用优质A4\A3规格的纸张，具有合适的厚度以便能经受反复的翻阅，要求有清晰的原文和附图；</w:t>
      </w:r>
    </w:p>
    <w:p>
      <w:pPr>
        <w:widowControl/>
        <w:numPr>
          <w:ilvl w:val="0"/>
          <w:numId w:val="254"/>
        </w:num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图纸应清晰准确；</w:t>
      </w:r>
    </w:p>
    <w:p>
      <w:pPr>
        <w:widowControl/>
        <w:numPr>
          <w:ilvl w:val="0"/>
          <w:numId w:val="254"/>
        </w:num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同一套手册应具有相同的表格，并用装置的型号作为标题；</w:t>
      </w:r>
    </w:p>
    <w:p>
      <w:pPr>
        <w:widowControl/>
        <w:numPr>
          <w:ilvl w:val="0"/>
          <w:numId w:val="254"/>
        </w:num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总则应包括手册的目的、目录的</w:t>
      </w:r>
      <w:bookmarkStart w:id="982" w:name="_Toc115229860"/>
      <w:bookmarkStart w:id="983" w:name="_Toc11141"/>
      <w:bookmarkStart w:id="984" w:name="_Toc348944843"/>
      <w:bookmarkStart w:id="985" w:name="_Toc354155897"/>
      <w:r>
        <w:rPr>
          <w:rFonts w:hint="eastAsia" w:ascii="仿宋" w:hAnsi="仿宋" w:eastAsia="仿宋" w:cs="仿宋"/>
          <w:sz w:val="28"/>
          <w:szCs w:val="28"/>
        </w:rPr>
        <w:t>简要说明</w:t>
      </w:r>
      <w:bookmarkEnd w:id="982"/>
      <w:bookmarkEnd w:id="983"/>
      <w:bookmarkEnd w:id="984"/>
      <w:bookmarkEnd w:id="985"/>
      <w:r>
        <w:rPr>
          <w:rFonts w:hint="eastAsia" w:ascii="仿宋" w:hAnsi="仿宋" w:eastAsia="仿宋" w:cs="仿宋"/>
          <w:sz w:val="28"/>
          <w:szCs w:val="28"/>
        </w:rPr>
        <w:t>。</w:t>
      </w:r>
    </w:p>
    <w:p>
      <w:pPr>
        <w:widowControl/>
        <w:numPr>
          <w:ilvl w:val="0"/>
          <w:numId w:val="254"/>
        </w:num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使用和维修手册内容，至少应包括以下内容：1.系统性能和使用说明书（包括每个子系统和设备应分别说明，详尽介绍此系统或设备的构成、功能及工作原理使用方法）；2.电气标准及数据表；3.硬件用户手册（包括配置方法、启动和设置步骤、功能定义和系统构架方法等）；4.软件操作手册；5.系统故障检测手册；6.维修保养手册；7.安全注意；8.设备安装大样图；9.安装指导原则；10.可下载更新技术资料的互联网地址。</w:t>
      </w:r>
    </w:p>
    <w:p>
      <w:pPr>
        <w:widowControl/>
        <w:numPr>
          <w:ilvl w:val="0"/>
          <w:numId w:val="254"/>
        </w:num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维修保养</w:t>
      </w:r>
      <w:bookmarkStart w:id="986" w:name="_Toc115229861"/>
      <w:bookmarkStart w:id="987" w:name="_Toc2409"/>
      <w:bookmarkStart w:id="988" w:name="_Toc348944844"/>
      <w:bookmarkStart w:id="989" w:name="_Toc354155898"/>
      <w:r>
        <w:rPr>
          <w:rFonts w:hint="eastAsia" w:ascii="仿宋" w:hAnsi="仿宋" w:eastAsia="仿宋" w:cs="仿宋"/>
          <w:sz w:val="28"/>
          <w:szCs w:val="28"/>
        </w:rPr>
        <w:t>手册包括系统及全部</w:t>
      </w:r>
      <w:bookmarkEnd w:id="986"/>
      <w:bookmarkEnd w:id="987"/>
      <w:bookmarkEnd w:id="988"/>
      <w:bookmarkEnd w:id="989"/>
      <w:r>
        <w:rPr>
          <w:rFonts w:hint="eastAsia" w:ascii="仿宋" w:hAnsi="仿宋" w:eastAsia="仿宋" w:cs="仿宋"/>
          <w:sz w:val="28"/>
          <w:szCs w:val="28"/>
        </w:rPr>
        <w:t>设备的运转和维修保养程序，至少应包括以下内容：1.所有设备的检查手册；2.所有系统的运行手册；3.设备部件更换的程序和要求；4.所有系统及设备的维修保养说明；5.寻找设备故障的程序表。</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90" w:name="_Toc21876"/>
      <w:r>
        <w:rPr>
          <w:rFonts w:hint="eastAsia" w:ascii="楷体" w:hAnsi="楷体" w:eastAsia="仿宋" w:cs="Times New Roman"/>
          <w:b/>
          <w:kern w:val="2"/>
          <w:sz w:val="28"/>
          <w:lang w:val="en-US" w:eastAsia="zh-CN" w:bidi="ar-SA"/>
        </w:rPr>
        <w:t>保修</w:t>
      </w:r>
      <w:bookmarkEnd w:id="990"/>
    </w:p>
    <w:p>
      <w:pPr>
        <w:widowControl/>
        <w:numPr>
          <w:ilvl w:val="0"/>
          <w:numId w:val="25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中标方必须为本工程及设备提供为期3年的免费保修服务，从中标方获得</w:t>
      </w:r>
      <w:bookmarkStart w:id="991" w:name="_Toc115229862"/>
      <w:bookmarkStart w:id="992" w:name="_Toc24678"/>
      <w:bookmarkStart w:id="993" w:name="_Toc348944845"/>
      <w:bookmarkStart w:id="994" w:name="_Toc354155899"/>
      <w:r>
        <w:rPr>
          <w:rFonts w:hint="eastAsia" w:ascii="仿宋" w:hAnsi="仿宋" w:eastAsia="仿宋" w:cs="Times New Roman"/>
          <w:sz w:val="28"/>
          <w:szCs w:val="28"/>
          <w:lang w:val="zh-CN"/>
        </w:rPr>
        <w:t>招标人正式颁发的</w:t>
      </w:r>
      <w:bookmarkEnd w:id="991"/>
      <w:bookmarkEnd w:id="992"/>
      <w:bookmarkEnd w:id="993"/>
      <w:bookmarkEnd w:id="994"/>
      <w:r>
        <w:rPr>
          <w:rFonts w:hint="eastAsia" w:ascii="仿宋" w:hAnsi="仿宋" w:eastAsia="仿宋" w:cs="Times New Roman"/>
          <w:sz w:val="28"/>
          <w:szCs w:val="28"/>
          <w:lang w:val="zh-CN"/>
        </w:rPr>
        <w:t>书面工程竣工移交证书之日起计算。</w:t>
      </w:r>
    </w:p>
    <w:p>
      <w:pPr>
        <w:widowControl/>
        <w:numPr>
          <w:ilvl w:val="0"/>
          <w:numId w:val="25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在保修期内由于施工质量或产品本身质量原因造成的任何损伤或损坏，中标方须免费负责修理或更换。</w:t>
      </w:r>
    </w:p>
    <w:p>
      <w:pPr>
        <w:widowControl/>
        <w:numPr>
          <w:ilvl w:val="0"/>
          <w:numId w:val="255"/>
        </w:numPr>
        <w:spacing w:line="560" w:lineRule="exact"/>
        <w:ind w:left="0" w:firstLine="0"/>
        <w:rPr>
          <w:rFonts w:hint="eastAsia" w:ascii="仿宋" w:hAnsi="仿宋" w:eastAsia="仿宋" w:cs="仿宋"/>
          <w:sz w:val="28"/>
          <w:szCs w:val="28"/>
        </w:rPr>
      </w:pPr>
      <w:r>
        <w:rPr>
          <w:rFonts w:hint="eastAsia" w:ascii="仿宋" w:hAnsi="仿宋" w:eastAsia="仿宋" w:cs="Times New Roman"/>
          <w:sz w:val="28"/>
          <w:szCs w:val="28"/>
          <w:lang w:val="zh-CN"/>
        </w:rPr>
        <w:t>在保修期结束前，须由工程师代表进行一次全面检查，任何缺陷必须由中标方负责修理或更换。在修复之后，应将缺陷原因、修理内容、完成修理及恢复正常时间和日期等报告招标人。</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95" w:name="_Toc29094"/>
      <w:r>
        <w:rPr>
          <w:rFonts w:hint="eastAsia" w:ascii="楷体" w:hAnsi="楷体" w:eastAsia="仿宋" w:cs="Times New Roman"/>
          <w:b/>
          <w:kern w:val="2"/>
          <w:sz w:val="28"/>
          <w:lang w:val="en-US" w:eastAsia="zh-CN" w:bidi="ar-SA"/>
        </w:rPr>
        <w:t>技术服务内容</w:t>
      </w:r>
      <w:bookmarkEnd w:id="995"/>
    </w:p>
    <w:p>
      <w:pPr>
        <w:widowControl/>
        <w:numPr>
          <w:ilvl w:val="0"/>
          <w:numId w:val="25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保修期内保养包括对整个系统作定期检查（每月不少于1次）、调校和清洁，详细的保养程序表和保养工作内容须于投标时提交招标人。</w:t>
      </w:r>
    </w:p>
    <w:p>
      <w:pPr>
        <w:widowControl/>
        <w:numPr>
          <w:ilvl w:val="0"/>
          <w:numId w:val="256"/>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中标方提供主要设备的供应商必须在项目所在地有常驻的维修机构，该维修机构须备有足够的维护技术人员和零备件，要求一般故障8小时以内，紧急故障1小时以内赶到现场，并立即着手解决。</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996" w:name="_Toc32321"/>
      <w:r>
        <w:rPr>
          <w:rFonts w:hint="eastAsia" w:ascii="楷体" w:hAnsi="楷体" w:eastAsia="仿宋" w:cs="Times New Roman"/>
          <w:b/>
          <w:kern w:val="2"/>
          <w:sz w:val="28"/>
          <w:lang w:val="en-US" w:eastAsia="zh-CN" w:bidi="ar-SA"/>
        </w:rPr>
        <w:t>技术培训</w:t>
      </w:r>
      <w:bookmarkEnd w:id="996"/>
    </w:p>
    <w:p>
      <w:pPr>
        <w:widowControl/>
        <w:numPr>
          <w:ilvl w:val="0"/>
          <w:numId w:val="257"/>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中标方应对</w:t>
      </w:r>
      <w:bookmarkStart w:id="997" w:name="_Toc115229863"/>
      <w:bookmarkStart w:id="998" w:name="_Toc28061"/>
      <w:bookmarkStart w:id="999" w:name="_Toc348944846"/>
      <w:bookmarkStart w:id="1000" w:name="_Toc354155900"/>
      <w:r>
        <w:rPr>
          <w:rFonts w:hint="eastAsia" w:ascii="仿宋" w:hAnsi="仿宋" w:eastAsia="仿宋" w:cs="Times New Roman"/>
          <w:sz w:val="28"/>
          <w:szCs w:val="28"/>
          <w:lang w:val="zh-CN"/>
        </w:rPr>
        <w:t>招标人的技术人员进行操作</w:t>
      </w:r>
      <w:bookmarkEnd w:id="997"/>
      <w:bookmarkEnd w:id="998"/>
      <w:bookmarkEnd w:id="999"/>
      <w:bookmarkEnd w:id="1000"/>
      <w:r>
        <w:rPr>
          <w:rFonts w:hint="eastAsia" w:ascii="仿宋" w:hAnsi="仿宋" w:eastAsia="仿宋" w:cs="Times New Roman"/>
          <w:sz w:val="28"/>
          <w:szCs w:val="28"/>
          <w:lang w:val="zh-CN"/>
        </w:rPr>
        <w:t>和维修培训，所有培训应以中文进行，并需在培训前将培训计划和培训项目供招标人批准。</w:t>
      </w:r>
    </w:p>
    <w:p>
      <w:pPr>
        <w:widowControl/>
        <w:numPr>
          <w:ilvl w:val="0"/>
          <w:numId w:val="257"/>
        </w:numPr>
        <w:spacing w:line="560" w:lineRule="exact"/>
        <w:ind w:left="0" w:firstLine="0"/>
        <w:rPr>
          <w:rFonts w:hint="eastAsia" w:ascii="Calibri" w:hAnsi="Calibri" w:eastAsia="仿宋" w:cs="Times New Roman"/>
          <w:sz w:val="28"/>
          <w:szCs w:val="20"/>
        </w:rPr>
      </w:pPr>
      <w:r>
        <w:rPr>
          <w:rFonts w:hint="eastAsia" w:ascii="仿宋" w:hAnsi="仿宋" w:eastAsia="仿宋" w:cs="Times New Roman"/>
          <w:sz w:val="28"/>
          <w:szCs w:val="28"/>
          <w:lang w:val="zh-CN"/>
        </w:rPr>
        <w:t>中标方应针对不同专业派出符合资质的专业培训人员，且对所提供的系统和设备具有五年以上的操作和维修经验。培训人员的简历连同培训计划一并提交招标人，招标人认为培训人员不满足条件可要求更换。</w:t>
      </w:r>
    </w:p>
    <w:p>
      <w:pPr>
        <w:spacing w:line="560" w:lineRule="exact"/>
        <w:rPr>
          <w:rFonts w:hint="eastAsia" w:ascii="仿宋" w:hAnsi="仿宋"/>
          <w:szCs w:val="28"/>
          <w:lang w:val="zh-CN"/>
        </w:rPr>
        <w:sectPr>
          <w:pgSz w:w="11906" w:h="16838"/>
          <w:pgMar w:top="1440" w:right="1800" w:bottom="1440" w:left="1800" w:header="851" w:footer="992" w:gutter="0"/>
          <w:pgNumType w:fmt="decimal"/>
          <w:cols w:space="720" w:num="1"/>
          <w:titlePg/>
          <w:docGrid w:type="lines" w:linePitch="381" w:charSpace="0"/>
        </w:sectPr>
      </w:pPr>
    </w:p>
    <w:p>
      <w:pPr>
        <w:numPr>
          <w:ilvl w:val="0"/>
          <w:numId w:val="2"/>
        </w:numPr>
        <w:spacing w:line="560" w:lineRule="exact"/>
        <w:jc w:val="center"/>
        <w:textAlignment w:val="baseline"/>
        <w:outlineLvl w:val="0"/>
        <w:rPr>
          <w:rFonts w:hint="eastAsia" w:ascii="仿宋" w:hAnsi="仿宋" w:eastAsia="仿宋" w:cs="仿宋"/>
          <w:b/>
          <w:color w:val="000000"/>
          <w:kern w:val="2"/>
          <w:sz w:val="32"/>
          <w:szCs w:val="24"/>
          <w:lang w:val="en-US" w:eastAsia="zh-CN" w:bidi="ar-SA"/>
        </w:rPr>
      </w:pPr>
      <w:bookmarkStart w:id="1001" w:name="_Toc13898"/>
      <w:r>
        <w:rPr>
          <w:rFonts w:hint="eastAsia" w:ascii="仿宋" w:hAnsi="仿宋" w:eastAsia="仿宋" w:cs="仿宋"/>
          <w:b/>
          <w:color w:val="000000"/>
          <w:kern w:val="2"/>
          <w:sz w:val="32"/>
          <w:szCs w:val="24"/>
          <w:lang w:val="en-US" w:eastAsia="zh-CN" w:bidi="ar-SA"/>
        </w:rPr>
        <w:t>投标提交交付物要求</w:t>
      </w:r>
      <w:bookmarkEnd w:id="1001"/>
    </w:p>
    <w:p>
      <w:pPr>
        <w:widowControl w:val="0"/>
        <w:numPr>
          <w:ilvl w:val="1"/>
          <w:numId w:val="2"/>
        </w:numPr>
        <w:spacing w:line="560" w:lineRule="exact"/>
        <w:jc w:val="left"/>
        <w:textAlignment w:val="baseline"/>
        <w:outlineLvl w:val="1"/>
        <w:rPr>
          <w:rFonts w:ascii="仿宋" w:hAnsi="仿宋" w:eastAsia="仿宋" w:cs="仿宋"/>
          <w:b/>
          <w:bCs/>
          <w:kern w:val="2"/>
          <w:sz w:val="28"/>
          <w:szCs w:val="28"/>
          <w:lang w:val="en-US" w:eastAsia="zh-CN" w:bidi="ar-SA"/>
        </w:rPr>
      </w:pPr>
      <w:bookmarkStart w:id="1002" w:name="_Toc12367"/>
      <w:r>
        <w:rPr>
          <w:rFonts w:hint="eastAsia" w:ascii="仿宋" w:hAnsi="仿宋" w:eastAsia="仿宋" w:cs="仿宋"/>
          <w:b/>
          <w:bCs/>
          <w:kern w:val="2"/>
          <w:sz w:val="28"/>
          <w:szCs w:val="28"/>
          <w:lang w:val="en-US" w:eastAsia="zh-CN" w:bidi="ar-SA"/>
        </w:rPr>
        <w:t>图纸部分</w:t>
      </w:r>
      <w:bookmarkEnd w:id="1002"/>
    </w:p>
    <w:p>
      <w:pPr>
        <w:widowControl/>
        <w:spacing w:line="560" w:lineRule="exact"/>
        <w:ind w:firstLine="562" w:firstLineChars="200"/>
        <w:rPr>
          <w:rFonts w:hint="eastAsia" w:ascii="仿宋" w:hAnsi="仿宋" w:eastAsia="仿宋" w:cs="Times New Roman"/>
          <w:b/>
          <w:bCs/>
          <w:sz w:val="28"/>
          <w:szCs w:val="28"/>
          <w:lang w:val="zh-CN"/>
        </w:rPr>
      </w:pPr>
      <w:r>
        <w:rPr>
          <w:rFonts w:hint="eastAsia" w:ascii="仿宋" w:hAnsi="仿宋" w:eastAsia="仿宋" w:cs="Times New Roman"/>
          <w:b/>
          <w:bCs/>
          <w:sz w:val="28"/>
          <w:szCs w:val="28"/>
          <w:lang w:val="zh-CN"/>
        </w:rPr>
        <w:t>以下各系统设计深度应不小于施工图的70~80%，如存在未提及的内容，但结合本项目是实际需要的，均应包含在本次设计和施工一体化的范围内。</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1003" w:name="_Toc26837"/>
      <w:r>
        <w:rPr>
          <w:rFonts w:hint="eastAsia" w:ascii="楷体" w:hAnsi="楷体" w:eastAsia="仿宋" w:cs="Times New Roman"/>
          <w:b/>
          <w:kern w:val="2"/>
          <w:sz w:val="28"/>
          <w:lang w:val="en-US" w:eastAsia="zh-CN" w:bidi="ar-SA"/>
        </w:rPr>
        <w:t>装饰装修系统</w:t>
      </w:r>
      <w:bookmarkEnd w:id="1003"/>
    </w:p>
    <w:p>
      <w:pPr>
        <w:widowControl/>
        <w:numPr>
          <w:ilvl w:val="0"/>
          <w:numId w:val="25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设计说明书；</w:t>
      </w:r>
    </w:p>
    <w:p>
      <w:pPr>
        <w:widowControl/>
        <w:numPr>
          <w:ilvl w:val="0"/>
          <w:numId w:val="25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设备材料表；</w:t>
      </w:r>
    </w:p>
    <w:p>
      <w:pPr>
        <w:widowControl/>
        <w:numPr>
          <w:ilvl w:val="0"/>
          <w:numId w:val="25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设计图；</w:t>
      </w:r>
    </w:p>
    <w:p>
      <w:pPr>
        <w:widowControl/>
        <w:numPr>
          <w:ilvl w:val="0"/>
          <w:numId w:val="25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大样图；</w:t>
      </w:r>
    </w:p>
    <w:p>
      <w:pPr>
        <w:widowControl/>
        <w:numPr>
          <w:ilvl w:val="0"/>
          <w:numId w:val="25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顶部联合吊挂支架系统图；</w:t>
      </w:r>
    </w:p>
    <w:p>
      <w:pPr>
        <w:widowControl/>
        <w:numPr>
          <w:ilvl w:val="0"/>
          <w:numId w:val="258"/>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效果图：机房模块不同角度不少于2张，监控中心不少于1张，冷通道封闭不少于1张，走廊不少于1张。中标方还需配合深化设计进行多次修改至完善。</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1004" w:name="_Toc25780"/>
      <w:r>
        <w:rPr>
          <w:rFonts w:hint="eastAsia" w:ascii="楷体" w:hAnsi="楷体" w:eastAsia="仿宋" w:cs="Times New Roman"/>
          <w:b/>
          <w:kern w:val="2"/>
          <w:sz w:val="28"/>
          <w:lang w:val="en-US" w:eastAsia="zh-CN" w:bidi="ar-SA"/>
        </w:rPr>
        <w:t>电气系统</w:t>
      </w:r>
      <w:bookmarkEnd w:id="1004"/>
    </w:p>
    <w:p>
      <w:pPr>
        <w:widowControl/>
        <w:numPr>
          <w:ilvl w:val="0"/>
          <w:numId w:val="25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配电负荷计算书；</w:t>
      </w:r>
    </w:p>
    <w:p>
      <w:pPr>
        <w:widowControl/>
        <w:numPr>
          <w:ilvl w:val="0"/>
          <w:numId w:val="25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设计说明书；</w:t>
      </w:r>
    </w:p>
    <w:p>
      <w:pPr>
        <w:widowControl/>
        <w:numPr>
          <w:ilvl w:val="0"/>
          <w:numId w:val="25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设备材料表；</w:t>
      </w:r>
    </w:p>
    <w:p>
      <w:pPr>
        <w:widowControl/>
        <w:numPr>
          <w:ilvl w:val="0"/>
          <w:numId w:val="25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系统图；</w:t>
      </w:r>
    </w:p>
    <w:p>
      <w:pPr>
        <w:widowControl/>
        <w:numPr>
          <w:ilvl w:val="0"/>
          <w:numId w:val="259"/>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设计图。</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1005" w:name="_Toc30001"/>
      <w:r>
        <w:rPr>
          <w:rFonts w:hint="eastAsia" w:ascii="楷体" w:hAnsi="楷体" w:eastAsia="仿宋" w:cs="Times New Roman"/>
          <w:b/>
          <w:kern w:val="2"/>
          <w:sz w:val="28"/>
          <w:lang w:val="en-US" w:eastAsia="zh-CN" w:bidi="ar-SA"/>
        </w:rPr>
        <w:t>暖通系统</w:t>
      </w:r>
      <w:bookmarkEnd w:id="1005"/>
    </w:p>
    <w:p>
      <w:pPr>
        <w:widowControl/>
        <w:numPr>
          <w:ilvl w:val="0"/>
          <w:numId w:val="26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冷负荷计算书；</w:t>
      </w:r>
    </w:p>
    <w:p>
      <w:pPr>
        <w:widowControl/>
        <w:numPr>
          <w:ilvl w:val="0"/>
          <w:numId w:val="26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新风量及新风系统冷热负荷计算书；</w:t>
      </w:r>
    </w:p>
    <w:p>
      <w:pPr>
        <w:widowControl/>
        <w:numPr>
          <w:ilvl w:val="0"/>
          <w:numId w:val="26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设计说明书；</w:t>
      </w:r>
    </w:p>
    <w:p>
      <w:pPr>
        <w:widowControl/>
        <w:numPr>
          <w:ilvl w:val="0"/>
          <w:numId w:val="26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设备材料表；</w:t>
      </w:r>
    </w:p>
    <w:p>
      <w:pPr>
        <w:widowControl/>
        <w:numPr>
          <w:ilvl w:val="0"/>
          <w:numId w:val="26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CFD分析图（机房模块、室外机）；</w:t>
      </w:r>
    </w:p>
    <w:p>
      <w:pPr>
        <w:widowControl/>
        <w:numPr>
          <w:ilvl w:val="0"/>
          <w:numId w:val="26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系统图；</w:t>
      </w:r>
    </w:p>
    <w:p>
      <w:pPr>
        <w:widowControl/>
        <w:numPr>
          <w:ilvl w:val="0"/>
          <w:numId w:val="26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设计图；</w:t>
      </w:r>
    </w:p>
    <w:p>
      <w:pPr>
        <w:widowControl/>
        <w:numPr>
          <w:ilvl w:val="0"/>
          <w:numId w:val="260"/>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大样图。</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1006" w:name="_Toc6686"/>
      <w:r>
        <w:rPr>
          <w:rFonts w:hint="eastAsia" w:ascii="楷体" w:hAnsi="楷体" w:eastAsia="仿宋" w:cs="Times New Roman"/>
          <w:b/>
          <w:kern w:val="2"/>
          <w:sz w:val="28"/>
          <w:lang w:val="en-US" w:eastAsia="zh-CN" w:bidi="ar-SA"/>
        </w:rPr>
        <w:t>给排水系统</w:t>
      </w:r>
      <w:bookmarkEnd w:id="1006"/>
    </w:p>
    <w:p>
      <w:pPr>
        <w:widowControl/>
        <w:numPr>
          <w:ilvl w:val="0"/>
          <w:numId w:val="26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设计说明书；</w:t>
      </w:r>
    </w:p>
    <w:p>
      <w:pPr>
        <w:widowControl/>
        <w:numPr>
          <w:ilvl w:val="0"/>
          <w:numId w:val="26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设备材料表；</w:t>
      </w:r>
    </w:p>
    <w:p>
      <w:pPr>
        <w:widowControl/>
        <w:numPr>
          <w:ilvl w:val="0"/>
          <w:numId w:val="26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系统图；</w:t>
      </w:r>
    </w:p>
    <w:p>
      <w:pPr>
        <w:widowControl/>
        <w:numPr>
          <w:ilvl w:val="0"/>
          <w:numId w:val="261"/>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设计图。</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1007" w:name="_Toc16408"/>
      <w:r>
        <w:rPr>
          <w:rFonts w:hint="eastAsia" w:ascii="楷体" w:hAnsi="楷体" w:eastAsia="仿宋" w:cs="Times New Roman"/>
          <w:b/>
          <w:kern w:val="2"/>
          <w:sz w:val="28"/>
          <w:lang w:val="en-US" w:eastAsia="zh-CN" w:bidi="ar-SA"/>
        </w:rPr>
        <w:t>智能化系统</w:t>
      </w:r>
      <w:bookmarkEnd w:id="1007"/>
    </w:p>
    <w:p>
      <w:pPr>
        <w:widowControl/>
        <w:numPr>
          <w:ilvl w:val="0"/>
          <w:numId w:val="26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设计说明书；</w:t>
      </w:r>
    </w:p>
    <w:p>
      <w:pPr>
        <w:widowControl/>
        <w:numPr>
          <w:ilvl w:val="0"/>
          <w:numId w:val="26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设备材料表；</w:t>
      </w:r>
    </w:p>
    <w:p>
      <w:pPr>
        <w:widowControl/>
        <w:numPr>
          <w:ilvl w:val="0"/>
          <w:numId w:val="26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办公运维网综合布线设计图；</w:t>
      </w:r>
    </w:p>
    <w:p>
      <w:pPr>
        <w:widowControl/>
        <w:numPr>
          <w:ilvl w:val="0"/>
          <w:numId w:val="26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视频监控系统设计图；</w:t>
      </w:r>
    </w:p>
    <w:p>
      <w:pPr>
        <w:widowControl/>
        <w:numPr>
          <w:ilvl w:val="0"/>
          <w:numId w:val="26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出入口控制系统设计图；</w:t>
      </w:r>
    </w:p>
    <w:p>
      <w:pPr>
        <w:widowControl/>
        <w:numPr>
          <w:ilvl w:val="0"/>
          <w:numId w:val="26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入侵报警系统设计图；</w:t>
      </w:r>
    </w:p>
    <w:p>
      <w:pPr>
        <w:widowControl/>
        <w:numPr>
          <w:ilvl w:val="0"/>
          <w:numId w:val="26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公共广播系统设计图；</w:t>
      </w:r>
    </w:p>
    <w:p>
      <w:pPr>
        <w:widowControl/>
        <w:numPr>
          <w:ilvl w:val="0"/>
          <w:numId w:val="26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环境及设备监控系统设计图；</w:t>
      </w:r>
    </w:p>
    <w:p>
      <w:pPr>
        <w:widowControl/>
        <w:numPr>
          <w:ilvl w:val="0"/>
          <w:numId w:val="26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大屏显示控制系统设计图；</w:t>
      </w:r>
    </w:p>
    <w:p>
      <w:pPr>
        <w:widowControl/>
        <w:numPr>
          <w:ilvl w:val="0"/>
          <w:numId w:val="26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DCIM系统设计图。</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1008" w:name="_Toc2073"/>
      <w:r>
        <w:rPr>
          <w:rFonts w:hint="eastAsia" w:ascii="楷体" w:hAnsi="楷体" w:eastAsia="仿宋" w:cs="Times New Roman"/>
          <w:b/>
          <w:kern w:val="2"/>
          <w:sz w:val="28"/>
          <w:lang w:val="en-US" w:eastAsia="zh-CN" w:bidi="ar-SA"/>
        </w:rPr>
        <w:t>网络与布线系统</w:t>
      </w:r>
      <w:bookmarkEnd w:id="1008"/>
    </w:p>
    <w:p>
      <w:pPr>
        <w:widowControl/>
        <w:numPr>
          <w:ilvl w:val="0"/>
          <w:numId w:val="26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设计说明书；</w:t>
      </w:r>
    </w:p>
    <w:p>
      <w:pPr>
        <w:widowControl/>
        <w:numPr>
          <w:ilvl w:val="0"/>
          <w:numId w:val="26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设计方案；</w:t>
      </w:r>
    </w:p>
    <w:p>
      <w:pPr>
        <w:widowControl/>
        <w:numPr>
          <w:ilvl w:val="0"/>
          <w:numId w:val="26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设备材料表；</w:t>
      </w:r>
    </w:p>
    <w:p>
      <w:pPr>
        <w:widowControl/>
        <w:numPr>
          <w:ilvl w:val="0"/>
          <w:numId w:val="26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拓扑图、平面图、机柜内设备安装大样图、机柜编号图、机柜内配线架及设备端口对应表(竣工时提交)；</w:t>
      </w:r>
    </w:p>
    <w:p>
      <w:pPr>
        <w:widowControl/>
        <w:numPr>
          <w:ilvl w:val="0"/>
          <w:numId w:val="263"/>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设计图。</w:t>
      </w:r>
    </w:p>
    <w:p>
      <w:pPr>
        <w:keepLines/>
        <w:numPr>
          <w:ilvl w:val="2"/>
          <w:numId w:val="2"/>
        </w:numPr>
        <w:adjustRightInd w:val="0"/>
        <w:spacing w:before="0" w:beforeLines="0" w:after="0" w:afterLines="0" w:line="560" w:lineRule="exact"/>
        <w:ind w:left="0" w:firstLine="0"/>
        <w:jc w:val="left"/>
        <w:textAlignment w:val="baseline"/>
        <w:outlineLvl w:val="2"/>
        <w:rPr>
          <w:rFonts w:hint="eastAsia" w:ascii="楷体" w:hAnsi="楷体" w:eastAsia="仿宋" w:cs="Times New Roman"/>
          <w:b/>
          <w:kern w:val="2"/>
          <w:sz w:val="28"/>
          <w:lang w:val="en-US" w:eastAsia="zh-CN" w:bidi="ar-SA"/>
        </w:rPr>
      </w:pPr>
      <w:bookmarkStart w:id="1009" w:name="_Toc22969"/>
      <w:r>
        <w:rPr>
          <w:rFonts w:hint="eastAsia" w:ascii="楷体" w:hAnsi="楷体" w:eastAsia="仿宋" w:cs="Times New Roman"/>
          <w:b/>
          <w:kern w:val="2"/>
          <w:sz w:val="28"/>
          <w:lang w:val="en-US" w:eastAsia="zh-CN" w:bidi="ar-SA"/>
        </w:rPr>
        <w:t>消防系统</w:t>
      </w:r>
      <w:bookmarkEnd w:id="1009"/>
    </w:p>
    <w:p>
      <w:pPr>
        <w:widowControl/>
        <w:numPr>
          <w:ilvl w:val="0"/>
          <w:numId w:val="26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设计说明书；</w:t>
      </w:r>
    </w:p>
    <w:p>
      <w:pPr>
        <w:widowControl/>
        <w:numPr>
          <w:ilvl w:val="0"/>
          <w:numId w:val="26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气体灭火系统设计图；</w:t>
      </w:r>
    </w:p>
    <w:p>
      <w:pPr>
        <w:widowControl/>
        <w:numPr>
          <w:ilvl w:val="0"/>
          <w:numId w:val="26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水喷淋系统设计图（改造）；</w:t>
      </w:r>
    </w:p>
    <w:p>
      <w:pPr>
        <w:widowControl/>
        <w:numPr>
          <w:ilvl w:val="0"/>
          <w:numId w:val="26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消防栓灭火系统设计图（改造）；</w:t>
      </w:r>
    </w:p>
    <w:p>
      <w:pPr>
        <w:widowControl/>
        <w:numPr>
          <w:ilvl w:val="0"/>
          <w:numId w:val="26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消防排烟系统设计图；</w:t>
      </w:r>
    </w:p>
    <w:p>
      <w:pPr>
        <w:widowControl/>
        <w:numPr>
          <w:ilvl w:val="0"/>
          <w:numId w:val="26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消防监控系统设计图；</w:t>
      </w:r>
    </w:p>
    <w:p>
      <w:pPr>
        <w:widowControl/>
        <w:numPr>
          <w:ilvl w:val="0"/>
          <w:numId w:val="26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火灾自动报警及消防联动控制系统设计图；</w:t>
      </w:r>
    </w:p>
    <w:p>
      <w:pPr>
        <w:widowControl/>
        <w:numPr>
          <w:ilvl w:val="0"/>
          <w:numId w:val="26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极早期烟雾探测报警系统设计图。</w:t>
      </w:r>
    </w:p>
    <w:p>
      <w:pPr>
        <w:widowControl/>
        <w:numPr>
          <w:ilvl w:val="0"/>
          <w:numId w:val="264"/>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提供机房消防验收合格证</w:t>
      </w: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1010" w:name="_Toc8608"/>
      <w:r>
        <w:rPr>
          <w:rFonts w:hint="eastAsia" w:ascii="仿宋" w:hAnsi="仿宋" w:eastAsia="仿宋" w:cs="仿宋"/>
          <w:b/>
          <w:bCs/>
          <w:kern w:val="2"/>
          <w:sz w:val="28"/>
          <w:szCs w:val="28"/>
          <w:lang w:val="en-US" w:eastAsia="zh-CN" w:bidi="ar-SA"/>
        </w:rPr>
        <w:t>工程量清单明细及报价</w:t>
      </w:r>
      <w:bookmarkEnd w:id="1010"/>
    </w:p>
    <w:p>
      <w:pPr>
        <w:widowControl/>
        <w:spacing w:line="56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投标方供应的设备、材料及安装工作量，应包括该工程所需一切相关及必须的</w:t>
      </w:r>
      <w:r>
        <w:rPr>
          <w:rFonts w:hint="eastAsia" w:ascii="仿宋" w:hAnsi="仿宋" w:eastAsia="仿宋" w:cs="仿宋"/>
          <w:sz w:val="28"/>
          <w:szCs w:val="28"/>
        </w:rPr>
        <w:t>内容</w:t>
      </w:r>
      <w:r>
        <w:rPr>
          <w:rFonts w:hint="eastAsia" w:ascii="仿宋" w:hAnsi="仿宋" w:eastAsia="仿宋" w:cs="Times New Roman"/>
          <w:sz w:val="28"/>
          <w:szCs w:val="28"/>
        </w:rPr>
        <w:t>，并不能因此做出增项。但</w:t>
      </w:r>
      <w:r>
        <w:rPr>
          <w:rFonts w:hint="eastAsia" w:ascii="仿宋" w:hAnsi="仿宋" w:eastAsia="仿宋" w:cs="仿宋"/>
          <w:sz w:val="28"/>
          <w:szCs w:val="28"/>
        </w:rPr>
        <w:t>如存在未提及的，且结合本项目是实际需要的，均应包含在本次设计和施工一体化的范围内。</w:t>
      </w:r>
    </w:p>
    <w:p>
      <w:pPr>
        <w:widowControl/>
        <w:numPr>
          <w:ilvl w:val="0"/>
          <w:numId w:val="2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装饰装修系统工程量清单明细及报价。</w:t>
      </w:r>
    </w:p>
    <w:p>
      <w:pPr>
        <w:widowControl/>
        <w:numPr>
          <w:ilvl w:val="0"/>
          <w:numId w:val="2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电气系统工程量清单明细及报价。</w:t>
      </w:r>
    </w:p>
    <w:p>
      <w:pPr>
        <w:widowControl/>
        <w:numPr>
          <w:ilvl w:val="0"/>
          <w:numId w:val="2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暖通系统工程量清单明细及报价。</w:t>
      </w:r>
    </w:p>
    <w:p>
      <w:pPr>
        <w:widowControl/>
        <w:numPr>
          <w:ilvl w:val="0"/>
          <w:numId w:val="2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给排水系统工程量清单明细及报价。</w:t>
      </w:r>
    </w:p>
    <w:p>
      <w:pPr>
        <w:widowControl/>
        <w:numPr>
          <w:ilvl w:val="0"/>
          <w:numId w:val="2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智能化系统工程量清单明细及报价。</w:t>
      </w:r>
    </w:p>
    <w:p>
      <w:pPr>
        <w:widowControl/>
        <w:numPr>
          <w:ilvl w:val="0"/>
          <w:numId w:val="2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网络与布线系统工程量清单明细及报价。</w:t>
      </w:r>
    </w:p>
    <w:p>
      <w:pPr>
        <w:widowControl/>
        <w:numPr>
          <w:ilvl w:val="0"/>
          <w:numId w:val="265"/>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消防系统工程量清单明细及报价。</w:t>
      </w:r>
    </w:p>
    <w:p>
      <w:pPr>
        <w:widowControl w:val="0"/>
        <w:numPr>
          <w:ilvl w:val="1"/>
          <w:numId w:val="2"/>
        </w:numPr>
        <w:spacing w:line="560" w:lineRule="exact"/>
        <w:jc w:val="left"/>
        <w:textAlignment w:val="baseline"/>
        <w:outlineLvl w:val="1"/>
        <w:rPr>
          <w:rFonts w:hint="eastAsia" w:ascii="仿宋" w:hAnsi="仿宋" w:eastAsia="仿宋" w:cs="仿宋"/>
          <w:b/>
          <w:bCs/>
          <w:kern w:val="2"/>
          <w:sz w:val="28"/>
          <w:szCs w:val="28"/>
          <w:lang w:val="en-US" w:eastAsia="zh-CN" w:bidi="ar-SA"/>
        </w:rPr>
      </w:pPr>
      <w:bookmarkStart w:id="1011" w:name="_Toc9859"/>
      <w:r>
        <w:rPr>
          <w:rFonts w:hint="eastAsia" w:ascii="仿宋" w:hAnsi="仿宋" w:eastAsia="仿宋" w:cs="仿宋"/>
          <w:b/>
          <w:bCs/>
          <w:kern w:val="2"/>
          <w:sz w:val="28"/>
          <w:szCs w:val="28"/>
          <w:lang w:val="en-US" w:eastAsia="zh-CN" w:bidi="ar-SA"/>
        </w:rPr>
        <w:t>其它技术文档</w:t>
      </w:r>
      <w:bookmarkEnd w:id="1011"/>
    </w:p>
    <w:p>
      <w:pPr>
        <w:widowControl/>
        <w:numPr>
          <w:ilvl w:val="0"/>
          <w:numId w:val="25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拟定的本项目组织机构及主要设计人员、施工管理人员一览表。</w:t>
      </w:r>
    </w:p>
    <w:p>
      <w:pPr>
        <w:widowControl/>
        <w:numPr>
          <w:ilvl w:val="0"/>
          <w:numId w:val="25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拟投入本工程的主要施工机械设备清单（含技术参数一览表）。</w:t>
      </w:r>
    </w:p>
    <w:p>
      <w:pPr>
        <w:widowControl/>
        <w:numPr>
          <w:ilvl w:val="0"/>
          <w:numId w:val="25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符合本工程工期要求的设计及施工组织方案 （注意：投标方的设计施工组织方案必须按以下要求，针对本项目特点编制）：</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项目管理目标（工期、质量、成本）；</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项目设计、施工任务分解；</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与本项目所有相关单位的配合；</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设计、施工的工期计划及确保工期的技术组织措施；</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质量控制计划及确保工程质量的技术组织措施；</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确保安全生产的技术组织措施；</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确保工期的技术组织措施；</w:t>
      </w:r>
    </w:p>
    <w:p>
      <w:pPr>
        <w:widowControl/>
        <w:numPr>
          <w:ilvl w:val="0"/>
          <w:numId w:val="4"/>
        </w:numPr>
        <w:spacing w:line="560" w:lineRule="exact"/>
        <w:ind w:left="420" w:hanging="420"/>
        <w:rPr>
          <w:rFonts w:hint="eastAsia" w:ascii="Calibri" w:hAnsi="Calibri" w:eastAsia="仿宋" w:cs="Times New Roman"/>
          <w:sz w:val="28"/>
          <w:szCs w:val="22"/>
        </w:rPr>
      </w:pPr>
      <w:r>
        <w:rPr>
          <w:rFonts w:hint="eastAsia" w:ascii="Calibri" w:hAnsi="Calibri" w:eastAsia="仿宋" w:cs="Times New Roman"/>
          <w:sz w:val="28"/>
          <w:szCs w:val="22"/>
        </w:rPr>
        <w:t>相关专业配合接口界面及配合措施。</w:t>
      </w:r>
    </w:p>
    <w:p>
      <w:pPr>
        <w:widowControl/>
        <w:numPr>
          <w:ilvl w:val="0"/>
          <w:numId w:val="25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招标文件中要求提供的其他辅助资料。</w:t>
      </w:r>
    </w:p>
    <w:p>
      <w:pPr>
        <w:widowControl/>
        <w:numPr>
          <w:ilvl w:val="0"/>
          <w:numId w:val="25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需招标人与本项目相关的其他单位的配合、照管、协调的具体内容与要求说明。如未提出的，招标人确认其已包括在招标工程范围内而由中标方自行负责并落实或完成；</w:t>
      </w:r>
    </w:p>
    <w:p>
      <w:pPr>
        <w:widowControl/>
        <w:numPr>
          <w:ilvl w:val="0"/>
          <w:numId w:val="252"/>
        </w:numPr>
        <w:spacing w:line="560" w:lineRule="exact"/>
        <w:ind w:left="0" w:firstLine="0"/>
        <w:rPr>
          <w:rFonts w:hint="eastAsia" w:ascii="仿宋" w:hAnsi="仿宋" w:eastAsia="仿宋" w:cs="Times New Roman"/>
          <w:sz w:val="28"/>
          <w:szCs w:val="28"/>
          <w:lang w:val="zh-CN"/>
        </w:rPr>
      </w:pPr>
      <w:r>
        <w:rPr>
          <w:rFonts w:hint="eastAsia" w:ascii="仿宋" w:hAnsi="仿宋" w:eastAsia="仿宋" w:cs="Times New Roman"/>
          <w:sz w:val="28"/>
          <w:szCs w:val="28"/>
          <w:lang w:val="zh-CN"/>
        </w:rPr>
        <w:t>设计及施工工程任何可供选择的建议及其有关费用。</w:t>
      </w:r>
    </w:p>
    <w:p>
      <w:pPr>
        <w:widowControl/>
        <w:spacing w:line="560" w:lineRule="exact"/>
        <w:rPr>
          <w:rFonts w:hint="eastAsia" w:ascii="仿宋" w:hAnsi="仿宋" w:eastAsia="仿宋" w:cs="Times New Roman"/>
          <w:sz w:val="28"/>
          <w:szCs w:val="28"/>
          <w:lang w:val="zh-CN"/>
        </w:rPr>
      </w:pPr>
    </w:p>
    <w:p>
      <w:pPr>
        <w:numPr>
          <w:ilvl w:val="0"/>
          <w:numId w:val="2"/>
        </w:numPr>
        <w:spacing w:line="560" w:lineRule="exact"/>
        <w:jc w:val="center"/>
        <w:textAlignment w:val="baseline"/>
        <w:outlineLvl w:val="0"/>
        <w:rPr>
          <w:rFonts w:hint="eastAsia" w:ascii="仿宋" w:hAnsi="仿宋" w:eastAsia="仿宋" w:cs="仿宋"/>
          <w:b/>
          <w:color w:val="000000"/>
          <w:kern w:val="2"/>
          <w:sz w:val="32"/>
          <w:szCs w:val="24"/>
          <w:lang w:val="en-US" w:eastAsia="zh-CN" w:bidi="ar-SA"/>
        </w:rPr>
      </w:pPr>
      <w:bookmarkStart w:id="1012" w:name="_Toc336336474"/>
      <w:bookmarkStart w:id="1013" w:name="_Toc2372"/>
      <w:r>
        <w:rPr>
          <w:rFonts w:hint="eastAsia" w:ascii="仿宋" w:hAnsi="仿宋" w:eastAsia="仿宋" w:cs="仿宋"/>
          <w:b/>
          <w:color w:val="000000"/>
          <w:kern w:val="2"/>
          <w:sz w:val="32"/>
          <w:szCs w:val="24"/>
          <w:lang w:val="en-US" w:eastAsia="zh-CN" w:bidi="ar-SA"/>
        </w:rPr>
        <w:t>机房运维辅助设备</w:t>
      </w:r>
      <w:bookmarkEnd w:id="1012"/>
      <w:bookmarkEnd w:id="1013"/>
    </w:p>
    <w:p>
      <w:pPr>
        <w:widowControl/>
        <w:rPr>
          <w:rFonts w:hint="eastAsia" w:ascii="Calibri" w:hAnsi="Calibri" w:eastAsia="仿宋" w:cs="Times New Roman"/>
          <w:b/>
          <w:sz w:val="28"/>
          <w:szCs w:val="20"/>
        </w:rPr>
      </w:pPr>
    </w:p>
    <w:p>
      <w:pPr>
        <w:widowControl/>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为确保南康数据中心机房建设完成后机房运维工作的稳定开展，需要投标中提供以下机房运维辅助设备。</w:t>
      </w:r>
    </w:p>
    <w:p>
      <w:pPr>
        <w:widowControl/>
        <w:rPr>
          <w:rFonts w:hint="eastAsia" w:ascii="仿宋" w:hAnsi="仿宋" w:eastAsia="仿宋" w:cs="Times New Roman"/>
          <w:sz w:val="28"/>
          <w:szCs w:val="28"/>
          <w:lang w:val="zh-CN"/>
        </w:rPr>
      </w:pPr>
    </w:p>
    <w:tbl>
      <w:tblPr>
        <w:tblStyle w:val="24"/>
        <w:tblW w:w="0" w:type="auto"/>
        <w:tblInd w:w="93" w:type="dxa"/>
        <w:tblLayout w:type="fixed"/>
        <w:tblCellMar>
          <w:top w:w="0" w:type="dxa"/>
          <w:left w:w="108" w:type="dxa"/>
          <w:bottom w:w="0" w:type="dxa"/>
          <w:right w:w="108" w:type="dxa"/>
        </w:tblCellMar>
      </w:tblPr>
      <w:tblGrid>
        <w:gridCol w:w="735"/>
        <w:gridCol w:w="1440"/>
        <w:gridCol w:w="2073"/>
        <w:gridCol w:w="2868"/>
        <w:gridCol w:w="970"/>
        <w:gridCol w:w="1107"/>
      </w:tblGrid>
      <w:tr>
        <w:tblPrEx>
          <w:tblCellMar>
            <w:top w:w="0" w:type="dxa"/>
            <w:left w:w="108" w:type="dxa"/>
            <w:bottom w:w="0" w:type="dxa"/>
            <w:right w:w="108" w:type="dxa"/>
          </w:tblCellMar>
        </w:tblPrEx>
        <w:trPr>
          <w:trHeight w:val="45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仿宋" w:cs="Times New Roman"/>
                <w:b/>
                <w:bCs/>
                <w:kern w:val="0"/>
                <w:sz w:val="28"/>
                <w:szCs w:val="21"/>
              </w:rPr>
            </w:pPr>
            <w:r>
              <w:rPr>
                <w:rFonts w:ascii="宋体" w:hAnsi="宋体" w:eastAsia="仿宋" w:cs="Times New Roman"/>
                <w:b/>
                <w:bCs/>
                <w:kern w:val="0"/>
                <w:sz w:val="28"/>
                <w:szCs w:val="21"/>
              </w:rPr>
              <w:t>序号</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仿宋" w:cs="Times New Roman"/>
                <w:b/>
                <w:bCs/>
                <w:kern w:val="0"/>
                <w:sz w:val="28"/>
                <w:szCs w:val="21"/>
              </w:rPr>
            </w:pPr>
            <w:r>
              <w:rPr>
                <w:rFonts w:ascii="宋体" w:hAnsi="宋体" w:eastAsia="仿宋" w:cs="Times New Roman"/>
                <w:b/>
                <w:bCs/>
                <w:kern w:val="0"/>
                <w:sz w:val="28"/>
                <w:szCs w:val="21"/>
              </w:rPr>
              <w:t>名称</w:t>
            </w:r>
          </w:p>
        </w:tc>
        <w:tc>
          <w:tcPr>
            <w:tcW w:w="207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仿宋" w:cs="Times New Roman"/>
                <w:b/>
                <w:bCs/>
                <w:kern w:val="0"/>
                <w:sz w:val="28"/>
                <w:szCs w:val="21"/>
                <w:lang w:eastAsia="zh-CN"/>
              </w:rPr>
            </w:pPr>
            <w:r>
              <w:rPr>
                <w:rFonts w:ascii="宋体" w:hAnsi="宋体" w:eastAsia="仿宋" w:cs="Times New Roman"/>
                <w:b/>
                <w:bCs/>
                <w:kern w:val="0"/>
                <w:sz w:val="28"/>
                <w:szCs w:val="21"/>
              </w:rPr>
              <w:t>推荐品牌</w:t>
            </w:r>
            <w:r>
              <w:rPr>
                <w:rFonts w:hint="eastAsia" w:ascii="宋体" w:hAnsi="宋体" w:eastAsia="仿宋" w:cs="Times New Roman"/>
                <w:b/>
                <w:bCs/>
                <w:kern w:val="0"/>
                <w:sz w:val="28"/>
                <w:szCs w:val="21"/>
                <w:lang w:eastAsia="zh-CN"/>
              </w:rPr>
              <w:t>（同于或优于）</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仿宋" w:cs="Times New Roman"/>
                <w:b/>
                <w:bCs/>
                <w:kern w:val="0"/>
                <w:sz w:val="28"/>
                <w:szCs w:val="21"/>
              </w:rPr>
            </w:pPr>
            <w:r>
              <w:rPr>
                <w:rFonts w:hint="eastAsia" w:ascii="宋体" w:hAnsi="宋体" w:eastAsia="仿宋" w:cs="Times New Roman"/>
                <w:b/>
                <w:bCs/>
                <w:kern w:val="0"/>
                <w:sz w:val="28"/>
                <w:szCs w:val="21"/>
              </w:rPr>
              <w:t>描述</w:t>
            </w: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仿宋" w:cs="Times New Roman"/>
                <w:b/>
                <w:bCs/>
                <w:kern w:val="0"/>
                <w:sz w:val="28"/>
                <w:szCs w:val="21"/>
              </w:rPr>
            </w:pPr>
            <w:r>
              <w:rPr>
                <w:rFonts w:ascii="宋体" w:hAnsi="宋体" w:eastAsia="仿宋" w:cs="Times New Roman"/>
                <w:b/>
                <w:bCs/>
                <w:kern w:val="0"/>
                <w:sz w:val="28"/>
                <w:szCs w:val="21"/>
              </w:rPr>
              <w:t>单位</w:t>
            </w:r>
          </w:p>
        </w:tc>
        <w:tc>
          <w:tcPr>
            <w:tcW w:w="110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仿宋" w:cs="Times New Roman"/>
                <w:b/>
                <w:bCs/>
                <w:kern w:val="0"/>
                <w:sz w:val="28"/>
                <w:szCs w:val="21"/>
              </w:rPr>
            </w:pPr>
            <w:r>
              <w:rPr>
                <w:rFonts w:ascii="宋体" w:hAnsi="宋体" w:eastAsia="仿宋" w:cs="Times New Roman"/>
                <w:b/>
                <w:bCs/>
                <w:kern w:val="0"/>
                <w:sz w:val="28"/>
                <w:szCs w:val="21"/>
              </w:rPr>
              <w:t>数量</w:t>
            </w:r>
          </w:p>
        </w:tc>
      </w:tr>
      <w:tr>
        <w:tblPrEx>
          <w:tblCellMar>
            <w:top w:w="0" w:type="dxa"/>
            <w:left w:w="108" w:type="dxa"/>
            <w:bottom w:w="0" w:type="dxa"/>
            <w:right w:w="108" w:type="dxa"/>
          </w:tblCellMar>
        </w:tblPrEx>
        <w:trPr>
          <w:trHeight w:val="439"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仿宋" w:cs="Times New Roman"/>
                <w:sz w:val="28"/>
                <w:szCs w:val="21"/>
              </w:rPr>
            </w:pPr>
            <w:r>
              <w:rPr>
                <w:rFonts w:hint="eastAsia" w:ascii="宋体" w:hAnsi="宋体" w:eastAsia="仿宋" w:cs="Times New Roman"/>
                <w:sz w:val="28"/>
                <w:szCs w:val="21"/>
              </w:rPr>
              <w:t>1</w:t>
            </w:r>
          </w:p>
        </w:tc>
        <w:tc>
          <w:tcPr>
            <w:tcW w:w="144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仿宋" w:cs="Times New Roman"/>
                <w:sz w:val="28"/>
                <w:szCs w:val="21"/>
              </w:rPr>
            </w:pPr>
            <w:r>
              <w:rPr>
                <w:rFonts w:hint="eastAsia" w:ascii="宋体" w:hAnsi="宋体" w:eastAsia="仿宋" w:cs="Times New Roman"/>
                <w:sz w:val="28"/>
                <w:szCs w:val="21"/>
              </w:rPr>
              <w:t>小拖车</w:t>
            </w:r>
          </w:p>
        </w:tc>
        <w:tc>
          <w:tcPr>
            <w:tcW w:w="20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仿宋" w:cs="Times New Roman"/>
                <w:sz w:val="24"/>
                <w:szCs w:val="24"/>
              </w:rPr>
            </w:pPr>
            <w:r>
              <w:rPr>
                <w:rFonts w:hint="eastAsia" w:ascii="宋体" w:hAnsi="宋体"/>
                <w:sz w:val="24"/>
                <w:szCs w:val="24"/>
              </w:rPr>
              <w:t>国产优质</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宋体" w:hAnsi="宋体" w:eastAsia="仿宋" w:cs="Times New Roman"/>
                <w:sz w:val="28"/>
                <w:szCs w:val="21"/>
              </w:rPr>
            </w:pPr>
            <w:r>
              <w:rPr>
                <w:rFonts w:hint="eastAsia" w:ascii="宋体" w:hAnsi="宋体" w:eastAsia="仿宋" w:cs="Times New Roman"/>
                <w:sz w:val="28"/>
                <w:szCs w:val="21"/>
              </w:rPr>
              <w:t>搬运设备</w:t>
            </w: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仿宋" w:cs="Times New Roman"/>
                <w:sz w:val="28"/>
                <w:szCs w:val="21"/>
              </w:rPr>
            </w:pPr>
            <w:r>
              <w:rPr>
                <w:rFonts w:hint="eastAsia" w:ascii="宋体" w:hAnsi="宋体" w:eastAsia="仿宋" w:cs="Times New Roman"/>
                <w:sz w:val="28"/>
                <w:szCs w:val="21"/>
              </w:rPr>
              <w:t>辆</w:t>
            </w:r>
          </w:p>
        </w:tc>
        <w:tc>
          <w:tcPr>
            <w:tcW w:w="110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仿宋" w:cs="Times New Roman"/>
                <w:sz w:val="28"/>
                <w:szCs w:val="21"/>
              </w:rPr>
            </w:pPr>
            <w:r>
              <w:rPr>
                <w:rFonts w:hint="eastAsia" w:ascii="宋体" w:hAnsi="宋体" w:eastAsia="仿宋" w:cs="Times New Roman"/>
                <w:sz w:val="28"/>
                <w:szCs w:val="21"/>
              </w:rPr>
              <w:t>1</w:t>
            </w:r>
          </w:p>
        </w:tc>
      </w:tr>
      <w:tr>
        <w:tblPrEx>
          <w:tblCellMar>
            <w:top w:w="0" w:type="dxa"/>
            <w:left w:w="108" w:type="dxa"/>
            <w:bottom w:w="0" w:type="dxa"/>
            <w:right w:w="108" w:type="dxa"/>
          </w:tblCellMar>
        </w:tblPrEx>
        <w:trPr>
          <w:trHeight w:val="439" w:hRule="atLeas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2</w:t>
            </w:r>
          </w:p>
        </w:tc>
        <w:tc>
          <w:tcPr>
            <w:tcW w:w="1440"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标签打印机</w:t>
            </w:r>
          </w:p>
        </w:tc>
        <w:tc>
          <w:tcPr>
            <w:tcW w:w="2073" w:type="dxa"/>
            <w:tcBorders>
              <w:top w:val="nil"/>
              <w:left w:val="nil"/>
              <w:bottom w:val="single" w:color="auto" w:sz="4" w:space="0"/>
              <w:right w:val="single" w:color="auto" w:sz="4" w:space="0"/>
            </w:tcBorders>
            <w:noWrap w:val="0"/>
            <w:vAlign w:val="center"/>
          </w:tcPr>
          <w:p>
            <w:pPr>
              <w:snapToGrid w:val="0"/>
              <w:jc w:val="left"/>
              <w:rPr>
                <w:rFonts w:hint="eastAsia" w:ascii="宋体" w:hAnsi="宋体" w:eastAsia="仿宋" w:cs="Times New Roman"/>
                <w:sz w:val="24"/>
                <w:szCs w:val="24"/>
              </w:rPr>
            </w:pPr>
            <w:r>
              <w:rPr>
                <w:rFonts w:hint="eastAsia" w:ascii="宋体" w:hAnsi="宋体"/>
                <w:sz w:val="24"/>
                <w:szCs w:val="24"/>
                <w:lang w:val="en-US" w:eastAsia="zh-CN"/>
              </w:rPr>
              <w:t>Brother;爱普生；朔方</w:t>
            </w:r>
          </w:p>
        </w:tc>
        <w:tc>
          <w:tcPr>
            <w:tcW w:w="2868"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打印设备标签、条码，</w:t>
            </w:r>
            <w:r>
              <w:rPr>
                <w:rFonts w:ascii="宋体" w:hAnsi="宋体" w:eastAsia="仿宋" w:cs="Times New Roman"/>
                <w:sz w:val="28"/>
                <w:szCs w:val="21"/>
              </w:rPr>
              <w:t>最大列印宽度</w:t>
            </w:r>
            <w:r>
              <w:rPr>
                <w:rFonts w:hint="eastAsia" w:ascii="宋体" w:hAnsi="宋体" w:eastAsia="仿宋" w:cs="Times New Roman"/>
                <w:sz w:val="28"/>
                <w:szCs w:val="21"/>
              </w:rPr>
              <w:t>&gt;</w:t>
            </w:r>
            <w:r>
              <w:rPr>
                <w:rFonts w:ascii="宋体" w:hAnsi="宋体" w:eastAsia="仿宋" w:cs="Times New Roman"/>
                <w:sz w:val="28"/>
                <w:szCs w:val="21"/>
              </w:rPr>
              <w:t>12</w:t>
            </w:r>
            <w:r>
              <w:rPr>
                <w:rFonts w:hint="eastAsia" w:ascii="宋体" w:hAnsi="宋体" w:eastAsia="仿宋" w:cs="Times New Roman"/>
                <w:sz w:val="28"/>
                <w:szCs w:val="21"/>
              </w:rPr>
              <w:t>0</w:t>
            </w:r>
            <w:r>
              <w:rPr>
                <w:rFonts w:ascii="宋体" w:hAnsi="宋体" w:eastAsia="仿宋" w:cs="Times New Roman"/>
                <w:sz w:val="28"/>
                <w:szCs w:val="21"/>
              </w:rPr>
              <w:t>mm</w:t>
            </w:r>
            <w:r>
              <w:rPr>
                <w:rFonts w:hint="eastAsia" w:ascii="宋体" w:hAnsi="宋体" w:eastAsia="仿宋" w:cs="Times New Roman"/>
                <w:sz w:val="28"/>
                <w:szCs w:val="21"/>
              </w:rPr>
              <w:t>，</w:t>
            </w:r>
            <w:r>
              <w:rPr>
                <w:rFonts w:ascii="宋体" w:hAnsi="宋体" w:eastAsia="仿宋" w:cs="Times New Roman"/>
                <w:sz w:val="28"/>
                <w:szCs w:val="21"/>
              </w:rPr>
              <w:t>适合批量打印</w:t>
            </w:r>
          </w:p>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提供各类标签纸若干</w:t>
            </w:r>
          </w:p>
        </w:tc>
        <w:tc>
          <w:tcPr>
            <w:tcW w:w="970"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台</w:t>
            </w:r>
          </w:p>
        </w:tc>
        <w:tc>
          <w:tcPr>
            <w:tcW w:w="1107"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1</w:t>
            </w:r>
          </w:p>
        </w:tc>
      </w:tr>
      <w:tr>
        <w:tblPrEx>
          <w:tblCellMar>
            <w:top w:w="0" w:type="dxa"/>
            <w:left w:w="108" w:type="dxa"/>
            <w:bottom w:w="0" w:type="dxa"/>
            <w:right w:w="108" w:type="dxa"/>
          </w:tblCellMar>
        </w:tblPrEx>
        <w:trPr>
          <w:trHeight w:val="439" w:hRule="atLeas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3</w:t>
            </w:r>
          </w:p>
        </w:tc>
        <w:tc>
          <w:tcPr>
            <w:tcW w:w="1440"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维护工具箱</w:t>
            </w:r>
          </w:p>
        </w:tc>
        <w:tc>
          <w:tcPr>
            <w:tcW w:w="2073" w:type="dxa"/>
            <w:tcBorders>
              <w:top w:val="nil"/>
              <w:left w:val="nil"/>
              <w:bottom w:val="single" w:color="auto" w:sz="4" w:space="0"/>
              <w:right w:val="single" w:color="auto" w:sz="4" w:space="0"/>
            </w:tcBorders>
            <w:noWrap w:val="0"/>
            <w:vAlign w:val="center"/>
          </w:tcPr>
          <w:p>
            <w:pPr>
              <w:snapToGrid w:val="0"/>
              <w:jc w:val="left"/>
              <w:rPr>
                <w:rFonts w:ascii="宋体" w:hAnsi="宋体" w:eastAsia="仿宋" w:cs="Times New Roman"/>
                <w:sz w:val="24"/>
                <w:szCs w:val="24"/>
              </w:rPr>
            </w:pPr>
            <w:r>
              <w:rPr>
                <w:rFonts w:ascii="宋体" w:hAnsi="宋体"/>
                <w:sz w:val="24"/>
                <w:szCs w:val="24"/>
              </w:rPr>
              <w:t>史丹利</w:t>
            </w:r>
            <w:r>
              <w:rPr>
                <w:rFonts w:hint="eastAsia" w:ascii="宋体" w:hAnsi="宋体"/>
                <w:sz w:val="24"/>
                <w:szCs w:val="24"/>
                <w:lang w:eastAsia="zh-CN"/>
              </w:rPr>
              <w:t>、保拉、世达、</w:t>
            </w:r>
          </w:p>
        </w:tc>
        <w:tc>
          <w:tcPr>
            <w:tcW w:w="2868" w:type="dxa"/>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eastAsia="仿宋" w:cs="Times New Roman"/>
                <w:sz w:val="28"/>
                <w:szCs w:val="21"/>
              </w:rPr>
            </w:pPr>
            <w:r>
              <w:rPr>
                <w:rFonts w:hint="eastAsia" w:ascii="宋体" w:hAnsi="宋体" w:eastAsia="仿宋" w:cs="Times New Roman"/>
                <w:sz w:val="28"/>
                <w:szCs w:val="21"/>
              </w:rPr>
              <w:t>包括机房日常维护、安装工具</w:t>
            </w:r>
          </w:p>
        </w:tc>
        <w:tc>
          <w:tcPr>
            <w:tcW w:w="970"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套</w:t>
            </w:r>
          </w:p>
        </w:tc>
        <w:tc>
          <w:tcPr>
            <w:tcW w:w="1107"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1</w:t>
            </w:r>
          </w:p>
        </w:tc>
      </w:tr>
      <w:tr>
        <w:tblPrEx>
          <w:tblCellMar>
            <w:top w:w="0" w:type="dxa"/>
            <w:left w:w="108" w:type="dxa"/>
            <w:bottom w:w="0" w:type="dxa"/>
            <w:right w:w="108" w:type="dxa"/>
          </w:tblCellMar>
        </w:tblPrEx>
        <w:trPr>
          <w:trHeight w:val="439" w:hRule="atLeas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4</w:t>
            </w:r>
          </w:p>
        </w:tc>
        <w:tc>
          <w:tcPr>
            <w:tcW w:w="1440"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仿宋" w:cs="Times New Roman"/>
                <w:sz w:val="28"/>
                <w:szCs w:val="21"/>
              </w:rPr>
            </w:pPr>
            <w:r>
              <w:rPr>
                <w:rFonts w:hint="eastAsia" w:ascii="宋体" w:hAnsi="宋体" w:eastAsia="仿宋" w:cs="Times New Roman"/>
                <w:sz w:val="28"/>
                <w:szCs w:val="21"/>
              </w:rPr>
              <w:t>快速棘轮扳手</w:t>
            </w:r>
          </w:p>
        </w:tc>
        <w:tc>
          <w:tcPr>
            <w:tcW w:w="2073" w:type="dxa"/>
            <w:tcBorders>
              <w:top w:val="nil"/>
              <w:left w:val="nil"/>
              <w:bottom w:val="single" w:color="auto" w:sz="4" w:space="0"/>
              <w:right w:val="single" w:color="auto" w:sz="4" w:space="0"/>
            </w:tcBorders>
            <w:noWrap w:val="0"/>
            <w:vAlign w:val="center"/>
          </w:tcPr>
          <w:p>
            <w:pPr>
              <w:snapToGrid w:val="0"/>
              <w:jc w:val="left"/>
              <w:rPr>
                <w:rFonts w:ascii="宋体" w:hAnsi="宋体" w:eastAsia="仿宋" w:cs="Times New Roman"/>
                <w:sz w:val="24"/>
                <w:szCs w:val="24"/>
              </w:rPr>
            </w:pPr>
            <w:r>
              <w:rPr>
                <w:rFonts w:ascii="宋体" w:hAnsi="宋体"/>
                <w:sz w:val="24"/>
                <w:szCs w:val="24"/>
              </w:rPr>
              <w:t>世达（SATA）09521</w:t>
            </w:r>
            <w:r>
              <w:rPr>
                <w:rFonts w:hint="eastAsia" w:ascii="宋体" w:hAnsi="宋体"/>
                <w:sz w:val="24"/>
                <w:szCs w:val="24"/>
                <w:lang w:eastAsia="zh-CN"/>
              </w:rPr>
              <w:t>；</w:t>
            </w: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 HYPERLINK "https://item.jd.com/64054652894.html" \o "双头棘轮快速扳手" \t "https://search.jd.com/_blank" </w:instrText>
            </w:r>
            <w:r>
              <w:rPr>
                <w:rFonts w:ascii="宋体" w:hAnsi="宋体"/>
                <w:sz w:val="24"/>
                <w:szCs w:val="24"/>
              </w:rPr>
              <w:fldChar w:fldCharType="separate"/>
            </w:r>
            <w:r>
              <w:rPr>
                <w:rFonts w:hint="default" w:ascii="宋体" w:hAnsi="宋体"/>
                <w:sz w:val="24"/>
                <w:szCs w:val="24"/>
              </w:rPr>
              <w:t>德国（masterproof)</w:t>
            </w:r>
            <w:r>
              <w:rPr>
                <w:rFonts w:hint="default" w:ascii="宋体" w:hAnsi="宋体"/>
                <w:sz w:val="24"/>
                <w:szCs w:val="24"/>
              </w:rPr>
              <w:fldChar w:fldCharType="end"/>
            </w:r>
            <w:r>
              <w:rPr>
                <w:rFonts w:hint="eastAsia" w:ascii="宋体" w:hAnsi="宋体"/>
                <w:sz w:val="24"/>
                <w:szCs w:val="24"/>
                <w:lang w:eastAsia="zh-CN"/>
              </w:rPr>
              <w:t>；银龙岛</w:t>
            </w:r>
          </w:p>
        </w:tc>
        <w:tc>
          <w:tcPr>
            <w:tcW w:w="2868"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机房日常维护</w:t>
            </w:r>
          </w:p>
        </w:tc>
        <w:tc>
          <w:tcPr>
            <w:tcW w:w="970"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套</w:t>
            </w:r>
          </w:p>
        </w:tc>
        <w:tc>
          <w:tcPr>
            <w:tcW w:w="1107"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1</w:t>
            </w:r>
          </w:p>
        </w:tc>
      </w:tr>
      <w:tr>
        <w:tblPrEx>
          <w:tblCellMar>
            <w:top w:w="0" w:type="dxa"/>
            <w:left w:w="108" w:type="dxa"/>
            <w:bottom w:w="0" w:type="dxa"/>
            <w:right w:w="108" w:type="dxa"/>
          </w:tblCellMar>
        </w:tblPrEx>
        <w:trPr>
          <w:trHeight w:val="439" w:hRule="atLeas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5</w:t>
            </w:r>
          </w:p>
        </w:tc>
        <w:tc>
          <w:tcPr>
            <w:tcW w:w="1440"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ascii="宋体" w:hAnsi="宋体" w:eastAsia="仿宋" w:cs="Times New Roman"/>
                <w:sz w:val="28"/>
                <w:szCs w:val="21"/>
              </w:rPr>
              <w:t>叉型电流表</w:t>
            </w:r>
          </w:p>
        </w:tc>
        <w:tc>
          <w:tcPr>
            <w:tcW w:w="2073" w:type="dxa"/>
            <w:tcBorders>
              <w:top w:val="nil"/>
              <w:left w:val="nil"/>
              <w:bottom w:val="single" w:color="auto" w:sz="4" w:space="0"/>
              <w:right w:val="single" w:color="auto" w:sz="4" w:space="0"/>
            </w:tcBorders>
            <w:noWrap w:val="0"/>
            <w:vAlign w:val="center"/>
          </w:tcPr>
          <w:p>
            <w:pPr>
              <w:snapToGrid w:val="0"/>
              <w:jc w:val="left"/>
              <w:rPr>
                <w:rFonts w:ascii="宋体" w:hAnsi="宋体" w:eastAsia="仿宋" w:cs="Times New Roman"/>
                <w:sz w:val="24"/>
                <w:szCs w:val="24"/>
              </w:rPr>
            </w:pPr>
            <w:r>
              <w:rPr>
                <w:rFonts w:ascii="宋体" w:hAnsi="宋体"/>
                <w:sz w:val="24"/>
                <w:szCs w:val="24"/>
              </w:rPr>
              <w:t>日本共立</w:t>
            </w:r>
            <w:r>
              <w:rPr>
                <w:rFonts w:hint="eastAsia" w:ascii="宋体" w:hAnsi="宋体"/>
                <w:sz w:val="24"/>
                <w:szCs w:val="24"/>
                <w:lang w:val="en-US" w:eastAsia="zh-CN"/>
              </w:rPr>
              <w:t>2300R</w:t>
            </w:r>
            <w:r>
              <w:rPr>
                <w:rFonts w:hint="eastAsia" w:ascii="宋体" w:hAnsi="宋体"/>
                <w:sz w:val="24"/>
                <w:szCs w:val="24"/>
                <w:lang w:eastAsia="zh-CN"/>
              </w:rPr>
              <w:t>；</w:t>
            </w:r>
            <w:r>
              <w:rPr>
                <w:rFonts w:ascii="宋体" w:hAnsi="宋体"/>
                <w:sz w:val="24"/>
                <w:szCs w:val="24"/>
              </w:rPr>
              <w:fldChar w:fldCharType="begin"/>
            </w:r>
            <w:r>
              <w:rPr>
                <w:rFonts w:ascii="宋体" w:hAnsi="宋体"/>
                <w:sz w:val="24"/>
                <w:szCs w:val="24"/>
              </w:rPr>
              <w:instrText xml:space="preserve"> HYPERLINK "https://item.jd.com/10628516920.html" \o "" \t "https://search.jd.com/_blank" </w:instrText>
            </w:r>
            <w:r>
              <w:rPr>
                <w:rFonts w:ascii="宋体" w:hAnsi="宋体"/>
                <w:sz w:val="24"/>
                <w:szCs w:val="24"/>
              </w:rPr>
              <w:fldChar w:fldCharType="separate"/>
            </w:r>
            <w:r>
              <w:rPr>
                <w:rFonts w:hint="default" w:ascii="宋体" w:hAnsi="宋体"/>
                <w:sz w:val="24"/>
                <w:szCs w:val="24"/>
              </w:rPr>
              <w:t>福禄克</w:t>
            </w:r>
            <w:r>
              <w:rPr>
                <w:rFonts w:hint="default" w:ascii="宋体" w:hAnsi="宋体"/>
                <w:sz w:val="24"/>
                <w:szCs w:val="24"/>
              </w:rPr>
              <w:fldChar w:fldCharType="end"/>
            </w:r>
            <w:r>
              <w:rPr>
                <w:rFonts w:hint="eastAsia" w:ascii="宋体" w:hAnsi="宋体"/>
                <w:sz w:val="24"/>
                <w:szCs w:val="24"/>
                <w:lang w:val="en-US" w:eastAsia="zh-CN"/>
              </w:rPr>
              <w:t>T5-1000</w:t>
            </w:r>
          </w:p>
        </w:tc>
        <w:tc>
          <w:tcPr>
            <w:tcW w:w="2868"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检测线路电流</w:t>
            </w:r>
          </w:p>
        </w:tc>
        <w:tc>
          <w:tcPr>
            <w:tcW w:w="970"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套</w:t>
            </w:r>
          </w:p>
        </w:tc>
        <w:tc>
          <w:tcPr>
            <w:tcW w:w="1107"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1</w:t>
            </w:r>
          </w:p>
        </w:tc>
      </w:tr>
      <w:tr>
        <w:tblPrEx>
          <w:tblCellMar>
            <w:top w:w="0" w:type="dxa"/>
            <w:left w:w="108" w:type="dxa"/>
            <w:bottom w:w="0" w:type="dxa"/>
            <w:right w:w="108" w:type="dxa"/>
          </w:tblCellMar>
        </w:tblPrEx>
        <w:trPr>
          <w:trHeight w:val="439" w:hRule="atLeas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6</w:t>
            </w:r>
          </w:p>
        </w:tc>
        <w:tc>
          <w:tcPr>
            <w:tcW w:w="1440"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仿宋" w:cs="Times New Roman"/>
                <w:sz w:val="28"/>
                <w:szCs w:val="21"/>
              </w:rPr>
            </w:pPr>
            <w:r>
              <w:rPr>
                <w:rFonts w:ascii="宋体" w:hAnsi="宋体" w:eastAsia="仿宋" w:cs="Times New Roman"/>
                <w:sz w:val="28"/>
                <w:szCs w:val="21"/>
              </w:rPr>
              <w:t>钳形表</w:t>
            </w:r>
          </w:p>
        </w:tc>
        <w:tc>
          <w:tcPr>
            <w:tcW w:w="2073" w:type="dxa"/>
            <w:tcBorders>
              <w:top w:val="nil"/>
              <w:left w:val="nil"/>
              <w:bottom w:val="single" w:color="auto" w:sz="4" w:space="0"/>
              <w:right w:val="single" w:color="auto" w:sz="4" w:space="0"/>
            </w:tcBorders>
            <w:noWrap w:val="0"/>
            <w:vAlign w:val="center"/>
          </w:tcPr>
          <w:p>
            <w:pPr>
              <w:snapToGrid w:val="0"/>
              <w:jc w:val="left"/>
              <w:rPr>
                <w:rFonts w:ascii="宋体" w:hAnsi="宋体" w:eastAsia="仿宋" w:cs="Times New Roman"/>
                <w:sz w:val="24"/>
                <w:szCs w:val="24"/>
              </w:rPr>
            </w:pPr>
            <w:r>
              <w:rPr>
                <w:rFonts w:ascii="宋体" w:hAnsi="宋体"/>
                <w:sz w:val="24"/>
                <w:szCs w:val="24"/>
              </w:rPr>
              <w:t>日本共立Kyoritsu</w:t>
            </w:r>
            <w:r>
              <w:rPr>
                <w:rFonts w:hint="eastAsia" w:ascii="宋体" w:hAnsi="宋体"/>
                <w:sz w:val="24"/>
                <w:szCs w:val="24"/>
              </w:rPr>
              <w:t xml:space="preserve"> </w:t>
            </w:r>
            <w:r>
              <w:rPr>
                <w:rFonts w:ascii="宋体" w:hAnsi="宋体"/>
                <w:sz w:val="24"/>
                <w:szCs w:val="24"/>
              </w:rPr>
              <w:t>2037</w:t>
            </w:r>
            <w:r>
              <w:rPr>
                <w:rFonts w:hint="eastAsia" w:ascii="宋体" w:hAnsi="宋体"/>
                <w:sz w:val="24"/>
                <w:szCs w:val="24"/>
                <w:lang w:eastAsia="zh-CN"/>
              </w:rPr>
              <w:t>；</w:t>
            </w:r>
            <w:r>
              <w:rPr>
                <w:rFonts w:ascii="宋体" w:hAnsi="宋体"/>
                <w:sz w:val="24"/>
                <w:szCs w:val="24"/>
              </w:rPr>
              <w:fldChar w:fldCharType="begin"/>
            </w:r>
            <w:r>
              <w:rPr>
                <w:rFonts w:ascii="宋体" w:hAnsi="宋体"/>
                <w:sz w:val="24"/>
                <w:szCs w:val="24"/>
              </w:rPr>
              <w:instrText xml:space="preserve"> HYPERLINK "https://item.jd.com/100003807289.html" \o "优利德（UNI-T）UT219DS 高精度三防数字钳形表 钳表 电流表" \t "https://search.jd.com/_blank" </w:instrText>
            </w:r>
            <w:r>
              <w:rPr>
                <w:rFonts w:ascii="宋体" w:hAnsi="宋体"/>
                <w:sz w:val="24"/>
                <w:szCs w:val="24"/>
              </w:rPr>
              <w:fldChar w:fldCharType="separate"/>
            </w:r>
            <w:r>
              <w:rPr>
                <w:rFonts w:hint="default" w:ascii="宋体" w:hAnsi="宋体"/>
                <w:sz w:val="24"/>
                <w:szCs w:val="24"/>
              </w:rPr>
              <w:t>优利德（UNI-T）UT219DS </w:t>
            </w:r>
            <w:r>
              <w:rPr>
                <w:rFonts w:hint="default" w:ascii="宋体" w:hAnsi="宋体"/>
                <w:sz w:val="24"/>
                <w:szCs w:val="24"/>
              </w:rPr>
              <w:fldChar w:fldCharType="end"/>
            </w:r>
            <w:r>
              <w:rPr>
                <w:rFonts w:hint="eastAsia" w:ascii="宋体" w:hAnsi="宋体"/>
                <w:sz w:val="24"/>
                <w:szCs w:val="24"/>
                <w:lang w:eastAsia="zh-CN"/>
              </w:rPr>
              <w:t>；</w:t>
            </w:r>
            <w:r>
              <w:rPr>
                <w:rFonts w:ascii="宋体" w:hAnsi="宋体"/>
                <w:sz w:val="24"/>
                <w:szCs w:val="24"/>
              </w:rPr>
              <w:fldChar w:fldCharType="begin"/>
            </w:r>
            <w:r>
              <w:rPr>
                <w:rFonts w:ascii="宋体" w:hAnsi="宋体"/>
                <w:sz w:val="24"/>
                <w:szCs w:val="24"/>
              </w:rPr>
              <w:instrText xml:space="preserve"> HYPERLINK "https://item.jd.com/100007652569.html" \o "福禄克（FLUKE）F325 真有效值交直流数字钳形表电流表 2年维保" \t "https://search.jd.com/_blank" </w:instrText>
            </w:r>
            <w:r>
              <w:rPr>
                <w:rFonts w:ascii="宋体" w:hAnsi="宋体"/>
                <w:sz w:val="24"/>
                <w:szCs w:val="24"/>
              </w:rPr>
              <w:fldChar w:fldCharType="separate"/>
            </w:r>
            <w:r>
              <w:rPr>
                <w:rFonts w:hint="default" w:ascii="宋体" w:hAnsi="宋体"/>
                <w:sz w:val="24"/>
                <w:szCs w:val="24"/>
              </w:rPr>
              <w:t>福禄克（FLUKE）F325 </w:t>
            </w:r>
            <w:r>
              <w:rPr>
                <w:rFonts w:hint="default" w:ascii="宋体" w:hAnsi="宋体"/>
                <w:sz w:val="24"/>
                <w:szCs w:val="24"/>
              </w:rPr>
              <w:fldChar w:fldCharType="end"/>
            </w:r>
            <w:r>
              <w:rPr>
                <w:rFonts w:ascii="宋体" w:hAnsi="宋体"/>
                <w:sz w:val="24"/>
                <w:szCs w:val="24"/>
              </w:rPr>
              <w:t xml:space="preserve"> </w:t>
            </w:r>
          </w:p>
        </w:tc>
        <w:tc>
          <w:tcPr>
            <w:tcW w:w="2868"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检测线路电流</w:t>
            </w:r>
          </w:p>
        </w:tc>
        <w:tc>
          <w:tcPr>
            <w:tcW w:w="970"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套</w:t>
            </w:r>
          </w:p>
        </w:tc>
        <w:tc>
          <w:tcPr>
            <w:tcW w:w="1107"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1</w:t>
            </w:r>
          </w:p>
        </w:tc>
      </w:tr>
      <w:tr>
        <w:tblPrEx>
          <w:tblCellMar>
            <w:top w:w="0" w:type="dxa"/>
            <w:left w:w="108" w:type="dxa"/>
            <w:bottom w:w="0" w:type="dxa"/>
            <w:right w:w="108" w:type="dxa"/>
          </w:tblCellMar>
        </w:tblPrEx>
        <w:trPr>
          <w:trHeight w:val="439" w:hRule="atLeas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7</w:t>
            </w:r>
          </w:p>
        </w:tc>
        <w:tc>
          <w:tcPr>
            <w:tcW w:w="1440"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仿宋" w:cs="Times New Roman"/>
                <w:sz w:val="28"/>
                <w:szCs w:val="21"/>
              </w:rPr>
            </w:pPr>
            <w:r>
              <w:rPr>
                <w:rFonts w:ascii="宋体" w:hAnsi="宋体" w:eastAsia="仿宋" w:cs="Times New Roman"/>
                <w:sz w:val="28"/>
                <w:szCs w:val="21"/>
              </w:rPr>
              <w:t>万用表</w:t>
            </w:r>
          </w:p>
        </w:tc>
        <w:tc>
          <w:tcPr>
            <w:tcW w:w="2073" w:type="dxa"/>
            <w:tcBorders>
              <w:top w:val="nil"/>
              <w:left w:val="nil"/>
              <w:bottom w:val="single" w:color="auto" w:sz="4" w:space="0"/>
              <w:right w:val="single" w:color="auto" w:sz="4" w:space="0"/>
            </w:tcBorders>
            <w:noWrap w:val="0"/>
            <w:vAlign w:val="center"/>
          </w:tcPr>
          <w:p>
            <w:pPr>
              <w:snapToGrid w:val="0"/>
              <w:jc w:val="left"/>
              <w:rPr>
                <w:rFonts w:hint="eastAsia" w:ascii="宋体" w:hAnsi="宋体" w:eastAsia="仿宋" w:cs="Times New Roman"/>
                <w:sz w:val="24"/>
                <w:szCs w:val="24"/>
              </w:rPr>
            </w:pPr>
            <w:r>
              <w:rPr>
                <w:rFonts w:ascii="宋体" w:hAnsi="宋体"/>
                <w:sz w:val="24"/>
                <w:szCs w:val="24"/>
              </w:rPr>
              <w:t>美国福禄克FLUKE-59 MINI</w:t>
            </w:r>
            <w:r>
              <w:rPr>
                <w:rFonts w:hint="eastAsia" w:ascii="宋体" w:hAnsi="宋体"/>
                <w:sz w:val="24"/>
                <w:szCs w:val="24"/>
                <w:lang w:eastAsia="zh-CN"/>
              </w:rPr>
              <w:t>；</w:t>
            </w:r>
            <w:r>
              <w:rPr>
                <w:rFonts w:ascii="宋体" w:hAnsi="宋体"/>
                <w:sz w:val="24"/>
                <w:szCs w:val="24"/>
              </w:rPr>
              <w:fldChar w:fldCharType="begin"/>
            </w:r>
            <w:r>
              <w:rPr>
                <w:rFonts w:ascii="宋体" w:hAnsi="宋体"/>
                <w:sz w:val="24"/>
                <w:szCs w:val="24"/>
              </w:rPr>
              <w:instrText xml:space="preserve"> HYPERLINK "https://item.jd.com/10447768761.html" \o "可开增值税发票--远距离、大量程--适用钢水铜水铁水铝水--测量准确、稳定" \t "https://search.jd.com/_blank" </w:instrText>
            </w:r>
            <w:r>
              <w:rPr>
                <w:rFonts w:ascii="宋体" w:hAnsi="宋体"/>
                <w:sz w:val="24"/>
                <w:szCs w:val="24"/>
              </w:rPr>
              <w:fldChar w:fldCharType="separate"/>
            </w:r>
            <w:r>
              <w:rPr>
                <w:rFonts w:hint="default" w:ascii="宋体" w:hAnsi="宋体"/>
                <w:sz w:val="24"/>
                <w:szCs w:val="24"/>
              </w:rPr>
              <w:t>泰克曼TM980D</w:t>
            </w:r>
            <w:r>
              <w:rPr>
                <w:rFonts w:hint="default" w:ascii="宋体" w:hAnsi="宋体"/>
                <w:sz w:val="24"/>
                <w:szCs w:val="24"/>
              </w:rPr>
              <w:fldChar w:fldCharType="end"/>
            </w:r>
            <w:r>
              <w:rPr>
                <w:rFonts w:hint="eastAsia" w:ascii="宋体" w:hAnsi="宋体"/>
                <w:sz w:val="24"/>
                <w:szCs w:val="24"/>
                <w:lang w:eastAsia="zh-CN"/>
              </w:rPr>
              <w:t>；</w:t>
            </w:r>
            <w:r>
              <w:rPr>
                <w:rFonts w:ascii="宋体" w:hAnsi="宋体"/>
                <w:sz w:val="24"/>
                <w:szCs w:val="24"/>
              </w:rPr>
              <w:fldChar w:fldCharType="begin"/>
            </w:r>
            <w:r>
              <w:rPr>
                <w:rFonts w:ascii="宋体" w:hAnsi="宋体"/>
                <w:sz w:val="24"/>
                <w:szCs w:val="24"/>
              </w:rPr>
              <w:instrText xml:space="preserve"> HYPERLINK "https://item.jd.com/11260394105.html" \o "-50~1650红外+K型热电偶，快速响应，带USB连接电脑功能" \t "https://search.jd.com/_blank" </w:instrText>
            </w:r>
            <w:r>
              <w:rPr>
                <w:rFonts w:ascii="宋体" w:hAnsi="宋体"/>
                <w:sz w:val="24"/>
                <w:szCs w:val="24"/>
              </w:rPr>
              <w:fldChar w:fldCharType="separate"/>
            </w:r>
            <w:r>
              <w:rPr>
                <w:rFonts w:hint="default" w:ascii="宋体" w:hAnsi="宋体"/>
                <w:sz w:val="24"/>
                <w:szCs w:val="24"/>
              </w:rPr>
              <w:t>CEM华盛昌DT-8867H</w:t>
            </w:r>
            <w:r>
              <w:rPr>
                <w:rFonts w:hint="default" w:ascii="宋体" w:hAnsi="宋体"/>
                <w:sz w:val="24"/>
                <w:szCs w:val="24"/>
              </w:rPr>
              <w:fldChar w:fldCharType="end"/>
            </w:r>
            <w:r>
              <w:rPr>
                <w:rFonts w:ascii="宋体" w:hAnsi="宋体"/>
                <w:sz w:val="24"/>
                <w:szCs w:val="24"/>
              </w:rPr>
              <w:t xml:space="preserve"> </w:t>
            </w:r>
          </w:p>
        </w:tc>
        <w:tc>
          <w:tcPr>
            <w:tcW w:w="2868"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检测线路</w:t>
            </w:r>
          </w:p>
        </w:tc>
        <w:tc>
          <w:tcPr>
            <w:tcW w:w="970"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套</w:t>
            </w:r>
          </w:p>
        </w:tc>
        <w:tc>
          <w:tcPr>
            <w:tcW w:w="1107"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1</w:t>
            </w:r>
          </w:p>
        </w:tc>
      </w:tr>
      <w:tr>
        <w:tblPrEx>
          <w:tblCellMar>
            <w:top w:w="0" w:type="dxa"/>
            <w:left w:w="108" w:type="dxa"/>
            <w:bottom w:w="0" w:type="dxa"/>
            <w:right w:w="108" w:type="dxa"/>
          </w:tblCellMar>
        </w:tblPrEx>
        <w:trPr>
          <w:trHeight w:val="439" w:hRule="atLeas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8</w:t>
            </w:r>
          </w:p>
        </w:tc>
        <w:tc>
          <w:tcPr>
            <w:tcW w:w="1440"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仿宋" w:cs="Times New Roman"/>
                <w:sz w:val="28"/>
                <w:szCs w:val="21"/>
              </w:rPr>
            </w:pPr>
            <w:r>
              <w:rPr>
                <w:rFonts w:ascii="宋体" w:hAnsi="宋体" w:eastAsia="仿宋" w:cs="Times New Roman"/>
                <w:sz w:val="28"/>
                <w:szCs w:val="21"/>
              </w:rPr>
              <w:t>红外线测温仪</w:t>
            </w:r>
          </w:p>
        </w:tc>
        <w:tc>
          <w:tcPr>
            <w:tcW w:w="2073" w:type="dxa"/>
            <w:tcBorders>
              <w:top w:val="nil"/>
              <w:left w:val="nil"/>
              <w:bottom w:val="single" w:color="auto" w:sz="4" w:space="0"/>
              <w:right w:val="single" w:color="auto" w:sz="4" w:space="0"/>
            </w:tcBorders>
            <w:noWrap w:val="0"/>
            <w:vAlign w:val="center"/>
          </w:tcPr>
          <w:p>
            <w:pPr>
              <w:snapToGrid w:val="0"/>
              <w:jc w:val="left"/>
              <w:rPr>
                <w:rFonts w:ascii="宋体" w:hAnsi="宋体" w:eastAsia="仿宋" w:cs="Times New Roman"/>
                <w:sz w:val="24"/>
                <w:szCs w:val="24"/>
              </w:rPr>
            </w:pPr>
            <w:r>
              <w:rPr>
                <w:rFonts w:hint="eastAsia" w:ascii="宋体" w:hAnsi="宋体"/>
                <w:sz w:val="24"/>
                <w:szCs w:val="24"/>
              </w:rPr>
              <w:t>福禄克(FLUKE)F1508</w:t>
            </w:r>
            <w:r>
              <w:rPr>
                <w:rFonts w:hint="eastAsia" w:ascii="宋体" w:hAnsi="宋体"/>
                <w:sz w:val="24"/>
                <w:szCs w:val="24"/>
                <w:lang w:eastAsia="zh-CN"/>
              </w:rPr>
              <w:t>；</w:t>
            </w:r>
            <w:r>
              <w:rPr>
                <w:rFonts w:ascii="宋体" w:hAnsi="宋体"/>
                <w:sz w:val="24"/>
                <w:szCs w:val="24"/>
              </w:rPr>
              <w:fldChar w:fldCharType="begin"/>
            </w:r>
            <w:r>
              <w:rPr>
                <w:rFonts w:ascii="宋体" w:hAnsi="宋体"/>
                <w:sz w:val="24"/>
                <w:szCs w:val="24"/>
              </w:rPr>
              <w:instrText xml:space="preserve"> HYPERLINK "https://item.jd.com/5375478.html" \o "日本三和（sanwa)MG1000兆欧表 250/500V/1000V 三量程数字式绝缘电阻测试仪自动放电" \t "https://search.jd.com/_blank" </w:instrText>
            </w:r>
            <w:r>
              <w:rPr>
                <w:rFonts w:ascii="宋体" w:hAnsi="宋体"/>
                <w:sz w:val="24"/>
                <w:szCs w:val="24"/>
              </w:rPr>
              <w:fldChar w:fldCharType="separate"/>
            </w:r>
            <w:r>
              <w:rPr>
                <w:rFonts w:hint="default" w:ascii="宋体" w:hAnsi="宋体"/>
                <w:sz w:val="24"/>
                <w:szCs w:val="24"/>
              </w:rPr>
              <w:t>日本三和（sanwa)MG1000</w:t>
            </w:r>
            <w:r>
              <w:rPr>
                <w:rFonts w:hint="default" w:ascii="宋体" w:hAnsi="宋体"/>
                <w:sz w:val="24"/>
                <w:szCs w:val="24"/>
              </w:rPr>
              <w:fldChar w:fldCharType="end"/>
            </w:r>
            <w:r>
              <w:rPr>
                <w:rFonts w:hint="eastAsia" w:ascii="宋体" w:hAnsi="宋体"/>
                <w:sz w:val="24"/>
                <w:szCs w:val="24"/>
                <w:lang w:eastAsia="zh-CN"/>
              </w:rPr>
              <w:t>；</w:t>
            </w:r>
            <w:r>
              <w:rPr>
                <w:rFonts w:ascii="宋体" w:hAnsi="宋体"/>
                <w:sz w:val="24"/>
                <w:szCs w:val="24"/>
              </w:rPr>
              <w:fldChar w:fldCharType="begin"/>
            </w:r>
            <w:r>
              <w:rPr>
                <w:rFonts w:ascii="宋体" w:hAnsi="宋体"/>
                <w:sz w:val="24"/>
                <w:szCs w:val="24"/>
              </w:rPr>
              <w:instrText xml:space="preserve"> HYPERLINK "https://item.jd.com/4773832.html" \o "京东自营，品质保证！500/1000/1500/2500/5000V,背光，数据存储，USB接口及软件，极化指数及吸收比测量,自动放电，高压输出报警，电压测量，自动关机，可定时测量，配电源适配器供电…" \t "https://search.jd.com/_blank" </w:instrText>
            </w:r>
            <w:r>
              <w:rPr>
                <w:rFonts w:ascii="宋体" w:hAnsi="宋体"/>
                <w:sz w:val="24"/>
                <w:szCs w:val="24"/>
              </w:rPr>
              <w:fldChar w:fldCharType="separate"/>
            </w:r>
            <w:r>
              <w:rPr>
                <w:rFonts w:hint="default" w:ascii="宋体" w:hAnsi="宋体"/>
                <w:sz w:val="24"/>
                <w:szCs w:val="24"/>
              </w:rPr>
              <w:t>优利德（UNI-T）UT513</w:t>
            </w:r>
            <w:r>
              <w:rPr>
                <w:rFonts w:hint="default" w:ascii="宋体" w:hAnsi="宋体"/>
                <w:sz w:val="24"/>
                <w:szCs w:val="24"/>
              </w:rPr>
              <w:fldChar w:fldCharType="end"/>
            </w:r>
          </w:p>
        </w:tc>
        <w:tc>
          <w:tcPr>
            <w:tcW w:w="2868"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检测温度</w:t>
            </w:r>
          </w:p>
        </w:tc>
        <w:tc>
          <w:tcPr>
            <w:tcW w:w="970"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套</w:t>
            </w:r>
          </w:p>
        </w:tc>
        <w:tc>
          <w:tcPr>
            <w:tcW w:w="1107"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1</w:t>
            </w:r>
          </w:p>
        </w:tc>
      </w:tr>
      <w:tr>
        <w:tblPrEx>
          <w:tblCellMar>
            <w:top w:w="0" w:type="dxa"/>
            <w:left w:w="108" w:type="dxa"/>
            <w:bottom w:w="0" w:type="dxa"/>
            <w:right w:w="108" w:type="dxa"/>
          </w:tblCellMar>
        </w:tblPrEx>
        <w:trPr>
          <w:trHeight w:val="439" w:hRule="atLeas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仿宋" w:cs="Times New Roman"/>
                <w:sz w:val="28"/>
                <w:szCs w:val="21"/>
              </w:rPr>
            </w:pPr>
            <w:r>
              <w:rPr>
                <w:rFonts w:hint="eastAsia" w:ascii="宋体" w:hAnsi="宋体" w:eastAsia="仿宋" w:cs="Times New Roman"/>
                <w:sz w:val="28"/>
                <w:szCs w:val="21"/>
              </w:rPr>
              <w:t>9</w:t>
            </w:r>
          </w:p>
        </w:tc>
        <w:tc>
          <w:tcPr>
            <w:tcW w:w="1440"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仿宋" w:hAnsi="仿宋" w:eastAsia="仿宋" w:cs="仿宋"/>
                <w:bCs/>
                <w:sz w:val="28"/>
                <w:szCs w:val="28"/>
                <w:shd w:val="clear" w:color="auto" w:fill="FFFFFF"/>
              </w:rPr>
              <w:t>数字式绝缘电阻测试仪</w:t>
            </w:r>
          </w:p>
        </w:tc>
        <w:tc>
          <w:tcPr>
            <w:tcW w:w="2073" w:type="dxa"/>
            <w:tcBorders>
              <w:top w:val="nil"/>
              <w:left w:val="nil"/>
              <w:bottom w:val="single" w:color="auto" w:sz="4" w:space="0"/>
              <w:right w:val="single" w:color="auto" w:sz="4" w:space="0"/>
            </w:tcBorders>
            <w:noWrap w:val="0"/>
            <w:vAlign w:val="center"/>
          </w:tcPr>
          <w:p>
            <w:pPr>
              <w:snapToGrid w:val="0"/>
              <w:jc w:val="left"/>
              <w:rPr>
                <w:rFonts w:ascii="宋体" w:hAnsi="宋体" w:eastAsia="仿宋" w:cs="Times New Roman"/>
                <w:sz w:val="24"/>
                <w:szCs w:val="24"/>
              </w:rPr>
            </w:pPr>
            <w:r>
              <w:rPr>
                <w:rFonts w:hint="eastAsia" w:ascii="宋体" w:hAnsi="宋体"/>
                <w:sz w:val="24"/>
                <w:szCs w:val="24"/>
                <w:lang w:eastAsia="zh-CN"/>
              </w:rPr>
              <w:t>胜利</w:t>
            </w:r>
            <w:r>
              <w:rPr>
                <w:rFonts w:hint="eastAsia" w:ascii="宋体" w:hAnsi="宋体"/>
                <w:sz w:val="24"/>
                <w:szCs w:val="24"/>
                <w:lang w:eastAsia="zh-CN"/>
              </w:rPr>
              <w:fldChar w:fldCharType="begin"/>
            </w:r>
            <w:r>
              <w:rPr>
                <w:rFonts w:hint="eastAsia" w:ascii="宋体" w:hAnsi="宋体"/>
                <w:sz w:val="24"/>
                <w:szCs w:val="24"/>
                <w:lang w:eastAsia="zh-CN"/>
              </w:rPr>
              <w:instrText xml:space="preserve"> HYPERLINK "https://item.jd.com/29434317345.html" \o "" \t "https://search.jd.com/_blank" </w:instrText>
            </w:r>
            <w:r>
              <w:rPr>
                <w:rFonts w:hint="eastAsia" w:ascii="宋体" w:hAnsi="宋体"/>
                <w:sz w:val="24"/>
                <w:szCs w:val="24"/>
                <w:lang w:eastAsia="zh-CN"/>
              </w:rPr>
              <w:fldChar w:fldCharType="separate"/>
            </w:r>
            <w:r>
              <w:rPr>
                <w:rFonts w:hint="default" w:ascii="宋体" w:hAnsi="宋体"/>
                <w:sz w:val="24"/>
                <w:szCs w:val="24"/>
                <w:lang w:eastAsia="zh-CN"/>
              </w:rPr>
              <w:t>VC980+</w:t>
            </w:r>
            <w:r>
              <w:rPr>
                <w:rFonts w:hint="default" w:ascii="宋体" w:hAnsi="宋体"/>
                <w:sz w:val="24"/>
                <w:szCs w:val="24"/>
                <w:lang w:eastAsia="zh-CN"/>
              </w:rPr>
              <w:fldChar w:fldCharType="end"/>
            </w:r>
            <w:r>
              <w:rPr>
                <w:rFonts w:hint="eastAsia" w:ascii="宋体" w:hAnsi="宋体"/>
                <w:sz w:val="24"/>
                <w:szCs w:val="24"/>
                <w:lang w:eastAsia="zh-CN"/>
              </w:rPr>
              <w:t>、</w:t>
            </w:r>
            <w:r>
              <w:rPr>
                <w:rFonts w:hint="eastAsia" w:ascii="宋体" w:hAnsi="宋体"/>
                <w:sz w:val="24"/>
                <w:szCs w:val="24"/>
                <w:lang w:eastAsia="zh-CN"/>
              </w:rPr>
              <w:fldChar w:fldCharType="begin"/>
            </w:r>
            <w:r>
              <w:rPr>
                <w:rFonts w:hint="eastAsia" w:ascii="宋体" w:hAnsi="宋体"/>
                <w:sz w:val="24"/>
                <w:szCs w:val="24"/>
                <w:lang w:eastAsia="zh-CN"/>
              </w:rPr>
              <w:instrText xml:space="preserve"> HYPERLINK "https://item.jd.com/1188173.html" \o "福禄克（FLUKE）15B+数字万用表 掌上型多用表 自动量程 带背光 仪器仪表" \t "https://search.jd.com/_blank" </w:instrText>
            </w:r>
            <w:r>
              <w:rPr>
                <w:rFonts w:hint="eastAsia" w:ascii="宋体" w:hAnsi="宋体"/>
                <w:sz w:val="24"/>
                <w:szCs w:val="24"/>
                <w:lang w:eastAsia="zh-CN"/>
              </w:rPr>
              <w:fldChar w:fldCharType="separate"/>
            </w:r>
            <w:r>
              <w:rPr>
                <w:rFonts w:hint="default" w:ascii="宋体" w:hAnsi="宋体"/>
                <w:sz w:val="24"/>
                <w:szCs w:val="24"/>
                <w:lang w:eastAsia="zh-CN"/>
              </w:rPr>
              <w:t>福禄克</w:t>
            </w:r>
            <w:r>
              <w:rPr>
                <w:rFonts w:hint="default" w:ascii="宋体" w:hAnsi="宋体"/>
                <w:sz w:val="24"/>
                <w:szCs w:val="24"/>
                <w:lang w:eastAsia="zh-CN"/>
              </w:rPr>
              <w:fldChar w:fldCharType="end"/>
            </w:r>
            <w:r>
              <w:rPr>
                <w:rFonts w:hint="eastAsia" w:ascii="宋体" w:hAnsi="宋体"/>
                <w:sz w:val="24"/>
                <w:szCs w:val="24"/>
                <w:lang w:val="en-US" w:eastAsia="zh-CN"/>
              </w:rPr>
              <w:t>F101</w:t>
            </w:r>
            <w:r>
              <w:rPr>
                <w:rFonts w:hint="eastAsia" w:ascii="宋体" w:hAnsi="宋体"/>
                <w:sz w:val="24"/>
                <w:szCs w:val="24"/>
                <w:lang w:eastAsia="zh-CN"/>
              </w:rPr>
              <w:t>、世达</w:t>
            </w:r>
            <w:r>
              <w:rPr>
                <w:rFonts w:hint="eastAsia" w:ascii="宋体" w:hAnsi="宋体"/>
                <w:sz w:val="24"/>
                <w:szCs w:val="24"/>
                <w:lang w:val="en-US" w:eastAsia="zh-CN"/>
              </w:rPr>
              <w:t>03005</w:t>
            </w:r>
          </w:p>
        </w:tc>
        <w:tc>
          <w:tcPr>
            <w:tcW w:w="2868"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检测线路</w:t>
            </w:r>
          </w:p>
        </w:tc>
        <w:tc>
          <w:tcPr>
            <w:tcW w:w="970"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套</w:t>
            </w:r>
          </w:p>
        </w:tc>
        <w:tc>
          <w:tcPr>
            <w:tcW w:w="1107"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1</w:t>
            </w:r>
          </w:p>
        </w:tc>
      </w:tr>
      <w:tr>
        <w:tblPrEx>
          <w:tblCellMar>
            <w:top w:w="0" w:type="dxa"/>
            <w:left w:w="108" w:type="dxa"/>
            <w:bottom w:w="0" w:type="dxa"/>
            <w:right w:w="108" w:type="dxa"/>
          </w:tblCellMar>
        </w:tblPrEx>
        <w:trPr>
          <w:trHeight w:val="439"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10</w:t>
            </w:r>
          </w:p>
        </w:tc>
        <w:tc>
          <w:tcPr>
            <w:tcW w:w="1440" w:type="dxa"/>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不锈钢双脚梯(2米)</w:t>
            </w:r>
          </w:p>
        </w:tc>
        <w:tc>
          <w:tcPr>
            <w:tcW w:w="2073" w:type="dxa"/>
            <w:tcBorders>
              <w:top w:val="single" w:color="auto" w:sz="4" w:space="0"/>
              <w:left w:val="nil"/>
              <w:bottom w:val="single" w:color="auto" w:sz="4" w:space="0"/>
              <w:right w:val="single" w:color="auto" w:sz="4" w:space="0"/>
            </w:tcBorders>
            <w:noWrap w:val="0"/>
            <w:vAlign w:val="center"/>
          </w:tcPr>
          <w:p>
            <w:pPr>
              <w:snapToGrid w:val="0"/>
              <w:jc w:val="left"/>
              <w:rPr>
                <w:rFonts w:ascii="宋体" w:hAnsi="宋体" w:eastAsia="仿宋" w:cs="Times New Roman"/>
                <w:sz w:val="24"/>
                <w:szCs w:val="24"/>
              </w:rPr>
            </w:pPr>
            <w:r>
              <w:rPr>
                <w:rFonts w:hint="eastAsia" w:ascii="宋体" w:hAnsi="宋体"/>
                <w:sz w:val="24"/>
                <w:szCs w:val="24"/>
              </w:rPr>
              <w:t>国产优质</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方便走线，维修设备</w:t>
            </w:r>
          </w:p>
        </w:tc>
        <w:tc>
          <w:tcPr>
            <w:tcW w:w="97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架</w:t>
            </w:r>
          </w:p>
        </w:tc>
        <w:tc>
          <w:tcPr>
            <w:tcW w:w="110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1</w:t>
            </w:r>
          </w:p>
        </w:tc>
      </w:tr>
      <w:tr>
        <w:tblPrEx>
          <w:tblCellMar>
            <w:top w:w="0" w:type="dxa"/>
            <w:left w:w="108" w:type="dxa"/>
            <w:bottom w:w="0" w:type="dxa"/>
            <w:right w:w="108" w:type="dxa"/>
          </w:tblCellMar>
        </w:tblPrEx>
        <w:trPr>
          <w:trHeight w:val="439"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11</w:t>
            </w:r>
          </w:p>
        </w:tc>
        <w:tc>
          <w:tcPr>
            <w:tcW w:w="1440" w:type="dxa"/>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ascii="宋体" w:hAnsi="宋体" w:eastAsia="仿宋" w:cs="Times New Roman"/>
                <w:sz w:val="28"/>
                <w:szCs w:val="21"/>
              </w:rPr>
              <w:t>多功能</w:t>
            </w:r>
            <w:r>
              <w:rPr>
                <w:rFonts w:hint="eastAsia" w:ascii="宋体" w:hAnsi="宋体" w:eastAsia="仿宋" w:cs="Times New Roman"/>
                <w:sz w:val="28"/>
                <w:szCs w:val="21"/>
              </w:rPr>
              <w:t>工具箱</w:t>
            </w:r>
          </w:p>
        </w:tc>
        <w:tc>
          <w:tcPr>
            <w:tcW w:w="2073" w:type="dxa"/>
            <w:tcBorders>
              <w:top w:val="single" w:color="auto" w:sz="4" w:space="0"/>
              <w:left w:val="nil"/>
              <w:bottom w:val="single" w:color="auto" w:sz="4" w:space="0"/>
              <w:right w:val="single" w:color="auto" w:sz="4" w:space="0"/>
            </w:tcBorders>
            <w:noWrap w:val="0"/>
            <w:vAlign w:val="center"/>
          </w:tcPr>
          <w:p>
            <w:pPr>
              <w:snapToGrid w:val="0"/>
              <w:jc w:val="left"/>
              <w:rPr>
                <w:rFonts w:ascii="宋体" w:hAnsi="宋体" w:eastAsia="仿宋" w:cs="Times New Roman"/>
                <w:sz w:val="24"/>
                <w:szCs w:val="24"/>
              </w:rPr>
            </w:pPr>
            <w:r>
              <w:rPr>
                <w:rFonts w:hint="eastAsia" w:ascii="宋体" w:hAnsi="宋体"/>
                <w:sz w:val="24"/>
                <w:szCs w:val="24"/>
              </w:rPr>
              <w:t>国产优质</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空箱，存放零散工具</w:t>
            </w:r>
          </w:p>
        </w:tc>
        <w:tc>
          <w:tcPr>
            <w:tcW w:w="97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个</w:t>
            </w:r>
          </w:p>
        </w:tc>
        <w:tc>
          <w:tcPr>
            <w:tcW w:w="110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1</w:t>
            </w:r>
          </w:p>
        </w:tc>
      </w:tr>
      <w:tr>
        <w:tblPrEx>
          <w:tblCellMar>
            <w:top w:w="0" w:type="dxa"/>
            <w:left w:w="108" w:type="dxa"/>
            <w:bottom w:w="0" w:type="dxa"/>
            <w:right w:w="108" w:type="dxa"/>
          </w:tblCellMar>
        </w:tblPrEx>
        <w:trPr>
          <w:trHeight w:val="439"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仿宋" w:cs="Times New Roman"/>
                <w:sz w:val="28"/>
                <w:szCs w:val="21"/>
              </w:rPr>
            </w:pPr>
            <w:r>
              <w:rPr>
                <w:rFonts w:hint="eastAsia" w:ascii="宋体" w:hAnsi="宋体" w:eastAsia="仿宋" w:cs="Times New Roman"/>
                <w:sz w:val="28"/>
                <w:szCs w:val="21"/>
              </w:rPr>
              <w:t>12</w:t>
            </w:r>
          </w:p>
        </w:tc>
        <w:tc>
          <w:tcPr>
            <w:tcW w:w="1440" w:type="dxa"/>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对讲机</w:t>
            </w:r>
          </w:p>
        </w:tc>
        <w:tc>
          <w:tcPr>
            <w:tcW w:w="2073"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宋体" w:hAnsi="宋体" w:eastAsia="仿宋" w:cs="Times New Roman"/>
                <w:sz w:val="24"/>
                <w:szCs w:val="24"/>
              </w:rPr>
            </w:pPr>
            <w:r>
              <w:rPr>
                <w:rFonts w:hint="eastAsia" w:ascii="宋体" w:hAnsi="宋体"/>
                <w:sz w:val="24"/>
                <w:szCs w:val="24"/>
              </w:rPr>
              <w:t>摩托罗拉</w:t>
            </w:r>
            <w:r>
              <w:rPr>
                <w:rFonts w:hint="eastAsia" w:ascii="宋体" w:hAnsi="宋体"/>
                <w:sz w:val="24"/>
                <w:szCs w:val="24"/>
                <w:lang w:val="en-US" w:eastAsia="zh-CN"/>
              </w:rPr>
              <w:t>V168;宝峰</w:t>
            </w:r>
            <w:r>
              <w:rPr>
                <w:rFonts w:hint="eastAsia" w:ascii="宋体" w:hAnsi="宋体"/>
                <w:sz w:val="24"/>
                <w:szCs w:val="24"/>
              </w:rPr>
              <w:fldChar w:fldCharType="begin"/>
            </w:r>
            <w:r>
              <w:rPr>
                <w:rFonts w:hint="eastAsia" w:ascii="宋体" w:hAnsi="宋体"/>
                <w:sz w:val="24"/>
                <w:szCs w:val="24"/>
              </w:rPr>
              <w:instrText xml:space="preserve"> HYPERLINK "https://item.jd.com/62180343557.html" \o "1、工厂授权专卖，可开专票；2、高性价比，洪亮无杂音，参考距离1到10公里；3、机身3年保修；4、赠USB直充线；5、每台机器赠送耳机；6、京东放心购，赠运费险" \t "https://search.jd.com/_blank" </w:instrText>
            </w:r>
            <w:r>
              <w:rPr>
                <w:rFonts w:hint="eastAsia" w:ascii="宋体" w:hAnsi="宋体"/>
                <w:sz w:val="24"/>
                <w:szCs w:val="24"/>
              </w:rPr>
              <w:fldChar w:fldCharType="separate"/>
            </w:r>
            <w:r>
              <w:rPr>
                <w:rFonts w:hint="default" w:ascii="宋体" w:hAnsi="宋体"/>
                <w:sz w:val="24"/>
                <w:szCs w:val="24"/>
              </w:rPr>
              <w:t>BF-888S</w:t>
            </w:r>
            <w:r>
              <w:rPr>
                <w:rFonts w:hint="eastAsia" w:ascii="宋体" w:hAnsi="宋体"/>
                <w:sz w:val="24"/>
                <w:szCs w:val="24"/>
                <w:lang w:eastAsia="zh-CN"/>
              </w:rPr>
              <w:t>；</w:t>
            </w:r>
            <w:r>
              <w:rPr>
                <w:rFonts w:hint="default" w:ascii="宋体" w:hAnsi="宋体"/>
                <w:sz w:val="24"/>
                <w:szCs w:val="24"/>
              </w:rPr>
              <w:fldChar w:fldCharType="end"/>
            </w:r>
            <w:r>
              <w:rPr>
                <w:rFonts w:hint="eastAsia" w:ascii="宋体" w:hAnsi="宋体"/>
                <w:sz w:val="24"/>
                <w:szCs w:val="24"/>
              </w:rPr>
              <w:fldChar w:fldCharType="begin"/>
            </w:r>
            <w:r>
              <w:rPr>
                <w:rFonts w:hint="eastAsia" w:ascii="宋体" w:hAnsi="宋体"/>
                <w:sz w:val="24"/>
                <w:szCs w:val="24"/>
              </w:rPr>
              <w:instrText xml:space="preserve"> HYPERLINK "https://item.jd.com/100010049842.html" \o "海能达（Hytera）TC310 对讲机 商业民用专业对讲机 (450-470MHz)" \t "https://search.jd.com/_blank" </w:instrText>
            </w:r>
            <w:r>
              <w:rPr>
                <w:rFonts w:hint="eastAsia" w:ascii="宋体" w:hAnsi="宋体"/>
                <w:sz w:val="24"/>
                <w:szCs w:val="24"/>
              </w:rPr>
              <w:fldChar w:fldCharType="separate"/>
            </w:r>
            <w:r>
              <w:rPr>
                <w:rFonts w:hint="default" w:ascii="宋体" w:hAnsi="宋体"/>
                <w:sz w:val="24"/>
                <w:szCs w:val="24"/>
              </w:rPr>
              <w:t>海能达TC310 </w:t>
            </w:r>
            <w:r>
              <w:rPr>
                <w:rFonts w:hint="default" w:ascii="宋体" w:hAnsi="宋体"/>
                <w:sz w:val="24"/>
                <w:szCs w:val="24"/>
              </w:rPr>
              <w:fldChar w:fldCharType="end"/>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机房工作联系</w:t>
            </w:r>
          </w:p>
        </w:tc>
        <w:tc>
          <w:tcPr>
            <w:tcW w:w="97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对</w:t>
            </w:r>
          </w:p>
        </w:tc>
        <w:tc>
          <w:tcPr>
            <w:tcW w:w="110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1</w:t>
            </w:r>
          </w:p>
        </w:tc>
      </w:tr>
      <w:tr>
        <w:tblPrEx>
          <w:tblCellMar>
            <w:top w:w="0" w:type="dxa"/>
            <w:left w:w="108" w:type="dxa"/>
            <w:bottom w:w="0" w:type="dxa"/>
            <w:right w:w="108" w:type="dxa"/>
          </w:tblCellMar>
        </w:tblPrEx>
        <w:trPr>
          <w:trHeight w:val="439"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仿宋" w:cs="Times New Roman"/>
                <w:sz w:val="28"/>
                <w:szCs w:val="21"/>
              </w:rPr>
            </w:pPr>
            <w:r>
              <w:rPr>
                <w:rFonts w:hint="eastAsia" w:ascii="宋体" w:hAnsi="宋体" w:eastAsia="仿宋" w:cs="Times New Roman"/>
                <w:sz w:val="28"/>
                <w:szCs w:val="21"/>
              </w:rPr>
              <w:t>13</w:t>
            </w:r>
          </w:p>
        </w:tc>
        <w:tc>
          <w:tcPr>
            <w:tcW w:w="1440" w:type="dxa"/>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电动起子</w:t>
            </w:r>
          </w:p>
        </w:tc>
        <w:tc>
          <w:tcPr>
            <w:tcW w:w="2073"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宋体" w:hAnsi="宋体" w:eastAsia="宋体" w:cs="Times New Roman"/>
                <w:sz w:val="24"/>
                <w:szCs w:val="24"/>
              </w:rPr>
            </w:pPr>
            <w:r>
              <w:rPr>
                <w:rFonts w:hint="eastAsia" w:ascii="宋体" w:hAnsi="宋体"/>
                <w:sz w:val="24"/>
                <w:szCs w:val="24"/>
              </w:rPr>
              <w:t>博世</w:t>
            </w:r>
            <w:r>
              <w:rPr>
                <w:rFonts w:hint="eastAsia" w:ascii="宋体" w:hAnsi="宋体" w:eastAsia="宋体" w:cs="宋体"/>
                <w:bCs/>
                <w:color w:val="000000"/>
                <w:sz w:val="24"/>
                <w:szCs w:val="24"/>
                <w:shd w:val="clear" w:color="auto" w:fill="FFFFFF"/>
              </w:rPr>
              <w:t>BOSCH GO 2</w:t>
            </w:r>
            <w:r>
              <w:rPr>
                <w:rFonts w:hint="eastAsia" w:ascii="宋体" w:hAnsi="宋体" w:eastAsia="宋体" w:cs="宋体"/>
                <w:bCs/>
                <w:color w:val="000000"/>
                <w:sz w:val="24"/>
                <w:szCs w:val="24"/>
                <w:shd w:val="clear" w:color="auto" w:fill="FFFFFF"/>
                <w:lang w:eastAsia="zh-CN"/>
              </w:rPr>
              <w:t>；</w:t>
            </w:r>
            <w:r>
              <w:rPr>
                <w:rFonts w:hint="eastAsia" w:ascii="宋体" w:hAnsi="宋体"/>
                <w:sz w:val="24"/>
                <w:szCs w:val="24"/>
              </w:rPr>
              <w:t>东成DCJZ10-10E</w:t>
            </w:r>
            <w:r>
              <w:rPr>
                <w:rFonts w:hint="eastAsia" w:ascii="宋体" w:hAnsi="宋体"/>
                <w:sz w:val="24"/>
                <w:szCs w:val="24"/>
                <w:lang w:val="en-US" w:eastAsia="zh-CN"/>
              </w:rPr>
              <w:t>；</w:t>
            </w:r>
            <w:r>
              <w:rPr>
                <w:rFonts w:hint="eastAsia" w:ascii="宋体" w:hAnsi="宋体"/>
                <w:sz w:val="24"/>
                <w:szCs w:val="24"/>
              </w:rPr>
              <w:t>史丹利SCS4K-A</w:t>
            </w:r>
            <w:r>
              <w:rPr>
                <w:rFonts w:ascii="Arial" w:hAnsi="Arial" w:eastAsia="宋体" w:cs="Arial"/>
                <w:b/>
                <w:i w:val="0"/>
                <w:caps w:val="0"/>
                <w:color w:val="666666"/>
                <w:spacing w:val="0"/>
                <w:sz w:val="24"/>
                <w:szCs w:val="24"/>
                <w:shd w:val="clear" w:color="auto" w:fill="FFFFFF"/>
              </w:rPr>
              <w:t>9</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设备安装</w:t>
            </w:r>
          </w:p>
        </w:tc>
        <w:tc>
          <w:tcPr>
            <w:tcW w:w="97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套</w:t>
            </w:r>
          </w:p>
        </w:tc>
        <w:tc>
          <w:tcPr>
            <w:tcW w:w="110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2</w:t>
            </w:r>
          </w:p>
        </w:tc>
      </w:tr>
      <w:tr>
        <w:tblPrEx>
          <w:tblCellMar>
            <w:top w:w="0" w:type="dxa"/>
            <w:left w:w="108" w:type="dxa"/>
            <w:bottom w:w="0" w:type="dxa"/>
            <w:right w:w="108" w:type="dxa"/>
          </w:tblCellMar>
        </w:tblPrEx>
        <w:trPr>
          <w:trHeight w:val="439"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仿宋" w:cs="Times New Roman"/>
                <w:sz w:val="28"/>
                <w:szCs w:val="21"/>
              </w:rPr>
            </w:pPr>
            <w:r>
              <w:rPr>
                <w:rFonts w:hint="eastAsia" w:ascii="宋体" w:hAnsi="宋体" w:eastAsia="仿宋" w:cs="Times New Roman"/>
                <w:sz w:val="28"/>
                <w:szCs w:val="21"/>
              </w:rPr>
              <w:t>14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六类非屏蔽铜缆跳线</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仿宋" w:cs="Times New Roman"/>
                <w:sz w:val="24"/>
                <w:szCs w:val="24"/>
              </w:rPr>
            </w:pPr>
            <w:r>
              <w:rPr>
                <w:rFonts w:hint="eastAsia" w:ascii="宋体" w:hAnsi="宋体"/>
                <w:sz w:val="24"/>
                <w:szCs w:val="24"/>
              </w:rPr>
              <w:t>康普、康宁、</w:t>
            </w:r>
            <w:r>
              <w:rPr>
                <w:rFonts w:hint="eastAsia" w:ascii="宋体" w:hAnsi="宋体"/>
                <w:sz w:val="24"/>
                <w:szCs w:val="24"/>
                <w:lang w:eastAsia="zh-CN"/>
              </w:rPr>
              <w:t>美国西蒙</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成品跳线，2m，LSZH</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条</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5</w:t>
            </w:r>
            <w:r>
              <w:rPr>
                <w:rFonts w:ascii="宋体" w:hAnsi="宋体" w:eastAsia="仿宋" w:cs="Times New Roman"/>
                <w:sz w:val="28"/>
                <w:szCs w:val="21"/>
              </w:rPr>
              <w:t>0</w:t>
            </w:r>
          </w:p>
        </w:tc>
      </w:tr>
      <w:tr>
        <w:tblPrEx>
          <w:tblCellMar>
            <w:top w:w="0" w:type="dxa"/>
            <w:left w:w="108" w:type="dxa"/>
            <w:bottom w:w="0" w:type="dxa"/>
            <w:right w:w="108" w:type="dxa"/>
          </w:tblCellMar>
        </w:tblPrEx>
        <w:trPr>
          <w:trHeight w:val="439"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仿宋" w:cs="Times New Roman"/>
                <w:sz w:val="28"/>
                <w:szCs w:val="21"/>
              </w:rPr>
            </w:pPr>
            <w:r>
              <w:rPr>
                <w:rFonts w:hint="eastAsia" w:ascii="宋体" w:hAnsi="宋体" w:eastAsia="仿宋" w:cs="Times New Roman"/>
                <w:sz w:val="28"/>
                <w:szCs w:val="21"/>
              </w:rPr>
              <w:t>15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六类非屏蔽铜缆跳线</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仿宋" w:cs="Times New Roman"/>
                <w:sz w:val="24"/>
                <w:szCs w:val="24"/>
              </w:rPr>
            </w:pPr>
            <w:r>
              <w:rPr>
                <w:rFonts w:hint="eastAsia" w:ascii="宋体" w:hAnsi="宋体"/>
                <w:sz w:val="24"/>
                <w:szCs w:val="24"/>
              </w:rPr>
              <w:t>康普、康宁、</w:t>
            </w:r>
            <w:r>
              <w:rPr>
                <w:rFonts w:hint="eastAsia" w:ascii="宋体" w:hAnsi="宋体"/>
                <w:sz w:val="24"/>
                <w:szCs w:val="24"/>
                <w:lang w:eastAsia="zh-CN"/>
              </w:rPr>
              <w:t>美国西蒙</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成品跳线，</w:t>
            </w:r>
            <w:r>
              <w:rPr>
                <w:rFonts w:ascii="宋体" w:hAnsi="宋体" w:eastAsia="仿宋" w:cs="Times New Roman"/>
                <w:sz w:val="28"/>
                <w:szCs w:val="21"/>
              </w:rPr>
              <w:t>3</w:t>
            </w:r>
            <w:r>
              <w:rPr>
                <w:rFonts w:hint="eastAsia" w:ascii="宋体" w:hAnsi="宋体" w:eastAsia="仿宋" w:cs="Times New Roman"/>
                <w:sz w:val="28"/>
                <w:szCs w:val="21"/>
              </w:rPr>
              <w:t>m，LSZH</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条</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5</w:t>
            </w:r>
            <w:r>
              <w:rPr>
                <w:rFonts w:ascii="宋体" w:hAnsi="宋体" w:eastAsia="仿宋" w:cs="Times New Roman"/>
                <w:sz w:val="28"/>
                <w:szCs w:val="21"/>
              </w:rPr>
              <w:t>0</w:t>
            </w:r>
          </w:p>
        </w:tc>
      </w:tr>
      <w:tr>
        <w:tblPrEx>
          <w:tblCellMar>
            <w:top w:w="0" w:type="dxa"/>
            <w:left w:w="108" w:type="dxa"/>
            <w:bottom w:w="0" w:type="dxa"/>
            <w:right w:w="108" w:type="dxa"/>
          </w:tblCellMar>
        </w:tblPrEx>
        <w:trPr>
          <w:trHeight w:val="439"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ascii="宋体" w:hAnsi="宋体" w:eastAsia="仿宋" w:cs="Times New Roman"/>
                <w:sz w:val="28"/>
                <w:szCs w:val="21"/>
              </w:rPr>
            </w:pPr>
            <w:r>
              <w:rPr>
                <w:rFonts w:hint="eastAsia" w:ascii="宋体" w:hAnsi="宋体" w:eastAsia="仿宋" w:cs="Times New Roman"/>
                <w:sz w:val="28"/>
                <w:szCs w:val="21"/>
              </w:rPr>
              <w:t>16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六类非屏蔽铜缆跳线</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仿宋" w:cs="Times New Roman"/>
                <w:sz w:val="24"/>
                <w:szCs w:val="24"/>
              </w:rPr>
            </w:pPr>
            <w:r>
              <w:rPr>
                <w:rFonts w:hint="eastAsia" w:ascii="宋体" w:hAnsi="宋体"/>
                <w:sz w:val="24"/>
                <w:szCs w:val="24"/>
              </w:rPr>
              <w:t>康普、康宁、</w:t>
            </w:r>
            <w:r>
              <w:rPr>
                <w:rFonts w:hint="eastAsia" w:ascii="宋体" w:hAnsi="宋体"/>
                <w:sz w:val="24"/>
                <w:szCs w:val="24"/>
                <w:lang w:eastAsia="zh-CN"/>
              </w:rPr>
              <w:t>美国西蒙</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成品跳线，</w:t>
            </w:r>
            <w:r>
              <w:rPr>
                <w:rFonts w:ascii="宋体" w:hAnsi="宋体" w:eastAsia="仿宋" w:cs="Times New Roman"/>
                <w:sz w:val="28"/>
                <w:szCs w:val="21"/>
              </w:rPr>
              <w:t>5</w:t>
            </w:r>
            <w:r>
              <w:rPr>
                <w:rFonts w:hint="eastAsia" w:ascii="宋体" w:hAnsi="宋体" w:eastAsia="仿宋" w:cs="Times New Roman"/>
                <w:sz w:val="28"/>
                <w:szCs w:val="21"/>
              </w:rPr>
              <w:t>m，LSZH</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条</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2</w:t>
            </w:r>
            <w:r>
              <w:rPr>
                <w:rFonts w:ascii="宋体" w:hAnsi="宋体" w:eastAsia="仿宋" w:cs="Times New Roman"/>
                <w:sz w:val="28"/>
                <w:szCs w:val="21"/>
              </w:rPr>
              <w:t>0</w:t>
            </w:r>
          </w:p>
        </w:tc>
      </w:tr>
      <w:tr>
        <w:tblPrEx>
          <w:tblCellMar>
            <w:top w:w="0" w:type="dxa"/>
            <w:left w:w="108" w:type="dxa"/>
            <w:bottom w:w="0" w:type="dxa"/>
            <w:right w:w="108" w:type="dxa"/>
          </w:tblCellMar>
        </w:tblPrEx>
        <w:trPr>
          <w:trHeight w:val="439"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ascii="宋体" w:hAnsi="宋体" w:eastAsia="仿宋" w:cs="Times New Roman"/>
                <w:sz w:val="28"/>
                <w:szCs w:val="21"/>
              </w:rPr>
            </w:pPr>
            <w:r>
              <w:rPr>
                <w:rFonts w:hint="eastAsia" w:ascii="宋体" w:hAnsi="宋体" w:eastAsia="仿宋" w:cs="Times New Roman"/>
                <w:sz w:val="28"/>
                <w:szCs w:val="21"/>
              </w:rPr>
              <w:t>17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六类非屏蔽铜缆跳线</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仿宋" w:cs="Times New Roman"/>
                <w:sz w:val="24"/>
                <w:szCs w:val="24"/>
              </w:rPr>
            </w:pPr>
            <w:r>
              <w:rPr>
                <w:rFonts w:hint="eastAsia" w:ascii="宋体" w:hAnsi="宋体"/>
                <w:sz w:val="24"/>
                <w:szCs w:val="24"/>
              </w:rPr>
              <w:t>康普、康宁、</w:t>
            </w:r>
            <w:r>
              <w:rPr>
                <w:rFonts w:hint="eastAsia" w:ascii="宋体" w:hAnsi="宋体"/>
                <w:sz w:val="24"/>
                <w:szCs w:val="24"/>
                <w:lang w:eastAsia="zh-CN"/>
              </w:rPr>
              <w:t>美国西蒙</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成品跳线，</w:t>
            </w:r>
            <w:r>
              <w:rPr>
                <w:rFonts w:ascii="宋体" w:hAnsi="宋体" w:eastAsia="仿宋" w:cs="Times New Roman"/>
                <w:sz w:val="28"/>
                <w:szCs w:val="21"/>
              </w:rPr>
              <w:t>10</w:t>
            </w:r>
            <w:r>
              <w:rPr>
                <w:rFonts w:hint="eastAsia" w:ascii="宋体" w:hAnsi="宋体" w:eastAsia="仿宋" w:cs="Times New Roman"/>
                <w:sz w:val="28"/>
                <w:szCs w:val="21"/>
              </w:rPr>
              <w:t>m，LSZH</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条</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5</w:t>
            </w:r>
            <w:r>
              <w:rPr>
                <w:rFonts w:ascii="宋体" w:hAnsi="宋体" w:eastAsia="仿宋" w:cs="Times New Roman"/>
                <w:sz w:val="28"/>
                <w:szCs w:val="21"/>
              </w:rPr>
              <w:t>0</w:t>
            </w:r>
          </w:p>
        </w:tc>
      </w:tr>
      <w:tr>
        <w:tblPrEx>
          <w:tblCellMar>
            <w:top w:w="0" w:type="dxa"/>
            <w:left w:w="108" w:type="dxa"/>
            <w:bottom w:w="0" w:type="dxa"/>
            <w:right w:w="108" w:type="dxa"/>
          </w:tblCellMar>
        </w:tblPrEx>
        <w:trPr>
          <w:trHeight w:val="439"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ascii="宋体" w:hAnsi="宋体" w:eastAsia="仿宋" w:cs="Times New Roman"/>
                <w:sz w:val="28"/>
                <w:szCs w:val="21"/>
              </w:rPr>
            </w:pPr>
            <w:r>
              <w:rPr>
                <w:rFonts w:hint="eastAsia" w:ascii="宋体" w:hAnsi="宋体" w:eastAsia="仿宋" w:cs="Times New Roman"/>
                <w:sz w:val="28"/>
                <w:szCs w:val="21"/>
              </w:rPr>
              <w:t>18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LC-LC多模OM4双芯跳线</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仿宋" w:cs="Times New Roman"/>
                <w:sz w:val="24"/>
                <w:szCs w:val="24"/>
              </w:rPr>
            </w:pPr>
            <w:r>
              <w:rPr>
                <w:rFonts w:hint="eastAsia" w:ascii="宋体" w:hAnsi="宋体"/>
                <w:sz w:val="24"/>
                <w:szCs w:val="24"/>
              </w:rPr>
              <w:t>康普、康宁、</w:t>
            </w:r>
            <w:r>
              <w:rPr>
                <w:rFonts w:hint="eastAsia" w:ascii="宋体" w:hAnsi="宋体"/>
                <w:sz w:val="24"/>
                <w:szCs w:val="24"/>
                <w:lang w:eastAsia="zh-CN"/>
              </w:rPr>
              <w:t>美国西蒙</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成品跳线，</w:t>
            </w:r>
            <w:r>
              <w:rPr>
                <w:rFonts w:ascii="宋体" w:hAnsi="宋体" w:eastAsia="仿宋" w:cs="Times New Roman"/>
                <w:sz w:val="28"/>
                <w:szCs w:val="21"/>
              </w:rPr>
              <w:t>3</w:t>
            </w:r>
            <w:r>
              <w:rPr>
                <w:rFonts w:hint="eastAsia" w:ascii="宋体" w:hAnsi="宋体" w:eastAsia="仿宋" w:cs="Times New Roman"/>
                <w:sz w:val="28"/>
                <w:szCs w:val="21"/>
              </w:rPr>
              <w:t>m，LSZH</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条</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50</w:t>
            </w:r>
          </w:p>
        </w:tc>
      </w:tr>
      <w:tr>
        <w:tblPrEx>
          <w:tblCellMar>
            <w:top w:w="0" w:type="dxa"/>
            <w:left w:w="108" w:type="dxa"/>
            <w:bottom w:w="0" w:type="dxa"/>
            <w:right w:w="108" w:type="dxa"/>
          </w:tblCellMar>
        </w:tblPrEx>
        <w:trPr>
          <w:trHeight w:val="439"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ascii="宋体" w:hAnsi="宋体" w:eastAsia="仿宋" w:cs="Times New Roman"/>
                <w:sz w:val="28"/>
                <w:szCs w:val="21"/>
              </w:rPr>
            </w:pPr>
            <w:r>
              <w:rPr>
                <w:rFonts w:hint="eastAsia" w:ascii="宋体" w:hAnsi="宋体" w:eastAsia="仿宋" w:cs="Times New Roman"/>
                <w:sz w:val="28"/>
                <w:szCs w:val="21"/>
              </w:rPr>
              <w:t>19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LC-LC多模OM4双芯跳线</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仿宋" w:cs="Times New Roman"/>
                <w:sz w:val="24"/>
                <w:szCs w:val="24"/>
              </w:rPr>
            </w:pPr>
            <w:r>
              <w:rPr>
                <w:rFonts w:hint="eastAsia" w:ascii="宋体" w:hAnsi="宋体"/>
                <w:sz w:val="24"/>
                <w:szCs w:val="24"/>
              </w:rPr>
              <w:t>康普、康宁、</w:t>
            </w:r>
            <w:r>
              <w:rPr>
                <w:rFonts w:hint="eastAsia" w:ascii="宋体" w:hAnsi="宋体"/>
                <w:sz w:val="24"/>
                <w:szCs w:val="24"/>
                <w:lang w:eastAsia="zh-CN"/>
              </w:rPr>
              <w:t>美国西蒙</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成品跳线，</w:t>
            </w:r>
            <w:r>
              <w:rPr>
                <w:rFonts w:ascii="宋体" w:hAnsi="宋体" w:eastAsia="仿宋" w:cs="Times New Roman"/>
                <w:sz w:val="28"/>
                <w:szCs w:val="21"/>
              </w:rPr>
              <w:t>5</w:t>
            </w:r>
            <w:r>
              <w:rPr>
                <w:rFonts w:hint="eastAsia" w:ascii="宋体" w:hAnsi="宋体" w:eastAsia="仿宋" w:cs="Times New Roman"/>
                <w:sz w:val="28"/>
                <w:szCs w:val="21"/>
              </w:rPr>
              <w:t>m，LSZH</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条</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50</w:t>
            </w:r>
          </w:p>
        </w:tc>
      </w:tr>
      <w:tr>
        <w:tblPrEx>
          <w:tblCellMar>
            <w:top w:w="0" w:type="dxa"/>
            <w:left w:w="108" w:type="dxa"/>
            <w:bottom w:w="0" w:type="dxa"/>
            <w:right w:w="108" w:type="dxa"/>
          </w:tblCellMar>
        </w:tblPrEx>
        <w:trPr>
          <w:trHeight w:val="439"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ascii="宋体" w:hAnsi="宋体" w:eastAsia="仿宋" w:cs="Times New Roman"/>
                <w:sz w:val="28"/>
                <w:szCs w:val="21"/>
              </w:rPr>
            </w:pPr>
            <w:r>
              <w:rPr>
                <w:rFonts w:hint="eastAsia" w:ascii="宋体" w:hAnsi="宋体" w:eastAsia="仿宋" w:cs="Times New Roman"/>
                <w:sz w:val="28"/>
                <w:szCs w:val="21"/>
              </w:rPr>
              <w:t>20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LC-LC多模OM4双芯跳线</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仿宋" w:cs="Times New Roman"/>
                <w:sz w:val="24"/>
                <w:szCs w:val="24"/>
              </w:rPr>
            </w:pPr>
            <w:r>
              <w:rPr>
                <w:rFonts w:hint="eastAsia" w:ascii="宋体" w:hAnsi="宋体"/>
                <w:sz w:val="24"/>
                <w:szCs w:val="24"/>
              </w:rPr>
              <w:t>康普、康宁、</w:t>
            </w:r>
            <w:r>
              <w:rPr>
                <w:rFonts w:hint="eastAsia" w:ascii="宋体" w:hAnsi="宋体"/>
                <w:sz w:val="24"/>
                <w:szCs w:val="24"/>
                <w:lang w:eastAsia="zh-CN"/>
              </w:rPr>
              <w:t>美国西蒙</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成品跳线，2m，LSZH</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条</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50</w:t>
            </w:r>
          </w:p>
        </w:tc>
      </w:tr>
      <w:tr>
        <w:tblPrEx>
          <w:tblCellMar>
            <w:top w:w="0" w:type="dxa"/>
            <w:left w:w="108" w:type="dxa"/>
            <w:bottom w:w="0" w:type="dxa"/>
            <w:right w:w="108" w:type="dxa"/>
          </w:tblCellMar>
        </w:tblPrEx>
        <w:trPr>
          <w:trHeight w:val="439"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ascii="宋体" w:hAnsi="宋体" w:eastAsia="仿宋" w:cs="Times New Roman"/>
                <w:sz w:val="28"/>
                <w:szCs w:val="21"/>
              </w:rPr>
            </w:pPr>
            <w:r>
              <w:rPr>
                <w:rFonts w:hint="eastAsia" w:ascii="宋体" w:hAnsi="宋体" w:eastAsia="仿宋" w:cs="Times New Roman"/>
                <w:sz w:val="28"/>
                <w:szCs w:val="21"/>
              </w:rPr>
              <w:t>21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LC-LC多模OM4双芯跳线</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仿宋" w:cs="Times New Roman"/>
                <w:sz w:val="24"/>
                <w:szCs w:val="24"/>
              </w:rPr>
            </w:pPr>
            <w:r>
              <w:rPr>
                <w:rFonts w:hint="eastAsia" w:ascii="宋体" w:hAnsi="宋体"/>
                <w:sz w:val="24"/>
                <w:szCs w:val="24"/>
              </w:rPr>
              <w:t>康普、康宁、</w:t>
            </w:r>
            <w:r>
              <w:rPr>
                <w:rFonts w:hint="eastAsia" w:ascii="宋体" w:hAnsi="宋体"/>
                <w:sz w:val="24"/>
                <w:szCs w:val="24"/>
                <w:lang w:eastAsia="zh-CN"/>
              </w:rPr>
              <w:t>美国西蒙</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仿宋" w:cs="Times New Roman"/>
                <w:sz w:val="28"/>
                <w:szCs w:val="21"/>
              </w:rPr>
            </w:pPr>
            <w:r>
              <w:rPr>
                <w:rFonts w:hint="eastAsia" w:ascii="宋体" w:hAnsi="宋体" w:eastAsia="仿宋" w:cs="Times New Roman"/>
                <w:sz w:val="28"/>
                <w:szCs w:val="21"/>
              </w:rPr>
              <w:t>成品跳线，</w:t>
            </w:r>
            <w:r>
              <w:rPr>
                <w:rFonts w:ascii="宋体" w:hAnsi="宋体" w:eastAsia="仿宋" w:cs="Times New Roman"/>
                <w:sz w:val="28"/>
                <w:szCs w:val="21"/>
              </w:rPr>
              <w:t>15</w:t>
            </w:r>
            <w:r>
              <w:rPr>
                <w:rFonts w:hint="eastAsia" w:ascii="宋体" w:hAnsi="宋体" w:eastAsia="仿宋" w:cs="Times New Roman"/>
                <w:sz w:val="28"/>
                <w:szCs w:val="21"/>
              </w:rPr>
              <w:t>m，LSZH</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hint="eastAsia" w:ascii="宋体" w:hAnsi="宋体" w:eastAsia="仿宋" w:cs="Times New Roman"/>
                <w:sz w:val="28"/>
                <w:szCs w:val="21"/>
              </w:rPr>
              <w:t>条</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仿宋" w:cs="Times New Roman"/>
                <w:sz w:val="28"/>
                <w:szCs w:val="21"/>
              </w:rPr>
            </w:pPr>
            <w:r>
              <w:rPr>
                <w:rFonts w:ascii="宋体" w:hAnsi="宋体" w:eastAsia="仿宋" w:cs="Times New Roman"/>
                <w:sz w:val="28"/>
                <w:szCs w:val="21"/>
              </w:rPr>
              <w:t>20</w:t>
            </w:r>
          </w:p>
        </w:tc>
      </w:tr>
    </w:tbl>
    <w:p>
      <w:pPr>
        <w:widowControl/>
        <w:spacing w:line="560" w:lineRule="exact"/>
        <w:rPr>
          <w:rFonts w:ascii="仿宋" w:hAnsi="仿宋" w:eastAsia="仿宋" w:cs="Times New Roman"/>
          <w:sz w:val="28"/>
          <w:szCs w:val="28"/>
        </w:rPr>
      </w:pPr>
    </w:p>
    <w:p>
      <w:pPr>
        <w:widowControl/>
        <w:jc w:val="left"/>
        <w:rPr>
          <w:rFonts w:ascii="Calibri" w:hAnsi="Calibri" w:eastAsia="宋体" w:cs="Times New Roman"/>
          <w:kern w:val="0"/>
          <w:sz w:val="20"/>
          <w:szCs w:val="20"/>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jc w:val="center"/>
        <w:rPr>
          <w:rFonts w:hint="default" w:ascii="Calibri" w:hAnsi="Calibri" w:eastAsia="仿宋" w:cs="Times New Roman"/>
          <w:sz w:val="28"/>
          <w:szCs w:val="20"/>
          <w:lang w:val="en-US" w:eastAsia="zh-CN"/>
        </w:rPr>
      </w:pPr>
    </w:p>
    <w:p>
      <w:pPr>
        <w:widowControl/>
        <w:spacing w:line="500" w:lineRule="atLeast"/>
        <w:jc w:val="center"/>
        <w:rPr>
          <w:rFonts w:ascii="仿宋" w:hAnsi="仿宋" w:eastAsia="仿宋" w:cs="仿宋"/>
          <w:b/>
          <w:bCs/>
          <w:sz w:val="48"/>
          <w:szCs w:val="48"/>
          <w:lang w:val="zh-CN"/>
        </w:rPr>
      </w:pPr>
      <w:bookmarkStart w:id="1014" w:name="_Toc467078908"/>
      <w:bookmarkStart w:id="1015" w:name="_Toc414965117"/>
      <w:bookmarkStart w:id="1016" w:name="_Toc414965151"/>
      <w:r>
        <w:rPr>
          <w:rFonts w:hint="eastAsia" w:ascii="仿宋" w:hAnsi="仿宋" w:eastAsia="仿宋" w:cs="仿宋"/>
          <w:b/>
          <w:bCs/>
          <w:sz w:val="48"/>
          <w:szCs w:val="48"/>
          <w:lang w:eastAsia="zh-CN"/>
        </w:rPr>
        <w:t>赣州银行南康</w:t>
      </w:r>
      <w:r>
        <w:rPr>
          <w:rFonts w:hint="eastAsia" w:ascii="仿宋" w:hAnsi="仿宋" w:eastAsia="仿宋" w:cs="仿宋"/>
          <w:b/>
          <w:bCs/>
          <w:sz w:val="48"/>
          <w:szCs w:val="48"/>
        </w:rPr>
        <w:t>灾备</w:t>
      </w:r>
      <w:r>
        <w:rPr>
          <w:rFonts w:hint="eastAsia" w:ascii="仿宋" w:hAnsi="仿宋" w:eastAsia="仿宋" w:cs="仿宋"/>
          <w:b/>
          <w:bCs/>
          <w:sz w:val="48"/>
          <w:szCs w:val="48"/>
          <w:lang w:val="zh-CN"/>
        </w:rPr>
        <w:t>数据中心</w:t>
      </w:r>
    </w:p>
    <w:p>
      <w:pPr>
        <w:widowControl/>
        <w:spacing w:line="500" w:lineRule="atLeast"/>
        <w:jc w:val="center"/>
        <w:rPr>
          <w:rFonts w:hint="eastAsia" w:ascii="仿宋" w:hAnsi="仿宋" w:eastAsia="仿宋" w:cs="仿宋"/>
          <w:b/>
          <w:bCs/>
          <w:sz w:val="48"/>
          <w:szCs w:val="48"/>
          <w:lang w:val="zh-CN"/>
        </w:rPr>
      </w:pPr>
      <w:r>
        <w:rPr>
          <w:rFonts w:hint="eastAsia" w:ascii="仿宋" w:hAnsi="仿宋" w:eastAsia="仿宋" w:cs="仿宋"/>
          <w:b/>
          <w:bCs/>
          <w:sz w:val="48"/>
          <w:szCs w:val="48"/>
          <w:lang w:val="zh-CN"/>
        </w:rPr>
        <w:t>设计及施工一体化</w:t>
      </w:r>
    </w:p>
    <w:p>
      <w:pPr>
        <w:widowControl/>
        <w:autoSpaceDE w:val="0"/>
        <w:autoSpaceDN w:val="0"/>
        <w:adjustRightInd w:val="0"/>
        <w:spacing w:line="600" w:lineRule="exact"/>
        <w:ind w:firstLine="482" w:firstLineChars="100"/>
        <w:jc w:val="center"/>
        <w:rPr>
          <w:rFonts w:ascii="仿宋_GB2312" w:hAnsi="宋体" w:eastAsia="仿宋_GB2312" w:cs="Times New Roman"/>
          <w:b/>
          <w:bCs/>
          <w:color w:val="000000"/>
          <w:sz w:val="48"/>
          <w:szCs w:val="48"/>
        </w:rPr>
      </w:pPr>
      <w:r>
        <w:rPr>
          <w:rFonts w:hint="eastAsia" w:ascii="仿宋" w:hAnsi="仿宋" w:eastAsia="仿宋" w:cs="仿宋"/>
          <w:b/>
          <w:bCs/>
          <w:sz w:val="48"/>
          <w:szCs w:val="48"/>
          <w:lang w:val="zh-CN"/>
        </w:rPr>
        <w:t>总承包工程</w:t>
      </w:r>
      <w:r>
        <w:rPr>
          <w:rFonts w:hint="eastAsia" w:ascii="仿宋_GB2312" w:hAnsi="宋体" w:eastAsia="仿宋_GB2312" w:cs="Times New Roman"/>
          <w:b/>
          <w:bCs/>
          <w:color w:val="000000"/>
          <w:sz w:val="48"/>
          <w:szCs w:val="48"/>
        </w:rPr>
        <w:t>招标</w:t>
      </w:r>
    </w:p>
    <w:p>
      <w:pPr>
        <w:widowControl/>
        <w:autoSpaceDE w:val="0"/>
        <w:autoSpaceDN w:val="0"/>
        <w:adjustRightInd w:val="0"/>
        <w:spacing w:line="600" w:lineRule="exact"/>
        <w:ind w:firstLine="281" w:firstLineChars="100"/>
        <w:jc w:val="center"/>
        <w:rPr>
          <w:rFonts w:ascii="仿宋_GB2312" w:hAnsi="宋体" w:eastAsia="仿宋_GB2312" w:cs="Times New Roman"/>
          <w:b/>
          <w:bCs/>
          <w:color w:val="000000"/>
          <w:sz w:val="28"/>
          <w:szCs w:val="28"/>
        </w:rPr>
      </w:pPr>
    </w:p>
    <w:p>
      <w:pPr>
        <w:widowControl/>
        <w:autoSpaceDE w:val="0"/>
        <w:autoSpaceDN w:val="0"/>
        <w:adjustRightInd w:val="0"/>
        <w:spacing w:line="600" w:lineRule="exact"/>
        <w:ind w:firstLine="281" w:firstLineChars="100"/>
        <w:jc w:val="center"/>
        <w:rPr>
          <w:rFonts w:ascii="仿宋_GB2312" w:hAnsi="宋体" w:eastAsia="仿宋_GB2312" w:cs="Times New Roman"/>
          <w:b/>
          <w:bCs/>
          <w:color w:val="000000"/>
          <w:sz w:val="28"/>
          <w:szCs w:val="28"/>
        </w:rPr>
      </w:pPr>
    </w:p>
    <w:p>
      <w:pPr>
        <w:widowControl/>
        <w:autoSpaceDE w:val="0"/>
        <w:autoSpaceDN w:val="0"/>
        <w:adjustRightInd w:val="0"/>
        <w:spacing w:line="600" w:lineRule="exact"/>
        <w:ind w:firstLine="402" w:firstLineChars="100"/>
        <w:jc w:val="center"/>
        <w:rPr>
          <w:rFonts w:ascii="仿宋_GB2312" w:hAnsi="宋体" w:eastAsia="仿宋_GB2312" w:cs="Times New Roman"/>
          <w:b/>
          <w:bCs/>
          <w:color w:val="000000"/>
          <w:sz w:val="40"/>
          <w:szCs w:val="40"/>
        </w:rPr>
      </w:pPr>
      <w:r>
        <w:rPr>
          <w:rFonts w:hint="eastAsia" w:ascii="仿宋_GB2312" w:hAnsi="宋体" w:eastAsia="仿宋_GB2312" w:cs="Times New Roman"/>
          <w:b/>
          <w:bCs/>
          <w:color w:val="000000"/>
          <w:sz w:val="40"/>
          <w:szCs w:val="40"/>
        </w:rPr>
        <w:t>商务条件基本要求</w:t>
      </w:r>
    </w:p>
    <w:p>
      <w:pPr>
        <w:widowControl/>
        <w:autoSpaceDE w:val="0"/>
        <w:autoSpaceDN w:val="0"/>
        <w:adjustRightInd w:val="0"/>
        <w:spacing w:line="600" w:lineRule="exact"/>
        <w:ind w:firstLine="281" w:firstLineChars="100"/>
        <w:jc w:val="center"/>
        <w:rPr>
          <w:rFonts w:hint="eastAsia" w:ascii="仿宋_GB2312" w:hAnsi="宋体" w:eastAsia="仿宋_GB2312" w:cs="Times New Roman"/>
          <w:b/>
          <w:bCs/>
          <w:color w:val="000000"/>
          <w:sz w:val="28"/>
          <w:szCs w:val="28"/>
        </w:rPr>
      </w:pPr>
    </w:p>
    <w:p>
      <w:pPr>
        <w:widowControl/>
        <w:autoSpaceDE w:val="0"/>
        <w:autoSpaceDN w:val="0"/>
        <w:adjustRightInd w:val="0"/>
        <w:spacing w:line="600" w:lineRule="exact"/>
        <w:ind w:firstLine="280" w:firstLineChars="100"/>
        <w:jc w:val="center"/>
        <w:rPr>
          <w:rFonts w:hint="eastAsia" w:ascii="仿宋_GB2312" w:hAnsi="宋体" w:eastAsia="仿宋_GB2312" w:cs="Times New Roman"/>
          <w:bCs/>
          <w:sz w:val="28"/>
          <w:szCs w:val="28"/>
        </w:rPr>
      </w:pPr>
    </w:p>
    <w:p>
      <w:pPr>
        <w:widowControl/>
        <w:autoSpaceDE w:val="0"/>
        <w:autoSpaceDN w:val="0"/>
        <w:adjustRightInd w:val="0"/>
        <w:spacing w:line="600" w:lineRule="exact"/>
        <w:ind w:firstLine="281" w:firstLineChars="100"/>
        <w:jc w:val="center"/>
        <w:rPr>
          <w:rFonts w:ascii="仿宋_GB2312" w:hAnsi="宋体" w:eastAsia="仿宋_GB2312" w:cs="Times New Roman"/>
          <w:b/>
          <w:bCs/>
          <w:color w:val="000000"/>
          <w:sz w:val="28"/>
          <w:szCs w:val="28"/>
        </w:rPr>
      </w:pPr>
    </w:p>
    <w:p>
      <w:pPr>
        <w:widowControl/>
        <w:autoSpaceDE w:val="0"/>
        <w:autoSpaceDN w:val="0"/>
        <w:adjustRightInd w:val="0"/>
        <w:spacing w:line="600" w:lineRule="exact"/>
        <w:ind w:firstLine="281" w:firstLineChars="100"/>
        <w:jc w:val="center"/>
        <w:rPr>
          <w:rFonts w:ascii="仿宋_GB2312" w:hAnsi="宋体" w:eastAsia="仿宋_GB2312" w:cs="Times New Roman"/>
          <w:b/>
          <w:bCs/>
          <w:color w:val="000000"/>
          <w:sz w:val="28"/>
          <w:szCs w:val="28"/>
        </w:rPr>
      </w:pPr>
    </w:p>
    <w:p>
      <w:pPr>
        <w:widowControl/>
        <w:autoSpaceDE w:val="0"/>
        <w:autoSpaceDN w:val="0"/>
        <w:adjustRightInd w:val="0"/>
        <w:spacing w:line="600" w:lineRule="exact"/>
        <w:ind w:firstLine="281" w:firstLineChars="100"/>
        <w:jc w:val="center"/>
        <w:rPr>
          <w:rFonts w:hint="eastAsia" w:ascii="仿宋_GB2312" w:hAnsi="宋体" w:eastAsia="仿宋_GB2312" w:cs="Times New Roman"/>
          <w:b/>
          <w:bCs/>
          <w:color w:val="000000"/>
          <w:sz w:val="28"/>
          <w:szCs w:val="28"/>
        </w:rPr>
      </w:pPr>
    </w:p>
    <w:p>
      <w:pPr>
        <w:widowControl/>
        <w:autoSpaceDE w:val="0"/>
        <w:autoSpaceDN w:val="0"/>
        <w:adjustRightInd w:val="0"/>
        <w:spacing w:line="600" w:lineRule="exact"/>
        <w:ind w:firstLine="281" w:firstLineChars="100"/>
        <w:jc w:val="center"/>
        <w:rPr>
          <w:rFonts w:ascii="仿宋_GB2312" w:hAnsi="宋体" w:eastAsia="仿宋_GB2312" w:cs="Times New Roman"/>
          <w:b/>
          <w:bCs/>
          <w:color w:val="000000"/>
          <w:sz w:val="28"/>
          <w:szCs w:val="28"/>
        </w:rPr>
      </w:pPr>
    </w:p>
    <w:p>
      <w:pPr>
        <w:widowControl/>
        <w:autoSpaceDE w:val="0"/>
        <w:autoSpaceDN w:val="0"/>
        <w:adjustRightInd w:val="0"/>
        <w:spacing w:line="600" w:lineRule="exact"/>
        <w:ind w:firstLine="281" w:firstLineChars="100"/>
        <w:jc w:val="center"/>
        <w:rPr>
          <w:rFonts w:ascii="仿宋_GB2312" w:hAnsi="宋体" w:eastAsia="仿宋_GB2312" w:cs="Times New Roman"/>
          <w:b/>
          <w:bCs/>
          <w:color w:val="000000"/>
          <w:sz w:val="28"/>
          <w:szCs w:val="28"/>
        </w:rPr>
      </w:pPr>
    </w:p>
    <w:p>
      <w:pPr>
        <w:widowControl/>
        <w:autoSpaceDE w:val="0"/>
        <w:autoSpaceDN w:val="0"/>
        <w:adjustRightInd w:val="0"/>
        <w:spacing w:line="600" w:lineRule="exact"/>
        <w:ind w:firstLine="281" w:firstLineChars="100"/>
        <w:jc w:val="center"/>
        <w:rPr>
          <w:rFonts w:ascii="仿宋_GB2312" w:hAnsi="宋体" w:eastAsia="仿宋_GB2312" w:cs="Times New Roman"/>
          <w:b/>
          <w:bCs/>
          <w:color w:val="000000"/>
          <w:sz w:val="28"/>
          <w:szCs w:val="28"/>
        </w:rPr>
      </w:pPr>
    </w:p>
    <w:p>
      <w:pPr>
        <w:widowControl/>
        <w:autoSpaceDE w:val="0"/>
        <w:autoSpaceDN w:val="0"/>
        <w:adjustRightInd w:val="0"/>
        <w:spacing w:line="600" w:lineRule="exact"/>
        <w:ind w:firstLine="281" w:firstLineChars="100"/>
        <w:jc w:val="center"/>
        <w:rPr>
          <w:rFonts w:ascii="仿宋_GB2312" w:hAnsi="宋体" w:eastAsia="仿宋_GB2312" w:cs="Times New Roman"/>
          <w:b/>
          <w:bCs/>
          <w:color w:val="000000"/>
          <w:sz w:val="28"/>
          <w:szCs w:val="28"/>
        </w:rPr>
      </w:pPr>
    </w:p>
    <w:p>
      <w:pPr>
        <w:widowControl/>
        <w:autoSpaceDE w:val="0"/>
        <w:autoSpaceDN w:val="0"/>
        <w:adjustRightInd w:val="0"/>
        <w:spacing w:line="600" w:lineRule="exact"/>
        <w:ind w:firstLine="281" w:firstLineChars="100"/>
        <w:jc w:val="center"/>
        <w:rPr>
          <w:rFonts w:ascii="仿宋_GB2312" w:hAnsi="宋体" w:eastAsia="仿宋_GB2312" w:cs="Times New Roman"/>
          <w:b/>
          <w:bCs/>
          <w:color w:val="000000"/>
          <w:sz w:val="28"/>
          <w:szCs w:val="28"/>
        </w:rPr>
      </w:pPr>
    </w:p>
    <w:p>
      <w:pPr>
        <w:widowControl/>
        <w:spacing w:line="600" w:lineRule="exact"/>
        <w:jc w:val="center"/>
        <w:rPr>
          <w:rFonts w:hint="eastAsia" w:ascii="仿宋_GB2312" w:hAnsi="宋体" w:eastAsia="仿宋_GB2312" w:cs="Times New Roman"/>
          <w:b/>
          <w:sz w:val="28"/>
          <w:szCs w:val="28"/>
        </w:rPr>
      </w:pPr>
      <w:r>
        <w:rPr>
          <w:rFonts w:hint="eastAsia" w:ascii="仿宋_GB2312" w:hAnsi="宋体" w:eastAsia="仿宋_GB2312" w:cs="Times New Roman"/>
          <w:b/>
          <w:sz w:val="28"/>
          <w:szCs w:val="28"/>
          <w:lang w:val="zh-CN"/>
        </w:rPr>
        <w:t>招标人：赣州银行股份</w:t>
      </w:r>
      <w:r>
        <w:rPr>
          <w:rFonts w:hint="eastAsia" w:ascii="仿宋_GB2312" w:hAnsi="宋体" w:eastAsia="仿宋_GB2312" w:cs="Times New Roman"/>
          <w:b/>
          <w:sz w:val="28"/>
          <w:szCs w:val="28"/>
        </w:rPr>
        <w:t>有限公司</w:t>
      </w:r>
    </w:p>
    <w:p>
      <w:pPr>
        <w:widowControl/>
        <w:spacing w:line="600" w:lineRule="exact"/>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编制日期：20</w:t>
      </w:r>
      <w:r>
        <w:rPr>
          <w:rFonts w:ascii="仿宋_GB2312" w:hAnsi="宋体" w:eastAsia="仿宋_GB2312" w:cs="Times New Roman"/>
          <w:b/>
          <w:sz w:val="28"/>
          <w:szCs w:val="28"/>
        </w:rPr>
        <w:t>20</w:t>
      </w:r>
      <w:r>
        <w:rPr>
          <w:rFonts w:hint="eastAsia" w:ascii="仿宋_GB2312" w:hAnsi="宋体" w:eastAsia="仿宋_GB2312" w:cs="Times New Roman"/>
          <w:b/>
          <w:sz w:val="28"/>
          <w:szCs w:val="28"/>
        </w:rPr>
        <w:t>年</w:t>
      </w:r>
      <w:r>
        <w:rPr>
          <w:rFonts w:hint="eastAsia" w:ascii="仿宋_GB2312" w:hAnsi="宋体" w:eastAsia="仿宋_GB2312" w:cs="Times New Roman"/>
          <w:b/>
          <w:sz w:val="28"/>
          <w:szCs w:val="28"/>
          <w:lang w:val="en-US" w:eastAsia="zh-CN"/>
        </w:rPr>
        <w:t>8</w:t>
      </w:r>
      <w:r>
        <w:rPr>
          <w:rFonts w:hint="eastAsia" w:ascii="仿宋_GB2312" w:hAnsi="宋体" w:eastAsia="仿宋_GB2312" w:cs="Times New Roman"/>
          <w:b/>
          <w:sz w:val="28"/>
          <w:szCs w:val="28"/>
        </w:rPr>
        <w:t>月</w:t>
      </w:r>
    </w:p>
    <w:p>
      <w:pPr>
        <w:widowControl/>
        <w:spacing w:line="600" w:lineRule="exact"/>
        <w:rPr>
          <w:rFonts w:ascii="仿宋_GB2312" w:hAnsi="宋体" w:eastAsia="仿宋_GB2312" w:cs="Times New Roman"/>
          <w:b/>
          <w:sz w:val="28"/>
          <w:szCs w:val="28"/>
        </w:rPr>
      </w:pPr>
    </w:p>
    <w:p>
      <w:pPr>
        <w:widowControl/>
        <w:numPr>
          <w:ilvl w:val="0"/>
          <w:numId w:val="266"/>
        </w:numPr>
        <w:spacing w:after="180" w:line="660" w:lineRule="exact"/>
        <w:jc w:val="left"/>
        <w:textAlignment w:val="center"/>
        <w:outlineLvl w:val="0"/>
        <w:rPr>
          <w:rFonts w:hint="eastAsia" w:ascii="仿宋_GB2312" w:hAnsi="宋体" w:eastAsia="仿宋_GB2312"/>
          <w:b/>
          <w:color w:val="000000"/>
          <w:sz w:val="28"/>
          <w:szCs w:val="28"/>
        </w:rPr>
        <w:sectPr>
          <w:footerReference r:id="rId13" w:type="even"/>
          <w:pgSz w:w="11907" w:h="16840"/>
          <w:pgMar w:top="1418" w:right="1407" w:bottom="1134" w:left="1418" w:header="907" w:footer="907" w:gutter="0"/>
          <w:pgNumType w:fmt="decimal"/>
          <w:cols w:space="720" w:num="1"/>
          <w:docGrid w:linePitch="312" w:charSpace="0"/>
        </w:sectPr>
      </w:pPr>
    </w:p>
    <w:p>
      <w:pPr>
        <w:widowControl/>
        <w:numPr>
          <w:ilvl w:val="0"/>
          <w:numId w:val="0"/>
        </w:numPr>
        <w:spacing w:after="180" w:line="660" w:lineRule="exact"/>
        <w:ind w:leftChars="0"/>
        <w:jc w:val="left"/>
        <w:textAlignment w:val="center"/>
        <w:outlineLvl w:val="0"/>
        <w:rPr>
          <w:rFonts w:hint="eastAsia"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lang w:eastAsia="zh-CN"/>
        </w:rPr>
        <w:t>第一部分</w:t>
      </w:r>
      <w:r>
        <w:rPr>
          <w:rFonts w:hint="eastAsia" w:ascii="仿宋_GB2312" w:hAnsi="宋体" w:eastAsia="仿宋_GB2312" w:cs="Times New Roman"/>
          <w:b/>
          <w:color w:val="000000"/>
          <w:sz w:val="28"/>
          <w:szCs w:val="28"/>
          <w:lang w:val="en-US" w:eastAsia="zh-CN"/>
        </w:rPr>
        <w:t xml:space="preserve"> </w:t>
      </w:r>
      <w:r>
        <w:rPr>
          <w:rFonts w:hint="eastAsia" w:ascii="仿宋_GB2312" w:hAnsi="宋体" w:eastAsia="仿宋_GB2312" w:cs="Times New Roman"/>
          <w:b/>
          <w:color w:val="000000"/>
          <w:sz w:val="28"/>
          <w:szCs w:val="28"/>
        </w:rPr>
        <w:t>投标资格要求</w:t>
      </w:r>
    </w:p>
    <w:p>
      <w:pPr>
        <w:numPr>
          <w:ilvl w:val="0"/>
          <w:numId w:val="267"/>
        </w:numPr>
        <w:spacing w:before="0" w:after="0" w:line="600" w:lineRule="exact"/>
        <w:ind w:left="2268" w:hanging="425"/>
        <w:jc w:val="left"/>
        <w:outlineLvl w:val="1"/>
        <w:rPr>
          <w:rFonts w:ascii="仿宋_GB2312" w:hAnsi="宋体" w:eastAsia="仿宋_GB2312" w:cs="Times New Roman"/>
          <w:b w:val="0"/>
          <w:bCs/>
          <w:color w:val="000000"/>
          <w:kern w:val="2"/>
          <w:sz w:val="28"/>
          <w:szCs w:val="28"/>
          <w:lang w:val="en-US" w:eastAsia="zh-CN" w:bidi="ar-SA"/>
        </w:rPr>
      </w:pPr>
      <w:r>
        <w:rPr>
          <w:rFonts w:hint="eastAsia" w:ascii="仿宋_GB2312" w:hAnsi="宋体" w:eastAsia="仿宋_GB2312" w:cs="Times New Roman"/>
          <w:b w:val="0"/>
          <w:bCs/>
          <w:color w:val="000000"/>
          <w:kern w:val="2"/>
          <w:sz w:val="28"/>
          <w:szCs w:val="28"/>
          <w:lang w:val="en-US" w:eastAsia="zh-CN" w:bidi="ar-SA"/>
        </w:rPr>
        <w:t>招标内容</w:t>
      </w:r>
    </w:p>
    <w:p>
      <w:pPr>
        <w:numPr>
          <w:ilvl w:val="1"/>
          <w:numId w:val="267"/>
        </w:numPr>
        <w:spacing w:before="0" w:after="0" w:line="600" w:lineRule="exact"/>
        <w:ind w:left="11" w:firstLine="28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本工程划分1个标段。</w:t>
      </w:r>
    </w:p>
    <w:p>
      <w:pPr>
        <w:numPr>
          <w:ilvl w:val="1"/>
          <w:numId w:val="267"/>
        </w:numPr>
        <w:spacing w:before="0" w:after="0" w:line="600" w:lineRule="exact"/>
        <w:ind w:left="11" w:firstLine="28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招标内容（包括但不限于）：</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本项目所有设计工作（包括方案设计、初步设计和施工图设计）。</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材料设备采购。</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施工与安装，为全部工程的实施、完成（至满足验收要求）以及修补其中的缺陷负责。</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与项目建设相关的服务、检测、验收等，具体详见招标需求书。</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完成项目建设所有必要的其他工作。</w:t>
      </w:r>
    </w:p>
    <w:p>
      <w:pPr>
        <w:numPr>
          <w:ilvl w:val="0"/>
          <w:numId w:val="267"/>
        </w:numPr>
        <w:spacing w:before="0" w:after="0" w:line="600" w:lineRule="exact"/>
        <w:ind w:left="2268" w:hanging="425"/>
        <w:jc w:val="left"/>
        <w:outlineLvl w:val="1"/>
        <w:rPr>
          <w:rFonts w:ascii="仿宋_GB2312" w:hAnsi="宋体" w:eastAsia="仿宋_GB2312" w:cs="Times New Roman"/>
          <w:b w:val="0"/>
          <w:bCs/>
          <w:color w:val="000000"/>
          <w:kern w:val="2"/>
          <w:sz w:val="28"/>
          <w:szCs w:val="28"/>
          <w:lang w:val="en-US" w:eastAsia="zh-CN" w:bidi="ar-SA"/>
        </w:rPr>
      </w:pPr>
      <w:r>
        <w:rPr>
          <w:rFonts w:hint="eastAsia" w:ascii="仿宋_GB2312" w:hAnsi="宋体" w:eastAsia="仿宋_GB2312" w:cs="Times New Roman"/>
          <w:b w:val="0"/>
          <w:bCs/>
          <w:color w:val="000000"/>
          <w:kern w:val="2"/>
          <w:sz w:val="28"/>
          <w:szCs w:val="28"/>
          <w:lang w:val="en-US" w:eastAsia="zh-CN" w:bidi="ar-SA"/>
        </w:rPr>
        <w:t>招标规模</w:t>
      </w:r>
    </w:p>
    <w:p>
      <w:pPr>
        <w:spacing w:before="0" w:after="0" w:line="600" w:lineRule="exact"/>
        <w:ind w:left="425" w:firstLine="562" w:firstLineChars="200"/>
        <w:jc w:val="left"/>
        <w:outlineLvl w:val="9"/>
        <w:rPr>
          <w:rFonts w:hint="eastAsia" w:ascii="仿宋_GB2312" w:hAnsi="宋体" w:eastAsia="仿宋_GB2312" w:cs="Times New Roman"/>
          <w:b w:val="0"/>
          <w:bCs/>
          <w:color w:val="000000"/>
          <w:kern w:val="2"/>
          <w:sz w:val="28"/>
          <w:szCs w:val="28"/>
          <w:lang w:val="en-US" w:eastAsia="zh-CN" w:bidi="ar-SA"/>
        </w:rPr>
      </w:pPr>
      <w:r>
        <w:rPr>
          <w:rFonts w:hint="eastAsia" w:ascii="仿宋_GB2312" w:hAnsi="宋体" w:eastAsia="仿宋_GB2312" w:cs="Times New Roman"/>
          <w:b/>
          <w:bCs/>
          <w:color w:val="000000"/>
          <w:kern w:val="2"/>
          <w:sz w:val="28"/>
          <w:szCs w:val="28"/>
          <w:lang w:val="en-US" w:eastAsia="zh-CN" w:bidi="ar-SA"/>
        </w:rPr>
        <w:t>赣州银行南康同城灾备数据中心（简称：同城灾备中心）大楼位于江西省赣州市南康</w:t>
      </w:r>
      <w:r>
        <w:rPr>
          <w:rFonts w:hint="eastAsia" w:ascii="仿宋_GB2312" w:hAnsi="宋体" w:eastAsia="仿宋_GB2312" w:cs="Times New Roman"/>
          <w:b/>
          <w:bCs/>
          <w:color w:val="auto"/>
          <w:kern w:val="2"/>
          <w:sz w:val="28"/>
          <w:szCs w:val="28"/>
          <w:lang w:val="en-US" w:eastAsia="zh-CN" w:bidi="ar-SA"/>
        </w:rPr>
        <w:t>区</w:t>
      </w:r>
      <w:r>
        <w:rPr>
          <w:rFonts w:hint="eastAsia" w:ascii="仿宋_GB2312" w:hAnsi="宋体" w:eastAsia="仿宋_GB2312" w:cs="Times New Roman"/>
          <w:b/>
          <w:bCs/>
          <w:color w:val="auto"/>
          <w:kern w:val="2"/>
          <w:sz w:val="28"/>
          <w:szCs w:val="28"/>
          <w:u w:val="single"/>
          <w:lang w:val="en-US" w:eastAsia="zh-CN" w:bidi="ar-SA"/>
        </w:rPr>
        <w:t xml:space="preserve"> </w:t>
      </w:r>
      <w:r>
        <w:rPr>
          <w:rFonts w:hint="eastAsia" w:ascii="仿宋_GB2312" w:hAnsi="宋体" w:eastAsia="仿宋_GB2312" w:cs="Times New Roman"/>
          <w:b w:val="0"/>
          <w:bCs/>
          <w:color w:val="auto"/>
          <w:kern w:val="2"/>
          <w:sz w:val="28"/>
          <w:szCs w:val="28"/>
          <w:u w:val="single"/>
          <w:lang w:val="en-US" w:eastAsia="zh-CN" w:bidi="ar-SA"/>
        </w:rPr>
        <w:t>金融中心</w:t>
      </w:r>
      <w:r>
        <w:rPr>
          <w:rFonts w:hint="eastAsia" w:ascii="仿宋_GB2312" w:hAnsi="宋体" w:eastAsia="仿宋_GB2312" w:cs="Times New Roman"/>
          <w:b/>
          <w:bCs/>
          <w:color w:val="auto"/>
          <w:kern w:val="2"/>
          <w:sz w:val="28"/>
          <w:szCs w:val="28"/>
          <w:u w:val="single"/>
          <w:lang w:val="en-US" w:eastAsia="zh-CN" w:bidi="ar-SA"/>
        </w:rPr>
        <w:t xml:space="preserve">  </w:t>
      </w:r>
      <w:r>
        <w:rPr>
          <w:rFonts w:hint="eastAsia" w:ascii="仿宋_GB2312" w:hAnsi="宋体" w:eastAsia="仿宋_GB2312" w:cs="Times New Roman"/>
          <w:b/>
          <w:bCs/>
          <w:color w:val="auto"/>
          <w:kern w:val="2"/>
          <w:sz w:val="28"/>
          <w:szCs w:val="28"/>
          <w:lang w:val="en-US" w:eastAsia="zh-CN" w:bidi="ar-SA"/>
        </w:rPr>
        <w:t>，建筑物共</w:t>
      </w:r>
      <w:r>
        <w:rPr>
          <w:rFonts w:hint="eastAsia" w:ascii="仿宋_GB2312" w:hAnsi="宋体" w:eastAsia="仿宋_GB2312" w:cs="Times New Roman"/>
          <w:b/>
          <w:bCs/>
          <w:color w:val="auto"/>
          <w:kern w:val="2"/>
          <w:sz w:val="28"/>
          <w:szCs w:val="28"/>
          <w:u w:val="single"/>
          <w:lang w:val="en-US" w:eastAsia="zh-CN" w:bidi="ar-SA"/>
        </w:rPr>
        <w:t xml:space="preserve"> </w:t>
      </w:r>
      <w:r>
        <w:rPr>
          <w:rFonts w:hint="eastAsia" w:ascii="仿宋_GB2312" w:hAnsi="宋体" w:eastAsia="仿宋_GB2312" w:cs="Times New Roman"/>
          <w:b w:val="0"/>
          <w:bCs/>
          <w:color w:val="auto"/>
          <w:kern w:val="2"/>
          <w:sz w:val="28"/>
          <w:szCs w:val="28"/>
          <w:u w:val="single"/>
          <w:lang w:val="en-US" w:eastAsia="zh-CN" w:bidi="ar-SA"/>
        </w:rPr>
        <w:t>13</w:t>
      </w:r>
      <w:r>
        <w:rPr>
          <w:rFonts w:hint="eastAsia" w:ascii="仿宋_GB2312" w:hAnsi="宋体" w:eastAsia="仿宋_GB2312" w:cs="Times New Roman"/>
          <w:b/>
          <w:bCs/>
          <w:color w:val="auto"/>
          <w:kern w:val="2"/>
          <w:sz w:val="28"/>
          <w:szCs w:val="28"/>
          <w:u w:val="single"/>
          <w:lang w:val="en-US" w:eastAsia="zh-CN" w:bidi="ar-SA"/>
        </w:rPr>
        <w:t xml:space="preserve"> </w:t>
      </w:r>
      <w:r>
        <w:rPr>
          <w:rFonts w:hint="eastAsia" w:ascii="仿宋_GB2312" w:hAnsi="宋体" w:eastAsia="仿宋_GB2312" w:cs="Times New Roman"/>
          <w:b/>
          <w:bCs/>
          <w:color w:val="auto"/>
          <w:kern w:val="2"/>
          <w:sz w:val="28"/>
          <w:szCs w:val="28"/>
          <w:lang w:val="en-US" w:eastAsia="zh-CN" w:bidi="ar-SA"/>
        </w:rPr>
        <w:t>层，建筑总高度</w:t>
      </w:r>
      <w:r>
        <w:rPr>
          <w:rFonts w:hint="eastAsia" w:ascii="仿宋_GB2312" w:hAnsi="宋体" w:eastAsia="仿宋_GB2312" w:cs="Times New Roman"/>
          <w:b/>
          <w:bCs/>
          <w:color w:val="auto"/>
          <w:kern w:val="2"/>
          <w:sz w:val="28"/>
          <w:szCs w:val="28"/>
          <w:u w:val="single"/>
          <w:lang w:val="en-US" w:eastAsia="zh-CN" w:bidi="ar-SA"/>
        </w:rPr>
        <w:t xml:space="preserve"> </w:t>
      </w:r>
      <w:r>
        <w:rPr>
          <w:rFonts w:hint="eastAsia" w:ascii="仿宋_GB2312" w:hAnsi="宋体" w:eastAsia="仿宋_GB2312" w:cs="Times New Roman"/>
          <w:b w:val="0"/>
          <w:bCs/>
          <w:color w:val="auto"/>
          <w:kern w:val="2"/>
          <w:sz w:val="28"/>
          <w:szCs w:val="28"/>
          <w:u w:val="single"/>
          <w:lang w:val="en-US" w:eastAsia="zh-CN" w:bidi="ar-SA"/>
        </w:rPr>
        <w:t>52.85</w:t>
      </w:r>
      <w:r>
        <w:rPr>
          <w:rFonts w:hint="eastAsia" w:ascii="仿宋_GB2312" w:hAnsi="宋体" w:eastAsia="仿宋_GB2312" w:cs="Times New Roman"/>
          <w:b/>
          <w:bCs/>
          <w:color w:val="auto"/>
          <w:kern w:val="2"/>
          <w:sz w:val="28"/>
          <w:szCs w:val="28"/>
          <w:u w:val="single"/>
          <w:lang w:val="en-US" w:eastAsia="zh-CN" w:bidi="ar-SA"/>
        </w:rPr>
        <w:t xml:space="preserve"> </w:t>
      </w:r>
      <w:r>
        <w:rPr>
          <w:rFonts w:hint="eastAsia" w:ascii="仿宋_GB2312" w:hAnsi="宋体" w:eastAsia="仿宋_GB2312" w:cs="Times New Roman"/>
          <w:b/>
          <w:bCs/>
          <w:color w:val="auto"/>
          <w:kern w:val="2"/>
          <w:sz w:val="28"/>
          <w:szCs w:val="28"/>
          <w:lang w:val="en-US" w:eastAsia="zh-CN" w:bidi="ar-SA"/>
        </w:rPr>
        <w:t xml:space="preserve"> m（具体以建筑图纸为准）。具体详见技术需求书</w:t>
      </w:r>
      <w:r>
        <w:rPr>
          <w:rFonts w:hint="eastAsia" w:ascii="仿宋_GB2312" w:hAnsi="宋体" w:eastAsia="仿宋_GB2312" w:cs="Times New Roman"/>
          <w:b/>
          <w:bCs/>
          <w:color w:val="000000"/>
          <w:kern w:val="2"/>
          <w:sz w:val="28"/>
          <w:szCs w:val="28"/>
          <w:lang w:val="en-US" w:eastAsia="zh-CN" w:bidi="ar-SA"/>
        </w:rPr>
        <w:t>。</w:t>
      </w:r>
    </w:p>
    <w:p>
      <w:pPr>
        <w:numPr>
          <w:ilvl w:val="0"/>
          <w:numId w:val="267"/>
        </w:numPr>
        <w:spacing w:before="0" w:after="0" w:line="600" w:lineRule="exact"/>
        <w:ind w:left="2268" w:hanging="425"/>
        <w:jc w:val="left"/>
        <w:outlineLvl w:val="1"/>
        <w:rPr>
          <w:rFonts w:ascii="仿宋_GB2312" w:hAnsi="宋体" w:eastAsia="仿宋_GB2312" w:cs="Times New Roman"/>
          <w:b w:val="0"/>
          <w:bCs/>
          <w:color w:val="000000"/>
          <w:kern w:val="2"/>
          <w:sz w:val="28"/>
          <w:szCs w:val="28"/>
          <w:lang w:val="en-US" w:eastAsia="zh-CN" w:bidi="ar-SA"/>
        </w:rPr>
      </w:pPr>
      <w:r>
        <w:rPr>
          <w:rFonts w:hint="eastAsia" w:ascii="仿宋_GB2312" w:hAnsi="宋体" w:eastAsia="仿宋_GB2312" w:cs="Times New Roman"/>
          <w:b w:val="0"/>
          <w:bCs/>
          <w:color w:val="000000"/>
          <w:kern w:val="2"/>
          <w:sz w:val="28"/>
          <w:szCs w:val="28"/>
          <w:lang w:val="en-US" w:eastAsia="zh-CN" w:bidi="ar-SA"/>
        </w:rPr>
        <w:t>招标报价</w:t>
      </w:r>
    </w:p>
    <w:p>
      <w:pPr>
        <w:numPr>
          <w:ilvl w:val="1"/>
          <w:numId w:val="267"/>
        </w:numPr>
        <w:spacing w:before="0" w:after="0" w:line="600" w:lineRule="exact"/>
        <w:ind w:left="11" w:firstLine="28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施工费投标最高限价：</w:t>
      </w:r>
      <w:r>
        <w:rPr>
          <w:rFonts w:hint="eastAsia" w:ascii="仿宋_GB2312" w:hAnsi="宋体" w:eastAsia="仿宋_GB2312" w:cs="Times New Roman"/>
          <w:b w:val="0"/>
          <w:bCs w:val="0"/>
          <w:color w:val="auto"/>
          <w:kern w:val="2"/>
          <w:sz w:val="28"/>
          <w:szCs w:val="28"/>
          <w:u w:val="single"/>
          <w:lang w:val="en-US" w:eastAsia="zh-CN" w:bidi="ar-SA"/>
        </w:rPr>
        <w:t xml:space="preserve"> 1250 </w:t>
      </w:r>
      <w:r>
        <w:rPr>
          <w:rFonts w:hint="eastAsia" w:ascii="仿宋_GB2312" w:hAnsi="宋体" w:eastAsia="仿宋_GB2312" w:cs="Times New Roman"/>
          <w:b w:val="0"/>
          <w:bCs w:val="0"/>
          <w:color w:val="auto"/>
          <w:kern w:val="2"/>
          <w:sz w:val="28"/>
          <w:szCs w:val="28"/>
          <w:lang w:val="en-US" w:eastAsia="zh-CN" w:bidi="ar-SA"/>
        </w:rPr>
        <w:t>万元（含60万元暂估价，包括聘请第三方权威机构对工程进行验收和评级的费用，以及因本工程建设需要，在原技术需求基础上新增加的技术需求所产生的费用）。报价超过1250万元为无效报价。</w:t>
      </w:r>
      <w:bookmarkStart w:id="1331" w:name="_GoBack"/>
      <w:bookmarkEnd w:id="1331"/>
    </w:p>
    <w:p>
      <w:pPr>
        <w:numPr>
          <w:ilvl w:val="1"/>
          <w:numId w:val="267"/>
        </w:numPr>
        <w:spacing w:before="240" w:after="60" w:line="600" w:lineRule="exact"/>
        <w:ind w:left="11" w:firstLine="28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设计费：不单独计费。本项目为设计施工一体化，投标人报价应包括项目规定的所有内容(包干)。对于投标人设计方案有不满足招标文件的要求，中标后施工阶段中标人有义务进行设计调整，所增加的工程及材料费用由投标人自行承担。中标人应在招标人的配合下完成与机房工程相关的各行业主管部门对机房工程施工图纸的深化设计和审批工作，具体包括（但不限于）：招标人委托的第三方施工图审查机构对图纸的审查、公安业务主管部门要求的报审和报验以及其他政府相关部门的审批等，所需的相关费用应包括在投标总价内。</w:t>
      </w:r>
    </w:p>
    <w:p>
      <w:pPr>
        <w:widowControl/>
        <w:numPr>
          <w:ilvl w:val="1"/>
          <w:numId w:val="267"/>
        </w:numPr>
        <w:ind w:left="11" w:firstLine="283" w:firstLineChars="0"/>
        <w:rPr>
          <w:rFonts w:hint="eastAsia" w:ascii="仿宋_GB2312" w:hAnsi="宋体" w:eastAsia="仿宋_GB2312" w:cs="Times New Roman"/>
          <w:b w:val="0"/>
          <w:bCs w:val="0"/>
          <w:color w:val="000000"/>
          <w:sz w:val="28"/>
          <w:szCs w:val="28"/>
          <w:lang w:val="en-US" w:eastAsia="zh-CN"/>
        </w:rPr>
      </w:pPr>
      <w:r>
        <w:rPr>
          <w:rFonts w:hint="eastAsia" w:ascii="仿宋_GB2312" w:hAnsi="宋体" w:eastAsia="仿宋_GB2312" w:cs="Times New Roman"/>
          <w:b w:val="0"/>
          <w:bCs w:val="0"/>
          <w:color w:val="000000"/>
          <w:sz w:val="28"/>
          <w:szCs w:val="28"/>
          <w:u w:val="none"/>
        </w:rPr>
        <w:t>根据招标文件要求和参考设备清单、设计图纸、技术规格书及承包商所提供的投标文件、工程内容，由中标人采取包设备材料、包施工安装、包调试、包质量、包工期、包安全、包检测、包技术培训、包验收、包三年的免费维修保养，以固定总价包干的方式承包以上工程范围的内容。本工程合同采用固定总价方式，招标文件中有约定的按约定条件调整合同价款，招标文件中未作约定的一律不作调整。</w:t>
      </w:r>
    </w:p>
    <w:p>
      <w:pPr>
        <w:widowControl/>
        <w:numPr>
          <w:ilvl w:val="1"/>
          <w:numId w:val="267"/>
        </w:numPr>
        <w:ind w:left="11" w:firstLine="283" w:firstLineChars="0"/>
        <w:rPr>
          <w:rFonts w:hint="eastAsia" w:ascii="仿宋_GB2312" w:hAnsi="宋体" w:eastAsia="仿宋_GB2312" w:cs="Times New Roman"/>
          <w:b w:val="0"/>
          <w:bCs w:val="0"/>
          <w:color w:val="000000"/>
          <w:sz w:val="28"/>
          <w:szCs w:val="28"/>
          <w:u w:val="none"/>
          <w:lang w:val="en-US" w:eastAsia="zh-CN"/>
        </w:rPr>
      </w:pPr>
      <w:r>
        <w:rPr>
          <w:rFonts w:hint="eastAsia" w:ascii="仿宋_GB2312" w:hAnsi="宋体" w:eastAsia="仿宋_GB2312" w:cs="Times New Roman"/>
          <w:b w:val="0"/>
          <w:bCs w:val="0"/>
          <w:color w:val="000000"/>
          <w:sz w:val="28"/>
          <w:szCs w:val="28"/>
          <w:u w:val="none"/>
          <w:lang w:val="en-US" w:eastAsia="zh-CN"/>
        </w:rPr>
        <w:t>投标人在</w:t>
      </w:r>
      <w:r>
        <w:rPr>
          <w:rFonts w:hint="eastAsia" w:ascii="仿宋_GB2312" w:hAnsi="宋体" w:eastAsia="仿宋_GB2312" w:cs="Times New Roman"/>
          <w:color w:val="000000"/>
          <w:sz w:val="28"/>
          <w:szCs w:val="28"/>
        </w:rPr>
        <w:t>投标总价中的价格均包括完成该工程项目的</w:t>
      </w:r>
      <w:r>
        <w:rPr>
          <w:rFonts w:hint="eastAsia" w:ascii="仿宋_GB2312" w:hAnsi="宋体" w:eastAsia="仿宋_GB2312" w:cs="Times New Roman"/>
          <w:b/>
          <w:bCs/>
          <w:color w:val="000000"/>
          <w:sz w:val="28"/>
          <w:szCs w:val="28"/>
          <w:lang w:eastAsia="zh-CN"/>
        </w:rPr>
        <w:t>招标代理费用、</w:t>
      </w:r>
      <w:r>
        <w:rPr>
          <w:rFonts w:hint="eastAsia" w:ascii="仿宋_GB2312" w:hAnsi="宋体" w:eastAsia="仿宋_GB2312" w:cs="Times New Roman"/>
          <w:color w:val="000000"/>
          <w:sz w:val="28"/>
          <w:szCs w:val="28"/>
        </w:rPr>
        <w:t>直接费、间接费、利润、税金、风险费、</w:t>
      </w:r>
      <w:r>
        <w:rPr>
          <w:rFonts w:hint="eastAsia" w:ascii="仿宋_GB2312" w:hAnsi="宋体" w:eastAsia="仿宋_GB2312" w:cs="Times New Roman"/>
          <w:b w:val="0"/>
          <w:color w:val="000000"/>
          <w:sz w:val="28"/>
          <w:szCs w:val="28"/>
          <w:u w:val="none"/>
        </w:rPr>
        <w:t>运杂费、检测费、安装费、缺陷修复费、保险费，</w:t>
      </w:r>
      <w:r>
        <w:rPr>
          <w:rFonts w:hint="eastAsia" w:ascii="仿宋_GB2312" w:hAnsi="宋体" w:eastAsia="仿宋_GB2312" w:cs="Times New Roman"/>
          <w:b w:val="0"/>
          <w:color w:val="000000"/>
          <w:sz w:val="28"/>
          <w:szCs w:val="28"/>
          <w:u w:val="none"/>
          <w:lang w:eastAsia="zh-CN"/>
        </w:rPr>
        <w:t>验收、评级和</w:t>
      </w:r>
      <w:r>
        <w:rPr>
          <w:rFonts w:hint="eastAsia" w:ascii="仿宋_GB2312" w:hAnsi="宋体" w:eastAsia="仿宋_GB2312" w:cs="Times New Roman"/>
          <w:b w:val="0"/>
          <w:color w:val="000000"/>
          <w:sz w:val="28"/>
          <w:szCs w:val="28"/>
          <w:u w:val="none"/>
        </w:rPr>
        <w:t>所有相关劳保、环卫、市容、消防、环保、治安保卫、交通设施、卫生防疫及与周边单位和人员协调以及合同明示或暗示的风险、责任和义务</w:t>
      </w:r>
      <w:r>
        <w:rPr>
          <w:rFonts w:hint="eastAsia" w:ascii="仿宋_GB2312" w:hAnsi="宋体" w:eastAsia="仿宋_GB2312" w:cs="Times New Roman"/>
          <w:color w:val="000000"/>
          <w:sz w:val="28"/>
          <w:szCs w:val="28"/>
        </w:rPr>
        <w:t>等</w:t>
      </w:r>
      <w:r>
        <w:rPr>
          <w:rFonts w:hint="eastAsia" w:ascii="仿宋_GB2312" w:hAnsi="宋体" w:eastAsia="仿宋_GB2312" w:cs="Times New Roman"/>
          <w:color w:val="000000"/>
          <w:sz w:val="28"/>
          <w:szCs w:val="28"/>
          <w:lang w:eastAsia="zh-CN"/>
        </w:rPr>
        <w:t>所有费用。</w:t>
      </w:r>
    </w:p>
    <w:p>
      <w:pPr>
        <w:widowControl/>
        <w:numPr>
          <w:ilvl w:val="1"/>
          <w:numId w:val="267"/>
        </w:numPr>
        <w:ind w:left="11" w:firstLine="283" w:firstLineChars="0"/>
        <w:rPr>
          <w:rFonts w:hint="eastAsia" w:ascii="仿宋_GB2312" w:hAnsi="宋体" w:eastAsia="仿宋_GB2312" w:cs="Times New Roman"/>
          <w:b w:val="0"/>
          <w:bCs w:val="0"/>
          <w:color w:val="000000"/>
          <w:sz w:val="28"/>
          <w:szCs w:val="28"/>
          <w:u w:val="none"/>
          <w:lang w:val="en-US" w:eastAsia="zh-CN"/>
        </w:rPr>
      </w:pPr>
      <w:r>
        <w:rPr>
          <w:rFonts w:hint="eastAsia" w:ascii="仿宋_GB2312" w:hAnsi="宋体" w:eastAsia="仿宋_GB2312" w:cs="Times New Roman"/>
          <w:color w:val="000000"/>
          <w:sz w:val="28"/>
          <w:szCs w:val="28"/>
          <w:lang w:eastAsia="zh-CN"/>
        </w:rPr>
        <w:t>投</w:t>
      </w:r>
      <w:r>
        <w:rPr>
          <w:rFonts w:hint="eastAsia" w:ascii="仿宋_GB2312" w:hAnsi="宋体" w:eastAsia="仿宋_GB2312" w:cs="Times New Roman"/>
          <w:color w:val="000000"/>
          <w:sz w:val="28"/>
          <w:szCs w:val="28"/>
        </w:rPr>
        <w:t>标人应</w:t>
      </w:r>
      <w:r>
        <w:rPr>
          <w:rFonts w:hint="eastAsia" w:ascii="仿宋_GB2312" w:hAnsi="宋体" w:eastAsia="仿宋_GB2312" w:cs="Times New Roman"/>
          <w:color w:val="000000"/>
          <w:sz w:val="28"/>
          <w:szCs w:val="28"/>
          <w:lang w:eastAsia="zh-CN"/>
        </w:rPr>
        <w:t>在投标截止时间</w:t>
      </w:r>
      <w:r>
        <w:rPr>
          <w:rFonts w:hint="eastAsia" w:ascii="仿宋_GB2312" w:hAnsi="宋体" w:eastAsia="仿宋_GB2312" w:cs="Times New Roman"/>
          <w:color w:val="000000"/>
          <w:sz w:val="28"/>
          <w:szCs w:val="28"/>
          <w:lang w:val="en-US" w:eastAsia="zh-CN"/>
        </w:rPr>
        <w:t>10天</w:t>
      </w:r>
      <w:r>
        <w:rPr>
          <w:rFonts w:hint="eastAsia" w:ascii="仿宋_GB2312" w:hAnsi="宋体" w:eastAsia="仿宋_GB2312" w:cs="Times New Roman"/>
          <w:color w:val="000000"/>
          <w:sz w:val="28"/>
          <w:szCs w:val="28"/>
          <w:lang w:eastAsia="zh-CN"/>
        </w:rPr>
        <w:t>前</w:t>
      </w:r>
      <w:r>
        <w:rPr>
          <w:rFonts w:hint="eastAsia" w:ascii="仿宋_GB2312" w:hAnsi="宋体" w:eastAsia="仿宋_GB2312" w:cs="Times New Roman"/>
          <w:color w:val="000000"/>
          <w:sz w:val="28"/>
          <w:szCs w:val="28"/>
        </w:rPr>
        <w:t>到工地踏勘以充分了解工地位置、情况、道路、储存空间、装卸限制及任何其它足以影响承包价的情况，任何因忽视或误解工地情况而导致的索赔或工期延长申请将不获批</w:t>
      </w:r>
      <w:r>
        <w:rPr>
          <w:rFonts w:hint="eastAsia" w:ascii="仿宋_GB2312" w:hAnsi="宋体" w:eastAsia="仿宋_GB2312" w:cs="Times New Roman"/>
          <w:color w:val="000000"/>
          <w:sz w:val="28"/>
          <w:szCs w:val="28"/>
          <w:lang w:eastAsia="zh-CN"/>
        </w:rPr>
        <w:t>准。</w:t>
      </w:r>
    </w:p>
    <w:p>
      <w:pPr>
        <w:widowControl/>
        <w:numPr>
          <w:ilvl w:val="1"/>
          <w:numId w:val="267"/>
        </w:numPr>
        <w:ind w:left="11" w:firstLine="283" w:firstLineChars="0"/>
        <w:rPr>
          <w:rFonts w:hint="eastAsia" w:ascii="仿宋_GB2312" w:hAnsi="宋体" w:eastAsia="仿宋_GB2312" w:cs="Times New Roman"/>
          <w:b w:val="0"/>
          <w:bCs w:val="0"/>
          <w:color w:val="000000"/>
          <w:sz w:val="28"/>
          <w:szCs w:val="28"/>
          <w:u w:val="none"/>
          <w:lang w:val="en-US" w:eastAsia="zh-CN"/>
        </w:rPr>
      </w:pPr>
      <w:r>
        <w:rPr>
          <w:rFonts w:hint="eastAsia" w:ascii="仿宋_GB2312" w:hAnsi="宋体" w:eastAsia="仿宋_GB2312" w:cs="Times New Roman"/>
          <w:color w:val="000000"/>
          <w:sz w:val="28"/>
          <w:szCs w:val="28"/>
          <w:lang w:eastAsia="zh-CN"/>
        </w:rPr>
        <w:t>招标人将聘请具备数据中心机房验收、评级资质的第三方权威机构对本工程进行验收、评级。所产生的相关费用由投标人在本次报价中列出并支付。</w:t>
      </w:r>
    </w:p>
    <w:p>
      <w:pPr>
        <w:numPr>
          <w:ilvl w:val="0"/>
          <w:numId w:val="267"/>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r>
        <w:rPr>
          <w:rFonts w:ascii="仿宋_GB2312" w:hAnsi="宋体" w:eastAsia="仿宋_GB2312" w:cs="Times New Roman"/>
          <w:b w:val="0"/>
          <w:bCs/>
          <w:color w:val="000000"/>
          <w:kern w:val="2"/>
          <w:sz w:val="28"/>
          <w:szCs w:val="28"/>
          <w:lang w:val="en-US" w:eastAsia="zh-CN" w:bidi="ar-SA"/>
        </w:rPr>
        <w:t>投标人资质条件、能力和信誉</w:t>
      </w:r>
      <w:r>
        <w:rPr>
          <w:rFonts w:hint="eastAsia" w:ascii="仿宋_GB2312" w:hAnsi="宋体" w:eastAsia="仿宋_GB2312" w:cs="Times New Roman"/>
          <w:b w:val="0"/>
          <w:bCs/>
          <w:color w:val="000000"/>
          <w:kern w:val="2"/>
          <w:sz w:val="28"/>
          <w:szCs w:val="28"/>
          <w:lang w:val="en-US" w:eastAsia="zh-CN" w:bidi="ar-SA"/>
        </w:rPr>
        <w:t>要求</w:t>
      </w:r>
    </w:p>
    <w:bookmarkEnd w:id="1014"/>
    <w:bookmarkEnd w:id="1015"/>
    <w:bookmarkEnd w:id="1016"/>
    <w:p>
      <w:pPr>
        <w:numPr>
          <w:ilvl w:val="1"/>
          <w:numId w:val="267"/>
        </w:numPr>
        <w:spacing w:before="0" w:after="0" w:line="600" w:lineRule="exact"/>
        <w:ind w:left="11" w:firstLine="28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投标人具有独立法人资格，具有履行合同所必须的设备、专业技术、资金、资质等履约能力。</w:t>
      </w:r>
    </w:p>
    <w:p>
      <w:pPr>
        <w:numPr>
          <w:ilvl w:val="1"/>
          <w:numId w:val="267"/>
        </w:numPr>
        <w:spacing w:before="0" w:after="0" w:line="600" w:lineRule="exact"/>
        <w:ind w:left="11" w:firstLine="28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资质条件：投标人须同时具备以下资质且在有效期内</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电子与智能化工程专业承包资质（一级）</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建筑装饰装修工程专业承包资质（二级及以上）</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kern w:val="2"/>
          <w:sz w:val="28"/>
          <w:szCs w:val="28"/>
          <w:highlight w:val="none"/>
          <w:lang w:val="en-US" w:eastAsia="zh-CN" w:bidi="ar-SA"/>
        </w:rPr>
      </w:pPr>
      <w:r>
        <w:rPr>
          <w:rFonts w:hint="eastAsia" w:ascii="仿宋_GB2312" w:hAnsi="宋体" w:eastAsia="仿宋_GB2312" w:cs="Times New Roman"/>
          <w:b w:val="0"/>
          <w:bCs w:val="0"/>
          <w:kern w:val="2"/>
          <w:sz w:val="28"/>
          <w:szCs w:val="28"/>
          <w:lang w:val="en-US" w:eastAsia="zh-CN" w:bidi="ar-SA"/>
        </w:rPr>
        <w:t>建筑机电安装工程专业承包资质（</w:t>
      </w:r>
      <w:r>
        <w:rPr>
          <w:rFonts w:hint="eastAsia" w:ascii="仿宋_GB2312" w:hAnsi="宋体" w:eastAsia="仿宋_GB2312" w:cs="Times New Roman"/>
          <w:b w:val="0"/>
          <w:bCs w:val="0"/>
          <w:color w:val="auto"/>
          <w:kern w:val="2"/>
          <w:sz w:val="28"/>
          <w:szCs w:val="28"/>
          <w:lang w:val="en-US" w:eastAsia="zh-CN" w:bidi="ar-SA"/>
        </w:rPr>
        <w:t>二级及</w:t>
      </w:r>
      <w:r>
        <w:rPr>
          <w:rFonts w:hint="eastAsia" w:ascii="仿宋_GB2312" w:hAnsi="宋体" w:eastAsia="仿宋_GB2312" w:cs="Times New Roman"/>
          <w:b w:val="0"/>
          <w:bCs w:val="0"/>
          <w:kern w:val="2"/>
          <w:sz w:val="28"/>
          <w:szCs w:val="28"/>
          <w:lang w:val="en-US" w:eastAsia="zh-CN" w:bidi="ar-SA"/>
        </w:rPr>
        <w:t>以</w:t>
      </w:r>
      <w:r>
        <w:rPr>
          <w:rFonts w:hint="eastAsia" w:ascii="仿宋_GB2312" w:hAnsi="宋体" w:eastAsia="仿宋_GB2312" w:cs="Times New Roman"/>
          <w:b w:val="0"/>
          <w:bCs w:val="0"/>
          <w:kern w:val="2"/>
          <w:sz w:val="28"/>
          <w:szCs w:val="28"/>
          <w:highlight w:val="none"/>
          <w:lang w:val="en-US" w:eastAsia="zh-CN" w:bidi="ar-SA"/>
        </w:rPr>
        <w:t>上）或</w:t>
      </w:r>
      <w:r>
        <w:rPr>
          <w:rFonts w:hint="eastAsia" w:ascii="仿宋_GB2312" w:hAnsi="宋体" w:eastAsia="仿宋_GB2312" w:cs="Times New Roman"/>
          <w:b w:val="0"/>
          <w:bCs w:val="0"/>
          <w:kern w:val="2"/>
          <w:sz w:val="28"/>
          <w:szCs w:val="28"/>
          <w:lang w:val="en-US" w:eastAsia="zh-CN" w:bidi="ar-SA"/>
        </w:rPr>
        <w:t>机电工程施工总承包资质（一级资质证）</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建筑智能化系统设计专项资质（甲级）</w:t>
      </w:r>
    </w:p>
    <w:p>
      <w:pPr>
        <w:spacing w:before="0" w:after="0" w:line="600" w:lineRule="exact"/>
        <w:ind w:left="420"/>
        <w:jc w:val="left"/>
        <w:outlineLvl w:val="9"/>
        <w:rPr>
          <w:rFonts w:hint="eastAsia" w:ascii="Cambria" w:hAnsi="Cambria" w:eastAsia="仿宋" w:cs="Times New Roman"/>
          <w:b/>
          <w:bCs/>
          <w:kern w:val="2"/>
          <w:sz w:val="32"/>
          <w:szCs w:val="32"/>
          <w:lang w:val="en-US" w:eastAsia="zh-CN" w:bidi="ar-SA"/>
        </w:rPr>
      </w:pPr>
      <w:r>
        <w:rPr>
          <w:rFonts w:hint="eastAsia" w:ascii="仿宋_GB2312" w:hAnsi="宋体" w:eastAsia="仿宋_GB2312" w:cs="Times New Roman"/>
          <w:b w:val="0"/>
          <w:bCs w:val="0"/>
          <w:color w:val="000000"/>
          <w:kern w:val="2"/>
          <w:sz w:val="28"/>
          <w:szCs w:val="28"/>
          <w:lang w:val="en-US" w:eastAsia="zh-CN" w:bidi="ar-SA"/>
        </w:rPr>
        <w:t>4.2.5有效的安全生产许可证</w:t>
      </w:r>
    </w:p>
    <w:p>
      <w:pPr>
        <w:widowControl/>
        <w:rPr>
          <w:rFonts w:ascii="Calibri" w:hAnsi="Calibri" w:eastAsia="仿宋_GB2312" w:cs="Times New Roman"/>
          <w:sz w:val="28"/>
          <w:szCs w:val="20"/>
        </w:rPr>
      </w:pPr>
    </w:p>
    <w:p>
      <w:pPr>
        <w:numPr>
          <w:ilvl w:val="1"/>
          <w:numId w:val="267"/>
        </w:numPr>
        <w:spacing w:before="0" w:after="0" w:line="600" w:lineRule="exact"/>
        <w:ind w:left="11" w:firstLine="283"/>
        <w:jc w:val="left"/>
        <w:outlineLvl w:val="9"/>
        <w:rPr>
          <w:rFonts w:hint="eastAsia" w:ascii="仿宋_GB2312" w:hAnsi="宋体" w:eastAsia="仿宋_GB2312" w:cs="Times New Roman"/>
          <w:b w:val="0"/>
          <w:bCs w:val="0"/>
          <w:color w:val="auto"/>
          <w:kern w:val="2"/>
          <w:sz w:val="28"/>
          <w:szCs w:val="28"/>
          <w:highlight w:val="none"/>
          <w:lang w:val="en-US" w:eastAsia="zh-CN" w:bidi="ar-SA"/>
        </w:rPr>
      </w:pPr>
      <w:r>
        <w:rPr>
          <w:rFonts w:hint="eastAsia" w:ascii="仿宋_GB2312" w:hAnsi="宋体" w:eastAsia="仿宋_GB2312" w:cs="Times New Roman"/>
          <w:b w:val="0"/>
          <w:bCs w:val="0"/>
          <w:color w:val="000000"/>
          <w:kern w:val="2"/>
          <w:sz w:val="28"/>
          <w:szCs w:val="28"/>
          <w:lang w:val="en-US" w:eastAsia="zh-CN" w:bidi="ar-SA"/>
        </w:rPr>
        <w:t>财务要求：</w:t>
      </w:r>
      <w:r>
        <w:rPr>
          <w:rFonts w:hint="eastAsia" w:ascii="仿宋_GB2312" w:hAnsi="宋体" w:eastAsia="仿宋_GB2312" w:cs="Times New Roman"/>
          <w:b/>
          <w:bCs/>
          <w:color w:val="auto"/>
          <w:kern w:val="2"/>
          <w:sz w:val="28"/>
          <w:szCs w:val="28"/>
          <w:highlight w:val="none"/>
          <w:lang w:val="en-US" w:eastAsia="zh-CN" w:bidi="ar-SA"/>
        </w:rPr>
        <w:t>提供（2016年-2018年）经会计师事务所或审计机构审核的财务会计报表，包括资产负债表、现金流量表和利润表等报表的复印件。</w:t>
      </w:r>
    </w:p>
    <w:p>
      <w:pPr>
        <w:numPr>
          <w:ilvl w:val="1"/>
          <w:numId w:val="267"/>
        </w:numPr>
        <w:spacing w:before="0" w:after="0" w:line="600" w:lineRule="exact"/>
        <w:ind w:left="11" w:firstLine="28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投标人设计和施工业绩要求：</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投标人设计与施工业绩要求：具备设计与施工总承包能力，自2017年1月1日至今，独立承接并验收完成至少</w:t>
      </w:r>
      <w:r>
        <w:rPr>
          <w:rFonts w:hint="eastAsia" w:ascii="仿宋_GB2312" w:hAnsi="宋体" w:eastAsia="仿宋_GB2312" w:cs="Times New Roman"/>
          <w:b w:val="0"/>
          <w:bCs w:val="0"/>
          <w:color w:val="auto"/>
          <w:kern w:val="2"/>
          <w:sz w:val="28"/>
          <w:szCs w:val="28"/>
          <w:lang w:val="en-US" w:eastAsia="zh-CN" w:bidi="ar-SA"/>
        </w:rPr>
        <w:t>2个</w:t>
      </w:r>
      <w:r>
        <w:rPr>
          <w:rFonts w:hint="eastAsia" w:ascii="仿宋_GB2312" w:hAnsi="宋体" w:eastAsia="仿宋_GB2312" w:cs="Times New Roman"/>
          <w:b w:val="0"/>
          <w:bCs w:val="0"/>
          <w:color w:val="000000"/>
          <w:kern w:val="2"/>
          <w:sz w:val="28"/>
          <w:szCs w:val="28"/>
          <w:lang w:val="en-US" w:eastAsia="zh-CN" w:bidi="ar-SA"/>
        </w:rPr>
        <w:t>数据中心工程设计与施工业绩（允许2017年以前签订合同但需在此之后验收完成的</w:t>
      </w:r>
      <w:r>
        <w:rPr>
          <w:rFonts w:hint="eastAsia" w:ascii="仿宋_GB2312" w:hAnsi="宋体" w:eastAsia="仿宋_GB2312" w:cs="Times New Roman"/>
          <w:b/>
          <w:bCs/>
          <w:color w:val="000000"/>
          <w:kern w:val="2"/>
          <w:sz w:val="28"/>
          <w:szCs w:val="28"/>
          <w:lang w:val="en-US" w:eastAsia="zh-CN" w:bidi="ar-SA"/>
        </w:rPr>
        <w:t>非分包</w:t>
      </w:r>
      <w:r>
        <w:rPr>
          <w:rFonts w:hint="eastAsia" w:ascii="仿宋_GB2312" w:hAnsi="宋体" w:eastAsia="仿宋_GB2312" w:cs="Times New Roman"/>
          <w:b w:val="0"/>
          <w:bCs w:val="0"/>
          <w:color w:val="000000"/>
          <w:kern w:val="2"/>
          <w:sz w:val="28"/>
          <w:szCs w:val="28"/>
          <w:lang w:val="en-US" w:eastAsia="zh-CN" w:bidi="ar-SA"/>
        </w:rPr>
        <w:t>项目，</w:t>
      </w:r>
      <w:r>
        <w:rPr>
          <w:rFonts w:hint="eastAsia" w:ascii="仿宋_GB2312" w:hAnsi="宋体" w:eastAsia="仿宋_GB2312" w:cs="Times New Roman"/>
          <w:b/>
          <w:bCs/>
          <w:color w:val="000000"/>
          <w:kern w:val="2"/>
          <w:sz w:val="28"/>
          <w:szCs w:val="28"/>
          <w:highlight w:val="none"/>
          <w:lang w:val="en-US" w:eastAsia="zh-CN" w:bidi="ar-SA"/>
        </w:rPr>
        <w:t>工程</w:t>
      </w:r>
      <w:r>
        <w:rPr>
          <w:rFonts w:ascii="仿宋_GB2312" w:hAnsi="宋体" w:eastAsia="仿宋_GB2312" w:cs="Times New Roman"/>
          <w:b/>
          <w:bCs/>
          <w:color w:val="000000"/>
          <w:kern w:val="2"/>
          <w:sz w:val="28"/>
          <w:szCs w:val="28"/>
          <w:highlight w:val="none"/>
          <w:lang w:val="en-US" w:eastAsia="zh-CN" w:bidi="ar-SA"/>
        </w:rPr>
        <w:t>设计也等同于深化</w:t>
      </w:r>
      <w:r>
        <w:rPr>
          <w:rFonts w:hint="eastAsia" w:ascii="仿宋_GB2312" w:hAnsi="宋体" w:eastAsia="仿宋_GB2312" w:cs="Times New Roman"/>
          <w:b/>
          <w:bCs/>
          <w:color w:val="000000"/>
          <w:kern w:val="2"/>
          <w:sz w:val="28"/>
          <w:szCs w:val="28"/>
          <w:highlight w:val="none"/>
          <w:lang w:val="en-US" w:eastAsia="zh-CN" w:bidi="ar-SA"/>
        </w:rPr>
        <w:t>方案</w:t>
      </w:r>
      <w:r>
        <w:rPr>
          <w:rFonts w:ascii="仿宋_GB2312" w:hAnsi="宋体" w:eastAsia="仿宋_GB2312" w:cs="Times New Roman"/>
          <w:b/>
          <w:bCs/>
          <w:color w:val="000000"/>
          <w:kern w:val="2"/>
          <w:sz w:val="28"/>
          <w:szCs w:val="28"/>
          <w:highlight w:val="none"/>
          <w:lang w:val="en-US" w:eastAsia="zh-CN" w:bidi="ar-SA"/>
        </w:rPr>
        <w:t>设计</w:t>
      </w:r>
      <w:r>
        <w:rPr>
          <w:rFonts w:hint="eastAsia" w:ascii="仿宋_GB2312" w:hAnsi="宋体" w:eastAsia="仿宋_GB2312" w:cs="Times New Roman"/>
          <w:b w:val="0"/>
          <w:bCs w:val="0"/>
          <w:color w:val="000000"/>
          <w:kern w:val="2"/>
          <w:sz w:val="28"/>
          <w:szCs w:val="28"/>
          <w:lang w:val="en-US" w:eastAsia="zh-CN" w:bidi="ar-SA"/>
        </w:rPr>
        <w:t>），</w:t>
      </w:r>
      <w:r>
        <w:rPr>
          <w:rFonts w:hint="eastAsia" w:ascii="仿宋_GB2312" w:hAnsi="宋体" w:eastAsia="仿宋_GB2312" w:cs="Times New Roman"/>
          <w:b w:val="0"/>
          <w:bCs w:val="0"/>
          <w:color w:val="auto"/>
          <w:kern w:val="2"/>
          <w:sz w:val="28"/>
          <w:szCs w:val="28"/>
          <w:lang w:val="en-US" w:eastAsia="zh-CN" w:bidi="ar-SA"/>
        </w:rPr>
        <w:t>提供证明材料。业绩要求：合同签订金额 1000 万元（含）以上</w:t>
      </w:r>
      <w:r>
        <w:rPr>
          <w:rFonts w:hint="eastAsia" w:ascii="仿宋_GB2312" w:hAnsi="宋体" w:eastAsia="仿宋_GB2312" w:cs="Times New Roman"/>
          <w:b w:val="0"/>
          <w:bCs w:val="0"/>
          <w:color w:val="000000"/>
          <w:kern w:val="2"/>
          <w:sz w:val="28"/>
          <w:szCs w:val="28"/>
          <w:lang w:val="en-US" w:eastAsia="zh-CN" w:bidi="ar-SA"/>
        </w:rPr>
        <w:t>。</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业绩要求证明：必须能够体现并提供证明：工程名称、工程详细地址、工程建设面积、机柜数量、合同中标金额、建设单位名称、地址及联系人（手机及办公电话）等核心要素；证明材料需提供合同复印件（加盖公章）、中标通知书复印件（加盖公章）、竣工验收报告复印件（加盖公章），无法体现核心要素则须提供项目建设单位</w:t>
      </w:r>
      <w:r>
        <w:rPr>
          <w:rFonts w:hint="eastAsia" w:ascii="仿宋_GB2312" w:hAnsi="宋体" w:eastAsia="仿宋_GB2312" w:cs="Times New Roman"/>
          <w:b/>
          <w:bCs/>
          <w:color w:val="000000"/>
          <w:kern w:val="2"/>
          <w:sz w:val="28"/>
          <w:szCs w:val="28"/>
          <w:highlight w:val="none"/>
          <w:lang w:val="en-US" w:eastAsia="zh-CN" w:bidi="ar-SA"/>
        </w:rPr>
        <w:t>（或总包</w:t>
      </w:r>
      <w:r>
        <w:rPr>
          <w:rFonts w:ascii="仿宋_GB2312" w:hAnsi="宋体" w:eastAsia="仿宋_GB2312" w:cs="Times New Roman"/>
          <w:b/>
          <w:bCs/>
          <w:color w:val="000000"/>
          <w:kern w:val="2"/>
          <w:sz w:val="28"/>
          <w:szCs w:val="28"/>
          <w:highlight w:val="none"/>
          <w:lang w:val="en-US" w:eastAsia="zh-CN" w:bidi="ar-SA"/>
        </w:rPr>
        <w:t>单位</w:t>
      </w:r>
      <w:r>
        <w:rPr>
          <w:rFonts w:hint="eastAsia" w:ascii="仿宋_GB2312" w:hAnsi="宋体" w:eastAsia="仿宋_GB2312" w:cs="Times New Roman"/>
          <w:b/>
          <w:bCs/>
          <w:color w:val="000000"/>
          <w:kern w:val="2"/>
          <w:sz w:val="28"/>
          <w:szCs w:val="28"/>
          <w:highlight w:val="none"/>
          <w:lang w:val="en-US" w:eastAsia="zh-CN" w:bidi="ar-SA"/>
        </w:rPr>
        <w:t>）</w:t>
      </w:r>
      <w:r>
        <w:rPr>
          <w:rFonts w:hint="eastAsia" w:ascii="仿宋_GB2312" w:hAnsi="宋体" w:eastAsia="仿宋_GB2312" w:cs="Times New Roman"/>
          <w:b w:val="0"/>
          <w:bCs w:val="0"/>
          <w:color w:val="000000"/>
          <w:kern w:val="2"/>
          <w:sz w:val="28"/>
          <w:szCs w:val="28"/>
          <w:lang w:val="en-US" w:eastAsia="zh-CN" w:bidi="ar-SA"/>
        </w:rPr>
        <w:t>加盖公章的证明函，同时投标人所提供的业绩招标人无论何时都有进行实地考查的权利。</w:t>
      </w:r>
    </w:p>
    <w:p>
      <w:pPr>
        <w:numPr>
          <w:ilvl w:val="1"/>
          <w:numId w:val="267"/>
        </w:numPr>
        <w:spacing w:before="0" w:after="0" w:line="600" w:lineRule="exact"/>
        <w:ind w:left="11" w:firstLine="28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投标人人员资格要求：</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拟派项目经理资格要求：须持有住建部颁发的一级注册建造师执业资格证书（建筑工程或机电工程专业，在本单位注册）；具有有效安全生产考核合格证；有三年以上类似项目现场管理经验；独立承接并验收完成至少1个数据中心施工总承包业绩；承诺无在建或中标待建工程。</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auto"/>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个人业绩要求：合同签订金额1000万元（含）以上，且建设面</w:t>
      </w:r>
      <w:r>
        <w:rPr>
          <w:rFonts w:hint="eastAsia" w:ascii="仿宋_GB2312" w:hAnsi="宋体" w:eastAsia="仿宋_GB2312" w:cs="Times New Roman"/>
          <w:b w:val="0"/>
          <w:bCs w:val="0"/>
          <w:color w:val="auto"/>
          <w:kern w:val="2"/>
          <w:sz w:val="28"/>
          <w:szCs w:val="28"/>
          <w:lang w:val="en-US" w:eastAsia="zh-CN" w:bidi="ar-SA"/>
        </w:rPr>
        <w:t>积400平米（含）以上（不包含普通办公辅助区）或机柜数量80柜（含）以上。</w:t>
      </w:r>
    </w:p>
    <w:p>
      <w:pPr>
        <w:spacing w:before="0" w:after="0" w:line="600" w:lineRule="exact"/>
        <w:ind w:firstLine="420" w:firstLineChars="150"/>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auto"/>
          <w:kern w:val="2"/>
          <w:sz w:val="28"/>
          <w:szCs w:val="28"/>
          <w:lang w:val="en-US" w:eastAsia="zh-CN" w:bidi="ar-SA"/>
        </w:rPr>
        <w:t>注1：个人业绩规模资料中必须能够体现并提供证明：工程名称、工程</w:t>
      </w:r>
      <w:r>
        <w:rPr>
          <w:rFonts w:hint="eastAsia" w:ascii="仿宋_GB2312" w:hAnsi="宋体" w:eastAsia="仿宋_GB2312" w:cs="Times New Roman"/>
          <w:b w:val="0"/>
          <w:bCs w:val="0"/>
          <w:color w:val="000000"/>
          <w:kern w:val="2"/>
          <w:sz w:val="28"/>
          <w:szCs w:val="28"/>
          <w:lang w:val="en-US" w:eastAsia="zh-CN" w:bidi="ar-SA"/>
        </w:rPr>
        <w:t>详细地址、工程建设面积、机柜数量、合同中标金额、建设单位名称、地址及联系人（手机及办公电话）等核心要素；证明材料需提供合同复印件（加盖公章）、中标通知书复印件（加盖公章）、竣工验收报告复印件（加盖公章），无法体现核心要素则须提供项目建设单位加盖公章的证明函，同时投标人所提供的业绩招标人无论何时都有进行实地考查的权利。</w:t>
      </w:r>
    </w:p>
    <w:p>
      <w:pPr>
        <w:spacing w:before="0" w:after="0" w:line="600" w:lineRule="exact"/>
        <w:ind w:firstLine="420" w:firstLineChars="150"/>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注2：项目经理需提供在投标人单位近3个月社保证明复印件。</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bCs/>
          <w:color w:val="000000"/>
          <w:kern w:val="2"/>
          <w:sz w:val="28"/>
          <w:szCs w:val="28"/>
          <w:lang w:val="en-US" w:eastAsia="zh-CN" w:bidi="ar-SA"/>
        </w:rPr>
        <w:t>设计负责人的资格要求</w:t>
      </w:r>
      <w:r>
        <w:rPr>
          <w:rFonts w:hint="eastAsia" w:ascii="仿宋_GB2312" w:hAnsi="宋体" w:eastAsia="仿宋_GB2312" w:cs="Times New Roman"/>
          <w:b w:val="0"/>
          <w:bCs w:val="0"/>
          <w:color w:val="000000"/>
          <w:kern w:val="2"/>
          <w:sz w:val="28"/>
          <w:szCs w:val="28"/>
          <w:lang w:val="en-US" w:eastAsia="zh-CN" w:bidi="ar-SA"/>
        </w:rPr>
        <w:t>：必须是投标人企业在职人员；具备相关技术资格认证；具有类似规模数据中心的设计经验，能提供个人业绩证明材料。</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bCs/>
          <w:color w:val="000000"/>
          <w:kern w:val="2"/>
          <w:sz w:val="28"/>
          <w:szCs w:val="28"/>
          <w:lang w:val="en-US" w:eastAsia="zh-CN" w:bidi="ar-SA"/>
        </w:rPr>
        <w:t>施工负责人的资格要求</w:t>
      </w:r>
      <w:r>
        <w:rPr>
          <w:rFonts w:hint="eastAsia" w:ascii="仿宋_GB2312" w:hAnsi="宋体" w:eastAsia="仿宋_GB2312" w:cs="Times New Roman"/>
          <w:b w:val="0"/>
          <w:bCs w:val="0"/>
          <w:color w:val="000000"/>
          <w:kern w:val="2"/>
          <w:sz w:val="28"/>
          <w:szCs w:val="28"/>
          <w:lang w:val="en-US" w:eastAsia="zh-CN" w:bidi="ar-SA"/>
        </w:rPr>
        <w:t>：必须是投标人企业在职人员；具备相关技术资格认证；具有类似规模数据中心的实施现场经验，能提供个人业绩证明材料。</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bCs/>
          <w:color w:val="000000"/>
          <w:kern w:val="2"/>
          <w:sz w:val="28"/>
          <w:szCs w:val="28"/>
          <w:lang w:val="en-US" w:eastAsia="zh-CN" w:bidi="ar-SA"/>
        </w:rPr>
        <w:t>拟派项目管理机构及人员资格要求</w:t>
      </w:r>
      <w:r>
        <w:rPr>
          <w:rFonts w:hint="eastAsia" w:ascii="仿宋_GB2312" w:hAnsi="宋体" w:eastAsia="仿宋_GB2312" w:cs="Times New Roman"/>
          <w:b w:val="0"/>
          <w:bCs w:val="0"/>
          <w:color w:val="000000"/>
          <w:kern w:val="2"/>
          <w:sz w:val="28"/>
          <w:szCs w:val="28"/>
          <w:lang w:val="en-US" w:eastAsia="zh-CN" w:bidi="ar-SA"/>
        </w:rPr>
        <w:t xml:space="preserve">：必须是投标人企业在职人员；各成员均具备相关技术资格认证；具有类似规模数据中心的管理经验。 </w:t>
      </w:r>
    </w:p>
    <w:p>
      <w:pPr>
        <w:spacing w:before="0" w:after="0" w:line="600" w:lineRule="exact"/>
        <w:ind w:firstLine="560" w:firstLineChars="200"/>
        <w:jc w:val="left"/>
        <w:outlineLvl w:val="9"/>
        <w:rPr>
          <w:rFonts w:ascii="仿宋_GB2312" w:hAnsi="宋体" w:eastAsia="仿宋_GB2312" w:cs="Times New Roman"/>
          <w:b w:val="0"/>
          <w:bCs/>
          <w:color w:val="000000"/>
          <w:kern w:val="2"/>
          <w:sz w:val="28"/>
          <w:szCs w:val="28"/>
          <w:lang w:val="en-US" w:eastAsia="zh-CN" w:bidi="ar-SA"/>
        </w:rPr>
      </w:pPr>
      <w:r>
        <w:rPr>
          <w:rFonts w:hint="eastAsia" w:ascii="仿宋_GB2312" w:hAnsi="宋体" w:eastAsia="仿宋_GB2312" w:cs="Times New Roman"/>
          <w:b w:val="0"/>
          <w:bCs/>
          <w:color w:val="000000"/>
          <w:kern w:val="2"/>
          <w:sz w:val="28"/>
          <w:szCs w:val="28"/>
          <w:lang w:val="en-US" w:eastAsia="zh-CN" w:bidi="ar-SA"/>
        </w:rPr>
        <w:t>注：主要人员指：造价师、质检员、安全员、施工员、材料员、资料员等，至少提供</w:t>
      </w:r>
      <w:r>
        <w:rPr>
          <w:rFonts w:ascii="仿宋_GB2312" w:hAnsi="宋体" w:eastAsia="仿宋_GB2312" w:cs="Times New Roman"/>
          <w:b w:val="0"/>
          <w:bCs/>
          <w:color w:val="000000"/>
          <w:kern w:val="2"/>
          <w:sz w:val="28"/>
          <w:szCs w:val="28"/>
          <w:lang w:val="en-US" w:eastAsia="zh-CN" w:bidi="ar-SA"/>
        </w:rPr>
        <w:t>在投标人单位</w:t>
      </w:r>
      <w:r>
        <w:rPr>
          <w:rFonts w:hint="eastAsia" w:ascii="仿宋_GB2312" w:hAnsi="宋体" w:eastAsia="仿宋_GB2312" w:cs="Times New Roman"/>
          <w:b w:val="0"/>
          <w:bCs/>
          <w:color w:val="000000"/>
          <w:kern w:val="2"/>
          <w:sz w:val="28"/>
          <w:szCs w:val="28"/>
          <w:lang w:val="en-US" w:eastAsia="zh-CN" w:bidi="ar-SA"/>
        </w:rPr>
        <w:t>近3个月社保证明复印件，证书如有变更，以发证机关核准后的变更为准；各成员均获得相关专业技术资格认证（需提供相关证书复印件）</w:t>
      </w:r>
      <w:r>
        <w:rPr>
          <w:rFonts w:ascii="仿宋_GB2312" w:hAnsi="宋体" w:eastAsia="仿宋_GB2312" w:cs="Times New Roman"/>
          <w:b w:val="0"/>
          <w:bCs/>
          <w:color w:val="000000"/>
          <w:kern w:val="2"/>
          <w:sz w:val="28"/>
          <w:szCs w:val="28"/>
          <w:lang w:val="en-US" w:eastAsia="zh-CN" w:bidi="ar-SA"/>
        </w:rPr>
        <w:t>。</w:t>
      </w:r>
    </w:p>
    <w:p>
      <w:pPr>
        <w:numPr>
          <w:ilvl w:val="1"/>
          <w:numId w:val="267"/>
        </w:numPr>
        <w:spacing w:before="0" w:after="0" w:line="600" w:lineRule="exact"/>
        <w:ind w:left="11" w:firstLine="28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信誉要求：投标人未处于被责令停业、投标资格被取消或者财产被接管、冻结和破产状态的以及有违法行为的；企业没有因骗取中标或者严重违约以及发生重大工程质量、安全生产事故等问题，被有关部门暂停投标资格并在暂停期内的；近三年所承建的同类项目无重大质量安全事故（重大工程质量问题以建设行政主管部门书面认定为准），投标人不得存在被人民法院列入失信被执行人的情形（以“信用中国”官网www.creditchina.gov.cn查询为准），否则招标人有权取消其参与投标的资格。符合法律，法规规定的其他条件。</w:t>
      </w:r>
    </w:p>
    <w:p>
      <w:pPr>
        <w:numPr>
          <w:ilvl w:val="1"/>
          <w:numId w:val="267"/>
        </w:numPr>
        <w:spacing w:before="0" w:after="0" w:line="600" w:lineRule="exact"/>
        <w:ind w:left="11" w:firstLine="28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投标人不得与本项目监理、建设单位存在隶属关系和利益关系，不得作为建设单位投资者和合伙经营者。</w:t>
      </w:r>
    </w:p>
    <w:p>
      <w:pPr>
        <w:numPr>
          <w:ilvl w:val="1"/>
          <w:numId w:val="267"/>
        </w:numPr>
        <w:spacing w:before="0" w:after="0" w:line="600" w:lineRule="exact"/>
        <w:ind w:left="11" w:firstLine="28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本项目不接受联合体形式投标。</w:t>
      </w:r>
    </w:p>
    <w:p>
      <w:pPr>
        <w:numPr>
          <w:ilvl w:val="0"/>
          <w:numId w:val="267"/>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017" w:name="_Toc467078912"/>
      <w:r>
        <w:rPr>
          <w:rFonts w:hint="eastAsia" w:ascii="仿宋_GB2312" w:hAnsi="宋体" w:eastAsia="仿宋_GB2312" w:cs="Times New Roman"/>
          <w:b w:val="0"/>
          <w:bCs/>
          <w:color w:val="000000"/>
          <w:kern w:val="2"/>
          <w:sz w:val="28"/>
          <w:szCs w:val="28"/>
          <w:lang w:val="en-US" w:eastAsia="zh-CN" w:bidi="ar-SA"/>
        </w:rPr>
        <w:t>工期要求</w:t>
      </w:r>
    </w:p>
    <w:p>
      <w:pPr>
        <w:numPr>
          <w:ilvl w:val="1"/>
          <w:numId w:val="267"/>
        </w:numPr>
        <w:spacing w:before="0" w:after="0" w:line="600" w:lineRule="exact"/>
        <w:ind w:left="11" w:firstLine="28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计划工期：设计、实施120日历天内完成。</w:t>
      </w:r>
    </w:p>
    <w:p>
      <w:pPr>
        <w:numPr>
          <w:ilvl w:val="1"/>
          <w:numId w:val="267"/>
        </w:numPr>
        <w:spacing w:before="0" w:after="0" w:line="600" w:lineRule="exact"/>
        <w:ind w:left="11" w:firstLine="283"/>
        <w:jc w:val="left"/>
        <w:outlineLvl w:val="9"/>
        <w:rPr>
          <w:rFonts w:hint="eastAsia" w:ascii="仿宋_GB2312" w:hAnsi="宋体" w:eastAsia="仿宋_GB2312" w:cs="Times New Roman"/>
          <w:b w:val="0"/>
          <w:bCs w:val="0"/>
          <w:color w:val="000000"/>
          <w:kern w:val="2"/>
          <w:sz w:val="28"/>
          <w:szCs w:val="28"/>
          <w:lang w:val="en-US" w:eastAsia="zh-CN" w:bidi="ar-SA"/>
        </w:rPr>
      </w:pPr>
      <w:r>
        <w:rPr>
          <w:rFonts w:hint="eastAsia" w:ascii="仿宋_GB2312" w:hAnsi="宋体" w:eastAsia="仿宋_GB2312" w:cs="Times New Roman"/>
          <w:b w:val="0"/>
          <w:bCs w:val="0"/>
          <w:color w:val="000000"/>
          <w:kern w:val="2"/>
          <w:sz w:val="28"/>
          <w:szCs w:val="28"/>
          <w:lang w:val="en-US" w:eastAsia="zh-CN" w:bidi="ar-SA"/>
        </w:rPr>
        <w:t>具体以招标人、监理人的书面通知为准。</w:t>
      </w:r>
    </w:p>
    <w:p>
      <w:pPr>
        <w:numPr>
          <w:ilvl w:val="0"/>
          <w:numId w:val="267"/>
        </w:numPr>
        <w:spacing w:before="0" w:after="0" w:line="600" w:lineRule="exact"/>
        <w:ind w:left="2268" w:hanging="425"/>
        <w:jc w:val="left"/>
        <w:outlineLvl w:val="1"/>
        <w:rPr>
          <w:rFonts w:ascii="仿宋_GB2312" w:hAnsi="宋体" w:eastAsia="仿宋_GB2312" w:cs="Times New Roman"/>
          <w:b w:val="0"/>
          <w:bCs/>
          <w:color w:val="000000"/>
          <w:kern w:val="2"/>
          <w:sz w:val="28"/>
          <w:szCs w:val="28"/>
          <w:lang w:val="en-US" w:eastAsia="zh-CN" w:bidi="ar-SA"/>
        </w:rPr>
      </w:pPr>
      <w:bookmarkStart w:id="1018" w:name="_Toc467078911"/>
      <w:r>
        <w:rPr>
          <w:rFonts w:hint="eastAsia" w:ascii="仿宋_GB2312" w:hAnsi="宋体" w:eastAsia="仿宋_GB2312" w:cs="Times New Roman"/>
          <w:b w:val="0"/>
          <w:bCs/>
          <w:color w:val="000000"/>
          <w:kern w:val="2"/>
          <w:sz w:val="28"/>
          <w:szCs w:val="28"/>
          <w:lang w:val="en-US" w:eastAsia="zh-CN" w:bidi="ar-SA"/>
        </w:rPr>
        <w:t>费用承担和设计成果补偿：</w:t>
      </w:r>
      <w:r>
        <w:rPr>
          <w:rFonts w:hint="eastAsia" w:ascii="仿宋_GB2312" w:hAnsi="宋体" w:eastAsia="仿宋_GB2312" w:cs="Times New Roman"/>
          <w:b w:val="0"/>
          <w:bCs/>
          <w:color w:val="000000"/>
          <w:kern w:val="2"/>
          <w:sz w:val="28"/>
          <w:szCs w:val="28"/>
          <w:u w:val="single"/>
          <w:lang w:val="en-US" w:eastAsia="zh-CN" w:bidi="ar-SA"/>
        </w:rPr>
        <w:t>不补偿</w:t>
      </w:r>
      <w:r>
        <w:rPr>
          <w:rFonts w:hint="eastAsia" w:ascii="仿宋_GB2312" w:hAnsi="宋体" w:eastAsia="仿宋_GB2312" w:cs="Times New Roman"/>
          <w:b w:val="0"/>
          <w:bCs/>
          <w:color w:val="000000"/>
          <w:kern w:val="2"/>
          <w:sz w:val="28"/>
          <w:szCs w:val="28"/>
          <w:lang w:val="en-US" w:eastAsia="zh-CN" w:bidi="ar-SA"/>
        </w:rPr>
        <w:t>。</w:t>
      </w:r>
    </w:p>
    <w:p>
      <w:pPr>
        <w:widowControl/>
        <w:rPr>
          <w:rFonts w:hint="eastAsia" w:ascii="Calibri" w:hAnsi="Calibri" w:eastAsia="仿宋" w:cs="Times New Roman"/>
          <w:sz w:val="28"/>
          <w:szCs w:val="20"/>
          <w:lang w:eastAsia="zh-CN"/>
        </w:rPr>
      </w:pPr>
      <w:r>
        <w:rPr>
          <w:rFonts w:hint="eastAsia" w:ascii="Calibri" w:hAnsi="Calibri" w:eastAsia="仿宋" w:cs="Times New Roman"/>
          <w:sz w:val="28"/>
          <w:szCs w:val="20"/>
        </w:rPr>
        <w:t>本工程验收交付后，工程承建方需要派遣一名参与本项目的技术人员驻场3个月</w:t>
      </w:r>
      <w:r>
        <w:rPr>
          <w:rFonts w:hint="eastAsia" w:ascii="Calibri" w:hAnsi="Calibri" w:eastAsia="仿宋" w:cs="Times New Roman"/>
          <w:sz w:val="28"/>
          <w:szCs w:val="20"/>
          <w:lang w:eastAsia="zh-CN"/>
        </w:rPr>
        <w:t>，</w:t>
      </w:r>
      <w:r>
        <w:rPr>
          <w:rFonts w:hint="eastAsia" w:ascii="Calibri" w:hAnsi="Calibri" w:eastAsia="仿宋" w:cs="Times New Roman"/>
          <w:sz w:val="28"/>
          <w:szCs w:val="20"/>
        </w:rPr>
        <w:t>驻场人员所产生的费用包含在此次投标报价中</w:t>
      </w:r>
      <w:r>
        <w:rPr>
          <w:rFonts w:hint="eastAsia" w:ascii="Calibri" w:hAnsi="Calibri" w:eastAsia="仿宋" w:cs="Times New Roman"/>
          <w:sz w:val="28"/>
          <w:szCs w:val="20"/>
          <w:lang w:eastAsia="zh-CN"/>
        </w:rPr>
        <w:t>。</w:t>
      </w:r>
    </w:p>
    <w:p>
      <w:pPr>
        <w:pStyle w:val="2"/>
        <w:rPr>
          <w:rFonts w:hint="eastAsia"/>
        </w:rPr>
      </w:pPr>
    </w:p>
    <w:bookmarkEnd w:id="1017"/>
    <w:bookmarkEnd w:id="1018"/>
    <w:p>
      <w:pPr>
        <w:widowControl/>
        <w:numPr>
          <w:ilvl w:val="0"/>
          <w:numId w:val="0"/>
        </w:numPr>
        <w:spacing w:after="180" w:line="660" w:lineRule="exact"/>
        <w:ind w:leftChars="0"/>
        <w:jc w:val="left"/>
        <w:textAlignment w:val="center"/>
        <w:outlineLvl w:val="0"/>
        <w:rPr>
          <w:rFonts w:hint="eastAsia" w:ascii="仿宋_GB2312" w:hAnsi="宋体" w:eastAsia="仿宋_GB2312" w:cs="Times New Roman"/>
          <w:b/>
          <w:color w:val="000000"/>
          <w:kern w:val="2"/>
          <w:sz w:val="28"/>
          <w:szCs w:val="28"/>
          <w:lang w:val="en-US" w:eastAsia="zh-CN" w:bidi="ar-SA"/>
        </w:rPr>
      </w:pPr>
      <w:bookmarkStart w:id="1019" w:name="_Toc441654379"/>
      <w:bookmarkStart w:id="1020" w:name="_Toc25651358"/>
      <w:bookmarkStart w:id="1021" w:name="_Toc441654378"/>
      <w:bookmarkStart w:id="1022" w:name="_Toc408934657"/>
      <w:bookmarkStart w:id="1023" w:name="_Toc408935447"/>
      <w:bookmarkStart w:id="1024" w:name="_Toc408935524"/>
      <w:bookmarkStart w:id="1025" w:name="_Toc404612924"/>
      <w:bookmarkStart w:id="1026" w:name="_Toc409103637"/>
      <w:bookmarkStart w:id="1027" w:name="_Toc383936194"/>
      <w:bookmarkStart w:id="1028" w:name="_Toc408934768"/>
      <w:r>
        <w:rPr>
          <w:rFonts w:hint="eastAsia" w:ascii="仿宋_GB2312" w:hAnsi="宋体" w:eastAsia="仿宋_GB2312" w:cs="Times New Roman"/>
          <w:b/>
          <w:color w:val="000000"/>
          <w:sz w:val="28"/>
          <w:szCs w:val="28"/>
          <w:lang w:eastAsia="zh-CN"/>
        </w:rPr>
        <w:t>第二部分</w:t>
      </w:r>
      <w:r>
        <w:rPr>
          <w:rFonts w:hint="eastAsia" w:ascii="仿宋_GB2312" w:hAnsi="宋体" w:eastAsia="仿宋_GB2312" w:cs="Times New Roman"/>
          <w:b/>
          <w:color w:val="000000"/>
          <w:sz w:val="28"/>
          <w:szCs w:val="28"/>
          <w:lang w:val="en-US" w:eastAsia="zh-CN"/>
        </w:rPr>
        <w:t xml:space="preserve"> </w:t>
      </w:r>
      <w:r>
        <w:rPr>
          <w:rFonts w:hint="eastAsia" w:ascii="仿宋_GB2312" w:hAnsi="宋体" w:eastAsia="仿宋_GB2312" w:cs="Times New Roman"/>
          <w:b/>
          <w:color w:val="000000"/>
          <w:kern w:val="2"/>
          <w:sz w:val="28"/>
          <w:szCs w:val="28"/>
          <w:lang w:val="en-US" w:eastAsia="zh-CN" w:bidi="ar-SA"/>
        </w:rPr>
        <w:t>工程施工</w:t>
      </w:r>
      <w:bookmarkEnd w:id="1019"/>
      <w:r>
        <w:rPr>
          <w:rFonts w:hint="eastAsia" w:ascii="仿宋_GB2312" w:hAnsi="宋体" w:eastAsia="仿宋_GB2312" w:cs="Times New Roman"/>
          <w:b/>
          <w:color w:val="000000"/>
          <w:kern w:val="2"/>
          <w:sz w:val="28"/>
          <w:szCs w:val="28"/>
          <w:lang w:val="en-US" w:eastAsia="zh-CN" w:bidi="ar-SA"/>
        </w:rPr>
        <w:t>与安装管理要求</w:t>
      </w:r>
      <w:bookmarkEnd w:id="1020"/>
    </w:p>
    <w:p>
      <w:pPr>
        <w:numPr>
          <w:ilvl w:val="0"/>
          <w:numId w:val="268"/>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029" w:name="_Toc25651359"/>
      <w:r>
        <w:rPr>
          <w:rFonts w:hint="eastAsia" w:ascii="仿宋_GB2312" w:hAnsi="宋体" w:eastAsia="仿宋_GB2312" w:cs="Times New Roman"/>
          <w:b w:val="0"/>
          <w:bCs/>
          <w:color w:val="000000"/>
          <w:kern w:val="2"/>
          <w:sz w:val="28"/>
          <w:szCs w:val="28"/>
          <w:lang w:val="en-US" w:eastAsia="zh-CN" w:bidi="ar-SA"/>
        </w:rPr>
        <w:t>一般要求</w:t>
      </w:r>
      <w:bookmarkEnd w:id="1029"/>
    </w:p>
    <w:p>
      <w:pPr>
        <w:widowControl/>
        <w:numPr>
          <w:ilvl w:val="0"/>
          <w:numId w:val="26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中标人为全部工程设计、实施、完成（至满足验收要求）以及修补其中的缺陷负责。</w:t>
      </w:r>
    </w:p>
    <w:p>
      <w:pPr>
        <w:widowControl/>
        <w:numPr>
          <w:ilvl w:val="0"/>
          <w:numId w:val="26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中标人应按招标人在通知书中提出的时间和要求进场，开展设计并开工。</w:t>
      </w:r>
    </w:p>
    <w:p>
      <w:pPr>
        <w:widowControl/>
        <w:numPr>
          <w:ilvl w:val="0"/>
          <w:numId w:val="26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中标人（项目经理和骨干人员）必须定期参加现场会议，积极配合招标人工作，以解决安装、调试、试运行中的所有问题。</w:t>
      </w:r>
    </w:p>
    <w:p>
      <w:pPr>
        <w:widowControl/>
        <w:numPr>
          <w:ilvl w:val="0"/>
          <w:numId w:val="26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要求中标人保证在进场后能尽快实施工程，中标人应在进场前做好必要和适当的准备工作，这些准备工作应视为中标人为完成合同而进行的工作的一部分。</w:t>
      </w:r>
    </w:p>
    <w:p>
      <w:pPr>
        <w:widowControl/>
        <w:numPr>
          <w:ilvl w:val="0"/>
          <w:numId w:val="26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主要设备厂商提供工程配合承诺，包括但不限于：工程项目组安排、交货计划、设计配合、设备报审配合、现场提供技术资料的内容、安装调试与培训、验收送电的配合等。</w:t>
      </w:r>
    </w:p>
    <w:p>
      <w:pPr>
        <w:numPr>
          <w:ilvl w:val="0"/>
          <w:numId w:val="268"/>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030" w:name="_Toc25651360"/>
      <w:r>
        <w:rPr>
          <w:rFonts w:hint="eastAsia" w:ascii="仿宋_GB2312" w:hAnsi="宋体" w:eastAsia="仿宋_GB2312" w:cs="Times New Roman"/>
          <w:b w:val="0"/>
          <w:bCs/>
          <w:color w:val="000000"/>
          <w:kern w:val="2"/>
          <w:sz w:val="28"/>
          <w:szCs w:val="28"/>
          <w:lang w:val="en-US" w:eastAsia="zh-CN" w:bidi="ar-SA"/>
        </w:rPr>
        <w:t>安装管理</w:t>
      </w:r>
      <w:bookmarkEnd w:id="1030"/>
    </w:p>
    <w:p>
      <w:pPr>
        <w:widowControl/>
        <w:numPr>
          <w:ilvl w:val="0"/>
          <w:numId w:val="27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招标人向中标人提供现场现有的基准定位、示意图纸等，中标人必须在进场后及施工过程中自行复核、校验。除此之外，中标人在施工过程中所需的一切定位、放线和相关的校核和检查均由其自行负责。要求中标人应特别重视本工程各专业工程之间定位和放线的相互校核检查工作。</w:t>
      </w:r>
    </w:p>
    <w:p>
      <w:pPr>
        <w:widowControl/>
        <w:numPr>
          <w:ilvl w:val="0"/>
          <w:numId w:val="27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要求中标人实施的设备基础，应待设备订货且核对尺寸无误后再施工。要求现场安装时，若设备间地面不平整，施工方应配置钢垫板、千斤顶等措施，并负责调整水平。</w:t>
      </w:r>
    </w:p>
    <w:p>
      <w:pPr>
        <w:widowControl/>
        <w:numPr>
          <w:ilvl w:val="0"/>
          <w:numId w:val="27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中标人在设备安装之前，应该对设备安装处的土建及环境条件进行检查，由于厂商设备变动安装条件引起的费用应由中标人自行负担。</w:t>
      </w:r>
    </w:p>
    <w:p>
      <w:pPr>
        <w:widowControl/>
        <w:numPr>
          <w:ilvl w:val="0"/>
          <w:numId w:val="27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中标人应在安装完成之前，向招标人、监理工程师提交调试和试运行的程序及记录表格，待招标人批准后实施。</w:t>
      </w:r>
    </w:p>
    <w:p>
      <w:pPr>
        <w:widowControl/>
        <w:numPr>
          <w:ilvl w:val="0"/>
          <w:numId w:val="27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除合同另行约定外，中标人应当设置合理可行的现场组织机构，并为此安排具有足够经验、认真负责和精干称职的管理和技术人员。除非事先得到招标人和监理工程师的书面批准，中标人不得更换或撤回主要管理人员和技术人员。招标人和监理工程师可要求中标人撤换其在现场被认为有下列行为的任何人员：</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在履行其职责时不能胜任或玩忽职守。</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不遵守合同的约定。</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经常出现有损健康与安全或有损环境保护的行为。</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严重违反招标人的有关规定和条例。</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技术能力不足以完成合同约定的工作内容。</w:t>
      </w:r>
    </w:p>
    <w:p>
      <w:pPr>
        <w:widowControl/>
        <w:spacing w:line="660" w:lineRule="exact"/>
        <w:jc w:val="left"/>
        <w:textAlignment w:val="center"/>
        <w:rPr>
          <w:rFonts w:hint="eastAsia" w:ascii="仿宋_GB2312" w:hAnsi="宋体" w:eastAsia="仿宋_GB2312" w:cs="仿宋"/>
          <w:bCs/>
          <w:kern w:val="0"/>
          <w:sz w:val="28"/>
          <w:szCs w:val="28"/>
        </w:rPr>
      </w:pPr>
      <w:r>
        <w:rPr>
          <w:rFonts w:hint="eastAsia" w:ascii="仿宋_GB2312" w:hAnsi="宋体" w:eastAsia="仿宋_GB2312" w:cs="仿宋"/>
          <w:bCs/>
          <w:kern w:val="0"/>
          <w:sz w:val="28"/>
          <w:szCs w:val="28"/>
        </w:rPr>
        <w:t xml:space="preserve">    如果出现上述情况，中标人应在招标人和监理提出此类要求后及时选派合适的替代人员，同时，中标人不得以此为理由提出任何工作的顺延或索赔，且应保证工程正常如期进行。</w:t>
      </w:r>
    </w:p>
    <w:p>
      <w:pPr>
        <w:numPr>
          <w:ilvl w:val="0"/>
          <w:numId w:val="268"/>
        </w:numPr>
        <w:spacing w:before="0" w:after="0" w:line="600" w:lineRule="exact"/>
        <w:ind w:left="2268" w:hanging="425"/>
        <w:jc w:val="left"/>
        <w:outlineLvl w:val="1"/>
        <w:rPr>
          <w:rFonts w:hint="eastAsia" w:ascii="仿宋_GB2312" w:hAnsi="宋体" w:eastAsia="仿宋_GB2312" w:cs="Times New Roman"/>
          <w:bCs/>
          <w:vanish/>
          <w:kern w:val="0"/>
          <w:sz w:val="28"/>
          <w:szCs w:val="28"/>
        </w:rPr>
      </w:pPr>
      <w:bookmarkStart w:id="1031" w:name="_Toc17624896"/>
      <w:bookmarkStart w:id="1032" w:name="_Toc6892"/>
      <w:bookmarkStart w:id="1033" w:name="_Toc1836"/>
      <w:bookmarkStart w:id="1034" w:name="_Toc246773435"/>
      <w:bookmarkStart w:id="1035" w:name="_Toc246769867"/>
      <w:bookmarkStart w:id="1036" w:name="_Toc25651361"/>
      <w:r>
        <w:rPr>
          <w:rFonts w:hint="eastAsia" w:ascii="仿宋_GB2312" w:hAnsi="宋体" w:eastAsia="仿宋_GB2312" w:cs="Times New Roman"/>
          <w:b w:val="0"/>
          <w:bCs/>
          <w:color w:val="000000"/>
          <w:kern w:val="2"/>
          <w:sz w:val="28"/>
          <w:szCs w:val="28"/>
          <w:lang w:val="en-US" w:eastAsia="zh-CN" w:bidi="ar-SA"/>
        </w:rPr>
        <w:t>施工现场条件</w:t>
      </w:r>
      <w:bookmarkEnd w:id="1031"/>
      <w:bookmarkEnd w:id="1032"/>
      <w:bookmarkEnd w:id="1033"/>
      <w:bookmarkEnd w:id="1034"/>
      <w:bookmarkEnd w:id="1035"/>
      <w:r>
        <w:rPr>
          <w:rFonts w:hint="eastAsia" w:ascii="仿宋_GB2312" w:hAnsi="宋体" w:eastAsia="仿宋_GB2312" w:cs="Times New Roman"/>
          <w:b w:val="0"/>
          <w:bCs/>
          <w:color w:val="000000"/>
          <w:kern w:val="2"/>
          <w:sz w:val="28"/>
          <w:szCs w:val="28"/>
          <w:lang w:val="en-US" w:eastAsia="zh-CN" w:bidi="ar-SA"/>
        </w:rPr>
        <w:t>要求</w:t>
      </w:r>
      <w:bookmarkEnd w:id="1036"/>
      <w:bookmarkStart w:id="1037" w:name="_Toc20484005"/>
      <w:bookmarkEnd w:id="1037"/>
      <w:bookmarkStart w:id="1038" w:name="_Toc20471766"/>
      <w:bookmarkEnd w:id="1038"/>
      <w:bookmarkStart w:id="1039" w:name="_Toc20489581"/>
      <w:bookmarkEnd w:id="1039"/>
      <w:bookmarkStart w:id="1040" w:name="_Toc25651362"/>
      <w:bookmarkEnd w:id="1040"/>
      <w:bookmarkStart w:id="1041" w:name="_Toc20728706"/>
      <w:bookmarkEnd w:id="1041"/>
      <w:bookmarkStart w:id="1042" w:name="_Toc20492018"/>
      <w:bookmarkEnd w:id="1042"/>
      <w:bookmarkStart w:id="1043" w:name="_Toc17624897"/>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044" w:name="_Toc25651363"/>
      <w:r>
        <w:rPr>
          <w:rFonts w:hint="eastAsia" w:ascii="仿宋_GB2312" w:hAnsi="宋体" w:eastAsia="仿宋_GB2312" w:cs="Times New Roman"/>
          <w:b w:val="0"/>
          <w:bCs w:val="0"/>
          <w:color w:val="000000"/>
          <w:kern w:val="2"/>
          <w:sz w:val="28"/>
          <w:szCs w:val="28"/>
          <w:lang w:val="en-US" w:eastAsia="zh-CN" w:bidi="ar-SA"/>
        </w:rPr>
        <w:t>现场条件</w:t>
      </w:r>
      <w:bookmarkEnd w:id="1043"/>
      <w:bookmarkEnd w:id="1044"/>
    </w:p>
    <w:p>
      <w:pPr>
        <w:widowControl/>
        <w:numPr>
          <w:ilvl w:val="0"/>
          <w:numId w:val="27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施工范围内可交付中标人施工安排的用地范围由招标人指定。</w:t>
      </w:r>
    </w:p>
    <w:p>
      <w:pPr>
        <w:widowControl/>
        <w:numPr>
          <w:ilvl w:val="0"/>
          <w:numId w:val="27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中标人须将施工场地的垃圾运输至指定地点，垃圾外运费用自行负责（费用包含在总承包管理费及配合服务费中）。</w:t>
      </w:r>
    </w:p>
    <w:p>
      <w:pPr>
        <w:widowControl/>
        <w:numPr>
          <w:ilvl w:val="0"/>
          <w:numId w:val="27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施工现场道路情况：施工范围场外道路可通行施工车辆，供施工和材料进场。</w:t>
      </w:r>
    </w:p>
    <w:p>
      <w:pPr>
        <w:widowControl/>
        <w:numPr>
          <w:ilvl w:val="0"/>
          <w:numId w:val="27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现场办公场地、工作住宿等由中标人自行解决。</w:t>
      </w:r>
    </w:p>
    <w:p>
      <w:pPr>
        <w:widowControl/>
        <w:numPr>
          <w:ilvl w:val="0"/>
          <w:numId w:val="27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施工用电、用水：由招标人提供接口，中标人按规定接驳，并按协议向大楼物业支付水电费。</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045" w:name="_Toc25651364"/>
      <w:bookmarkStart w:id="1046" w:name="_Toc17624898"/>
      <w:r>
        <w:rPr>
          <w:rFonts w:hint="eastAsia" w:ascii="仿宋_GB2312" w:hAnsi="宋体" w:eastAsia="仿宋_GB2312" w:cs="Times New Roman"/>
          <w:b w:val="0"/>
          <w:bCs w:val="0"/>
          <w:color w:val="000000"/>
          <w:kern w:val="2"/>
          <w:sz w:val="28"/>
          <w:szCs w:val="28"/>
          <w:lang w:val="en-US" w:eastAsia="zh-CN" w:bidi="ar-SA"/>
        </w:rPr>
        <w:t>当地环境情况</w:t>
      </w:r>
      <w:bookmarkEnd w:id="1045"/>
      <w:bookmarkEnd w:id="1046"/>
    </w:p>
    <w:p>
      <w:pPr>
        <w:widowControl/>
        <w:numPr>
          <w:ilvl w:val="0"/>
          <w:numId w:val="27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在设计、采购、制造、装配、检验和调试本技术要求所述的仪器和设备时，必须考虑下列有关当地的气候情况。</w:t>
      </w:r>
    </w:p>
    <w:p>
      <w:pPr>
        <w:widowControl/>
        <w:numPr>
          <w:ilvl w:val="0"/>
          <w:numId w:val="27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设备规格及设计所需符合的环境条件。</w:t>
      </w:r>
    </w:p>
    <w:p>
      <w:pPr>
        <w:widowControl/>
        <w:numPr>
          <w:ilvl w:val="0"/>
          <w:numId w:val="27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除本技术要求特别说明外，所有设备包括电气设备和机械配件都应能于当地环境条件下进行测试工作及正常操作。</w:t>
      </w:r>
    </w:p>
    <w:p>
      <w:pPr>
        <w:widowControl/>
        <w:numPr>
          <w:ilvl w:val="0"/>
          <w:numId w:val="27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按本技术要求，部分设备需在更恶劣的环境条件下作正常运作，而所有设备有可能需要在较高温度和湿度的恶劣环境下作短暂性的操作。</w:t>
      </w:r>
    </w:p>
    <w:p>
      <w:pPr>
        <w:widowControl/>
        <w:numPr>
          <w:ilvl w:val="0"/>
          <w:numId w:val="27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所有设备必须为低噪声和高效率型，并须符合当地环保部门噪声管制的要求。</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047" w:name="_Toc25651366"/>
      <w:bookmarkStart w:id="1048" w:name="_Toc17624900"/>
      <w:r>
        <w:rPr>
          <w:rFonts w:hint="eastAsia" w:ascii="仿宋_GB2312" w:hAnsi="宋体" w:eastAsia="仿宋_GB2312" w:cs="Times New Roman"/>
          <w:b w:val="0"/>
          <w:bCs w:val="0"/>
          <w:color w:val="000000"/>
          <w:kern w:val="2"/>
          <w:sz w:val="28"/>
          <w:szCs w:val="28"/>
          <w:lang w:val="en-US" w:eastAsia="zh-CN" w:bidi="ar-SA"/>
        </w:rPr>
        <w:t>设计图纸</w:t>
      </w:r>
      <w:bookmarkEnd w:id="1047"/>
      <w:bookmarkEnd w:id="1048"/>
    </w:p>
    <w:p>
      <w:pPr>
        <w:widowControl/>
        <w:numPr>
          <w:ilvl w:val="0"/>
          <w:numId w:val="27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本工程中招标使用的示意图纸和说明、需求书及国家现行施工验收规范作为投标和设计、施工依据，但不是施工的唯一依据。</w:t>
      </w:r>
    </w:p>
    <w:p>
      <w:pPr>
        <w:widowControl/>
        <w:numPr>
          <w:ilvl w:val="0"/>
          <w:numId w:val="27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招标人提供给中标人的图纸和需求书，中标人必须及时审阅，细化，若有错漏、碰缺须在招标前向招标人提出，否则由此导致的损失概由中标人承担。</w:t>
      </w:r>
    </w:p>
    <w:p>
      <w:pPr>
        <w:numPr>
          <w:ilvl w:val="0"/>
          <w:numId w:val="268"/>
        </w:numPr>
        <w:spacing w:before="0" w:after="0" w:line="600" w:lineRule="exact"/>
        <w:ind w:left="2268" w:hanging="425"/>
        <w:jc w:val="left"/>
        <w:outlineLvl w:val="1"/>
        <w:rPr>
          <w:rFonts w:hint="eastAsia" w:ascii="仿宋_GB2312" w:hAnsi="宋体" w:eastAsia="仿宋_GB2312" w:cs="Times New Roman"/>
          <w:bCs/>
          <w:vanish/>
          <w:kern w:val="0"/>
          <w:sz w:val="28"/>
          <w:szCs w:val="28"/>
        </w:rPr>
      </w:pPr>
      <w:bookmarkStart w:id="1049" w:name="_Toc25651367"/>
      <w:r>
        <w:rPr>
          <w:rFonts w:hint="eastAsia" w:ascii="仿宋_GB2312" w:hAnsi="宋体" w:eastAsia="仿宋_GB2312" w:cs="Times New Roman"/>
          <w:b w:val="0"/>
          <w:bCs/>
          <w:color w:val="000000"/>
          <w:kern w:val="2"/>
          <w:sz w:val="28"/>
          <w:szCs w:val="28"/>
          <w:lang w:val="en-US" w:eastAsia="zh-CN" w:bidi="ar-SA"/>
        </w:rPr>
        <w:t>施工</w:t>
      </w:r>
      <w:bookmarkEnd w:id="1021"/>
      <w:r>
        <w:rPr>
          <w:rFonts w:hint="eastAsia" w:ascii="仿宋_GB2312" w:hAnsi="宋体" w:eastAsia="仿宋_GB2312" w:cs="Times New Roman"/>
          <w:b w:val="0"/>
          <w:bCs/>
          <w:color w:val="000000"/>
          <w:kern w:val="2"/>
          <w:sz w:val="28"/>
          <w:szCs w:val="28"/>
          <w:lang w:val="en-US" w:eastAsia="zh-CN" w:bidi="ar-SA"/>
        </w:rPr>
        <w:t>组织与方案要求</w:t>
      </w:r>
      <w:bookmarkEnd w:id="1049"/>
      <w:bookmarkStart w:id="1050" w:name="_Toc20492024"/>
      <w:bookmarkEnd w:id="1050"/>
      <w:bookmarkStart w:id="1051" w:name="_Toc20489587"/>
      <w:bookmarkEnd w:id="1051"/>
      <w:bookmarkStart w:id="1052" w:name="_Toc25651368"/>
      <w:bookmarkEnd w:id="1052"/>
      <w:bookmarkStart w:id="1053" w:name="_Toc20728712"/>
      <w:bookmarkEnd w:id="1053"/>
      <w:bookmarkStart w:id="1054" w:name="_Toc20728713"/>
      <w:bookmarkEnd w:id="1054"/>
      <w:bookmarkStart w:id="1055" w:name="_Toc20492025"/>
      <w:bookmarkEnd w:id="1055"/>
      <w:bookmarkStart w:id="1056" w:name="_Toc25651369"/>
      <w:bookmarkEnd w:id="1056"/>
      <w:bookmarkStart w:id="1057" w:name="_Toc20489588"/>
      <w:bookmarkEnd w:id="1057"/>
      <w:bookmarkStart w:id="1058" w:name="_Toc20492026"/>
      <w:bookmarkEnd w:id="1058"/>
      <w:bookmarkStart w:id="1059" w:name="_Toc20728714"/>
      <w:bookmarkEnd w:id="1059"/>
      <w:bookmarkStart w:id="1060" w:name="_Toc20489589"/>
      <w:bookmarkEnd w:id="1060"/>
      <w:bookmarkStart w:id="1061" w:name="_Toc25651370"/>
      <w:bookmarkEnd w:id="1061"/>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062" w:name="_Toc25651371"/>
      <w:r>
        <w:rPr>
          <w:rFonts w:hint="eastAsia" w:ascii="仿宋_GB2312" w:hAnsi="宋体" w:eastAsia="仿宋_GB2312" w:cs="Times New Roman"/>
          <w:b w:val="0"/>
          <w:bCs w:val="0"/>
          <w:color w:val="000000"/>
          <w:kern w:val="2"/>
          <w:sz w:val="28"/>
          <w:szCs w:val="28"/>
          <w:lang w:val="en-US" w:eastAsia="zh-CN" w:bidi="ar-SA"/>
        </w:rPr>
        <w:t>一般性要求</w:t>
      </w:r>
      <w:bookmarkEnd w:id="1062"/>
    </w:p>
    <w:p>
      <w:pPr>
        <w:widowControl/>
        <w:numPr>
          <w:ilvl w:val="0"/>
          <w:numId w:val="27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编制施工组织方案基本要求：编制时应采用文字并结合图表形式说明施工方法。</w:t>
      </w:r>
    </w:p>
    <w:p>
      <w:pPr>
        <w:widowControl/>
        <w:numPr>
          <w:ilvl w:val="0"/>
          <w:numId w:val="27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要求施工组织方案应包含但不局限于：</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施工组织设计、项目方案、系统集成方案、优化的分项工程工艺框图、培训及售后方案等。</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应从项目合同、项目成本、项目计划、施工管理、技术管理、项目材料、项目成本、项目质量、项目安全、项目验收、工人总体信息等方面进行详细描述。</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应提供拟投入本标段的主要施工设备情况、拟配备本标段的试验和检测仪器设备情况、劳动力计划等。</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要求结合工程特点提出切实可行的工程质量、安全生产、文明施工、工程进度、技术组织措施，同时应对关键工序、复杂环节重点提出相应技术措施，如冬/雨季施工技术、减少噪音、降低环境污染及其他地上地下设施的保护加固措施等。</w:t>
      </w:r>
    </w:p>
    <w:p>
      <w:pPr>
        <w:widowControl/>
        <w:numPr>
          <w:ilvl w:val="0"/>
          <w:numId w:val="27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除非合同中另有约定，中标人在合同生效或进场后5个工作日内，向招标人及监理工程师提交一份适合于整个工程的施工规划，以及主要工序的施工方案，待招标人批准后实施。该施工规划和施工方案不应对投标文件提交的施工规划和施工方案做实质性变动，而是对其的进一步细化。在施工过程中，招标人及监理工程师有权要求中标人随时提交招标人和监理工程师认为有必要的关于施工规划和施工方案的任何说明或文件。</w:t>
      </w:r>
    </w:p>
    <w:p>
      <w:pPr>
        <w:widowControl/>
        <w:numPr>
          <w:ilvl w:val="0"/>
          <w:numId w:val="27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中标人应按照经监理工程师批准的上述施工规划和施工方案进行施工。但在任何情况下，监理工程师对上述任何施工规划或施工方案的批准不应解除中标人对其应负的责任。</w:t>
      </w:r>
    </w:p>
    <w:p>
      <w:pPr>
        <w:widowControl/>
        <w:numPr>
          <w:ilvl w:val="0"/>
          <w:numId w:val="27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中标人应对整个现场的施工规划和施工方案的适用性、稳定性和安全性负全面责任。</w:t>
      </w:r>
    </w:p>
    <w:p>
      <w:pPr>
        <w:widowControl/>
        <w:numPr>
          <w:ilvl w:val="0"/>
          <w:numId w:val="27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中标人在项目施工方案进行深化设计时，应完善施工组织设计。对实施项目中的界面部分，要求项目的双方签署详细施工界面协议。</w:t>
      </w:r>
    </w:p>
    <w:p>
      <w:pPr>
        <w:widowControl/>
        <w:numPr>
          <w:ilvl w:val="0"/>
          <w:numId w:val="27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中标人负责专项工程的施工组织、施工管理、现场协调等工作，并负责所有系统的无条件集成</w:t>
      </w:r>
      <w:bookmarkStart w:id="1063" w:name="_Toc441654380"/>
      <w:r>
        <w:rPr>
          <w:rFonts w:hint="eastAsia" w:ascii="仿宋_GB2312" w:hAnsi="宋体" w:eastAsia="仿宋_GB2312" w:cs="Times New Roman"/>
          <w:color w:val="000000"/>
          <w:sz w:val="28"/>
          <w:szCs w:val="28"/>
        </w:rPr>
        <w:t>。</w:t>
      </w:r>
    </w:p>
    <w:p>
      <w:pPr>
        <w:widowControl/>
        <w:numPr>
          <w:ilvl w:val="0"/>
          <w:numId w:val="274"/>
        </w:numPr>
        <w:spacing w:line="600" w:lineRule="exact"/>
        <w:ind w:firstLine="560" w:firstLineChars="200"/>
        <w:jc w:val="left"/>
        <w:textAlignment w:val="baseline"/>
        <w:rPr>
          <w:rFonts w:hint="eastAsia" w:ascii="仿宋_GB2312" w:hAnsi="宋体" w:eastAsia="仿宋_GB2312" w:cs="Times New Roman"/>
          <w:bCs/>
          <w:vanish/>
          <w:kern w:val="0"/>
          <w:sz w:val="28"/>
          <w:szCs w:val="28"/>
        </w:rPr>
      </w:pPr>
      <w:r>
        <w:rPr>
          <w:rFonts w:hint="eastAsia" w:ascii="仿宋_GB2312" w:hAnsi="宋体" w:eastAsia="仿宋_GB2312" w:cs="Times New Roman"/>
          <w:color w:val="000000"/>
          <w:sz w:val="28"/>
          <w:szCs w:val="28"/>
        </w:rPr>
        <w:t>中标人负责提供施工及大型设备运输方案。</w:t>
      </w:r>
      <w:bookmarkEnd w:id="1063"/>
      <w:bookmarkStart w:id="1064" w:name="_Toc20484012"/>
      <w:bookmarkEnd w:id="1064"/>
      <w:bookmarkStart w:id="1065" w:name="_Toc25651372"/>
      <w:bookmarkEnd w:id="1065"/>
      <w:bookmarkStart w:id="1066" w:name="_Toc20471773"/>
      <w:bookmarkEnd w:id="1066"/>
      <w:bookmarkStart w:id="1067" w:name="_Toc20489591"/>
      <w:bookmarkEnd w:id="1067"/>
      <w:bookmarkStart w:id="1068" w:name="_Toc20728716"/>
      <w:bookmarkEnd w:id="1068"/>
      <w:bookmarkStart w:id="1069" w:name="_Toc20492028"/>
      <w:bookmarkEnd w:id="1069"/>
      <w:bookmarkStart w:id="1070" w:name="_Toc25651373"/>
      <w:bookmarkEnd w:id="1070"/>
      <w:bookmarkStart w:id="1071" w:name="_Toc20484013"/>
      <w:bookmarkEnd w:id="1071"/>
      <w:bookmarkStart w:id="1072" w:name="_Toc20492029"/>
      <w:bookmarkEnd w:id="1072"/>
      <w:bookmarkStart w:id="1073" w:name="_Toc20489592"/>
      <w:bookmarkEnd w:id="1073"/>
      <w:bookmarkStart w:id="1074" w:name="_Toc20728717"/>
      <w:bookmarkEnd w:id="1074"/>
      <w:bookmarkStart w:id="1075" w:name="_Toc20471774"/>
      <w:bookmarkEnd w:id="1075"/>
      <w:bookmarkStart w:id="1076" w:name="_Toc17624902"/>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077" w:name="_Toc25651374"/>
      <w:r>
        <w:rPr>
          <w:rFonts w:hint="eastAsia" w:ascii="仿宋_GB2312" w:hAnsi="宋体" w:eastAsia="仿宋_GB2312" w:cs="Times New Roman"/>
          <w:b w:val="0"/>
          <w:bCs w:val="0"/>
          <w:color w:val="000000"/>
          <w:kern w:val="2"/>
          <w:sz w:val="28"/>
          <w:szCs w:val="28"/>
          <w:lang w:val="en-US" w:eastAsia="zh-CN" w:bidi="ar-SA"/>
        </w:rPr>
        <w:t>现场检验和试验要求</w:t>
      </w:r>
      <w:bookmarkEnd w:id="1077"/>
    </w:p>
    <w:p>
      <w:pPr>
        <w:widowControl/>
        <w:numPr>
          <w:ilvl w:val="0"/>
          <w:numId w:val="27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要求中标人应按工程技术规范及规程中的有关规定对工程使用材料进行见证取样送检，中标人应及时将材料试验报告报送监理工程师及招标人。</w:t>
      </w:r>
    </w:p>
    <w:p>
      <w:pPr>
        <w:widowControl/>
        <w:numPr>
          <w:ilvl w:val="0"/>
          <w:numId w:val="27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如当地有要求，本工程所需送检材料须送至国家或地方建设工程质量检测中心进行检验与试验；特殊专业检验项目需委托其它具有资质的第三方专业检测时，中标人需提前书面报告招标人/监理工程师同意。</w:t>
      </w:r>
    </w:p>
    <w:p>
      <w:pPr>
        <w:widowControl/>
        <w:numPr>
          <w:ilvl w:val="0"/>
          <w:numId w:val="27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用在本工程的任何材料设备的品质，在使用前必须获得招标人和监理工程师批准。中标人在大批定货前提交样品/样本供招标人和监理工程师审批。获批准的样品必须存放在工地，作为以后验收物料的标准。样品和其包装，由中标人无条件提供。以后的工艺须与获批准的样品或样本一致。监理工程师对任何样品或样本的认可，并不会解除或减轻中标人按合同履行的责任。</w:t>
      </w:r>
    </w:p>
    <w:p>
      <w:pPr>
        <w:widowControl/>
        <w:numPr>
          <w:ilvl w:val="0"/>
          <w:numId w:val="27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要求中标人应按规范要求的规定或招标人指示，在监理工程师见证下进行相关材料、设备的现场工艺试验。</w:t>
      </w:r>
    </w:p>
    <w:p>
      <w:pPr>
        <w:widowControl/>
        <w:numPr>
          <w:ilvl w:val="0"/>
          <w:numId w:val="27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要求中标人通过现场工艺试验选定的工艺流程、施工方法、施工参数、和质量控制标准等，均应编制现场工艺试验报告，报送监理工程师审批，并经招标人批准后才能用于施工。</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078" w:name="_Toc17624904"/>
      <w:bookmarkStart w:id="1079" w:name="_Toc25651375"/>
      <w:r>
        <w:rPr>
          <w:rFonts w:hint="eastAsia" w:ascii="仿宋_GB2312" w:hAnsi="宋体" w:eastAsia="仿宋_GB2312" w:cs="Times New Roman"/>
          <w:b w:val="0"/>
          <w:bCs w:val="0"/>
          <w:color w:val="000000"/>
          <w:kern w:val="2"/>
          <w:sz w:val="28"/>
          <w:szCs w:val="28"/>
          <w:lang w:val="en-US" w:eastAsia="zh-CN" w:bidi="ar-SA"/>
        </w:rPr>
        <w:t>安全文明施工</w:t>
      </w:r>
      <w:bookmarkEnd w:id="1078"/>
      <w:r>
        <w:rPr>
          <w:rFonts w:hint="eastAsia" w:ascii="仿宋_GB2312" w:hAnsi="宋体" w:eastAsia="仿宋_GB2312" w:cs="Times New Roman"/>
          <w:b w:val="0"/>
          <w:bCs w:val="0"/>
          <w:color w:val="000000"/>
          <w:kern w:val="2"/>
          <w:sz w:val="28"/>
          <w:szCs w:val="28"/>
          <w:lang w:val="en-US" w:eastAsia="zh-CN" w:bidi="ar-SA"/>
        </w:rPr>
        <w:t>要求</w:t>
      </w:r>
      <w:bookmarkEnd w:id="1079"/>
    </w:p>
    <w:p>
      <w:pPr>
        <w:widowControl/>
        <w:numPr>
          <w:ilvl w:val="0"/>
          <w:numId w:val="27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要求现场安全文明施工必须遵守国家、行业和地方有关安全生产与文明施工的法律法规、标准规范，并且必须满足建筑工地文明施工管理的基本规定。</w:t>
      </w:r>
    </w:p>
    <w:p>
      <w:pPr>
        <w:widowControl/>
        <w:numPr>
          <w:ilvl w:val="0"/>
          <w:numId w:val="27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要求施工现场应当在适当位置悬挂质量管理、安全生产和文明施工标语，危险区域应当设置危险警示标牌和警示灯。标语和标牌要规范、整齐、美观。</w:t>
      </w:r>
    </w:p>
    <w:p>
      <w:pPr>
        <w:widowControl/>
        <w:numPr>
          <w:ilvl w:val="0"/>
          <w:numId w:val="27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要求现场水压试验时，首先必须解决排水和大量漏水时的应急处理措施，按指定位置进行排水。</w:t>
      </w:r>
    </w:p>
    <w:p>
      <w:pPr>
        <w:widowControl/>
        <w:numPr>
          <w:ilvl w:val="0"/>
          <w:numId w:val="27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要求施工现场垃圾及时清理，加工及施工场地材料分门别类堆放整齐。</w:t>
      </w:r>
    </w:p>
    <w:p>
      <w:pPr>
        <w:widowControl/>
        <w:numPr>
          <w:ilvl w:val="0"/>
          <w:numId w:val="27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要求脚手架应牢固，脚手架安全网的高度应高出施工作业面至少1.5m。移动活动脚手架时，上面不得站人。</w:t>
      </w:r>
    </w:p>
    <w:p>
      <w:pPr>
        <w:widowControl/>
        <w:numPr>
          <w:ilvl w:val="0"/>
          <w:numId w:val="27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要求高空作业必须有可靠的安全防护措施，否则监理工程师或招标人工程师有权要求其停止作业。</w:t>
      </w:r>
    </w:p>
    <w:p>
      <w:pPr>
        <w:widowControl/>
        <w:numPr>
          <w:ilvl w:val="0"/>
          <w:numId w:val="27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要求严禁工地内住人，并做好施工现场的治安、防火和卫生管理。</w:t>
      </w:r>
    </w:p>
    <w:p>
      <w:pPr>
        <w:widowControl/>
        <w:numPr>
          <w:ilvl w:val="0"/>
          <w:numId w:val="27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其它要求</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要求现场用房（包括料场、材料加工场等）由大楼物业指定位置，中标人自行解决，并承担一切相关费用。</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要求运输车辆司机必须服从现场管理人员及交通协管员的管理。</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要求定期召开安全教育会，认真贯彻参照执行辽宁省建设工程现场文明施工管理办法和有关规定。</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要求施工用电应严格执行施工现场临时用电安全及技术规范、施工安全检查标准等有关要求。</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要求中标人开关柜、配电柜、配电箱、线缆等必须满足国家标准规范的要求，所有施工用电材料设备进场时必须通知监理工程师验收，对不合格的设备应立即退场。</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080" w:name="_Toc25651376"/>
      <w:bookmarkStart w:id="1081" w:name="_Toc17624905"/>
      <w:r>
        <w:rPr>
          <w:rFonts w:hint="eastAsia" w:ascii="仿宋_GB2312" w:hAnsi="宋体" w:eastAsia="仿宋_GB2312" w:cs="Times New Roman"/>
          <w:b w:val="0"/>
          <w:bCs w:val="0"/>
          <w:color w:val="000000"/>
          <w:kern w:val="2"/>
          <w:sz w:val="28"/>
          <w:szCs w:val="28"/>
          <w:lang w:val="en-US" w:eastAsia="zh-CN" w:bidi="ar-SA"/>
        </w:rPr>
        <w:t>进度要求</w:t>
      </w:r>
      <w:bookmarkEnd w:id="1080"/>
      <w:bookmarkEnd w:id="1081"/>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为在竣工日期前完成招标范围内的所有工程内容，本项目须有合理的赶工措施，与场地内的其他工程同时展开，对临时用地、交通、水电、材料供应等资源，中标人已充分考虑、合理安排，制订详尽的计划和应急保障措施，按需要安排投入，并自行考虑解决供水、供电的应急方案，所需费用中标人已在其投标报价中综合考虑。</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要求中标人必须根据招标人整体进度计划，制定工程的进度计划，并配合完成，不得影响整体进度及验收。</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进度计划报表要求。进度计划表须详细说明其采取施工方法、程序、分段和次序以及每个阶段估计需要的时间，报监理工程师批准。此进度表须包括与供货单位协调后的包含所有子分部、分项工程的总体进度计划表，以一个总施工进度计划表形式报监理工程师批准。</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在施工期间，若与进度计划有较大的偏离而须调整原定的工序安排，中标人须提交反映实际进度的更新和修正的进度计划表报监理工程师审批。若中标人未能按时完成工作，中标人须采取所有必需的措施使工作能恢复按照原核准的计划。工期至少不会因规定的个别工序不能按时完成而调整。</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若在合同执行期间发生特殊情况，监理工程师认为需要调整进度计划表时，中标人须按监理工程师的要求，修改其进度计划表。中标人须遵从监理工程师的指令，中标人亦不会因此等指令而获得工期延长及财务上的补偿。</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要求保证工程进度，中标人须在其本身工程进度或物料供应有延误迹象时，及时通知监理工程师。</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进度计划表（包括修改）的提交和监理工程师的批准，皆不会解除中标人在合同中的任务和责任。</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须每周向监理工程师提交报告，详细说明工程的实际进度、与计划进度的偏差，以及其他与进度控制相关的资料等，以及记录工地上每个工种工人和使用机械的数目（须持证上岗的特殊工种应提供工人名单）、运到工地的物料数量和送检的情况、整周的天气、在工地的单位的名称以及他们每周的工作内容。要在工程开始时前，提交招标人批准，每周报告要经监理工程师代表审阅和签字。</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工程照片要求。中标人须按招标人、监理工程师要求，拍摄足够数量具商业水准的彩色数码照片给监理工程师，表示工程进度。照相的位置、时间由监理工程师根据工程需要指定，在照片前面右下角的地方，显示拍摄的日期和地点，照片正面能看到。</w:t>
      </w:r>
    </w:p>
    <w:bookmarkEnd w:id="1076"/>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bookmarkStart w:id="1082" w:name="_Toc25651377"/>
      <w:bookmarkStart w:id="1083" w:name="_Toc17624903"/>
      <w:r>
        <w:rPr>
          <w:rFonts w:hint="eastAsia" w:ascii="仿宋_GB2312" w:hAnsi="宋体" w:eastAsia="仿宋_GB2312" w:cs="Times New Roman"/>
          <w:color w:val="000000"/>
          <w:sz w:val="28"/>
          <w:szCs w:val="28"/>
        </w:rPr>
        <w:t>工程质量保证要求</w:t>
      </w:r>
      <w:bookmarkEnd w:id="1082"/>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要求本工程质量标准：优良。要求必须符合中华人民共和国的国家标准，若合同中约定的任何工程质量标准高于国家标准，则按合同中约定的标准执行。</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质量评价内容。要求不得使用国家明令淘汰的建筑材料、建筑设备、耗能高的产品及发性有害物质含量释放量超过国家规定的产品；管道不得有渗漏现象；在施工过程中不得出现重大质量事故。</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质量评价要求。要求安装工程等质量均应达到《建筑工程施工质量评价标准》GB50375—2016中的规定要求。</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质量记录。要求材料、设备合格证（出厂质量证明）、进场验收记录、施工记录、施工试验记录完整，数据齐全并能满足设计及规范等要求，同时真实、有效、内容填写正确，分类整理规范，审签手续完备。</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要求中标人应为工程的实施、竣工和修补缺陷建立适当和可行的质量保证体系，并保证工程的实施、竣工和修补缺陷的全部过程符合相应质量体系的要求。</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要求中标人应按照质量保证体系的要求提供、填写、整理并保存任何必要的过程记录。这些过程记录应随时可供招标人、监理工程师或有关主管部门查阅。</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要求中标人在工程实施过程中，必须无条件接受监理工程师的检查和监督，并执行监理工程师所发出的指令，以确保工程质量优良。</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对于按合同约定必须进行检查和检验的施工工序及其工艺，中标人应同监理工程师商定对其检查和检验的时间。中标人应提前通知监理工程师准备参加此类检查和检验。由监理工程师对检查和检验结果进行确认。</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任何隐蔽工程或中间验收部位在被覆盖、包装或隐蔽之前，提供视频记录，同时必须经过检验并得到监理工程师的批准。检验过程中由中标人填写并准备检验记录。如检验结果表明其施工符合合同约定的标准与规范，监理工程师在验收记录上签字，中标人方可进行包装、覆盖、隐蔽和继续施工。</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要求如果下述任何检验表明被检验的材料、设备、工艺质量或工程不符合合同约定的标准与规范，则监理工程师有权指示中标人：</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在指示规定的时间内一次或分几次将监理工程师认为不符合合同约定的任何材料或工程设备运出现场，用符合合同约定的合格材料或工程设备取代。</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中标人必须在指定的时间内，完成监理工程师的指示，并不得以此为由要求招标人增加费用。</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所有在合同中明确要求必须进行检验的材料和设备在经过检验并获得监理工程师批准以前，不得直接用于工程。</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要求对于合同中约定的所有需要报送样品的材料或设备中，中标人应在用于工程之前至少10天，向监理工程师提交样品，并提交必要的说明书、证书、出厂报告、性能介绍、使用说明等相关资料，以供检验。</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如果检查、检测、检验或试验的结果表明，任何送检的设备、材料有缺陷或不符合合同的约定，监理工程师可拒收此类设备、材料，并应立即通知中标人，同时说明理由。中标人应立即修复上述缺陷并保证其符合合同约定，并再次送交监理工程师检验。</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要求室内主要部分的装修，必须先做样板，经招标人和监理工程师共同确认后方可大面积施工。</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所有设备材料进入施工现场，应立即通知招标人及监理工程师到现场验货，同时应提供相关产品的装箱单、合格证、使用说明书、测试报告或记录、检验证书、发货证明等有效证件，进口的产品应提供原产地证明、全套产品进关证明文件，包括原厂出具正本签名盖章质量保证书、船运提单副本、 报关证明副本和中国海关进口增值税专用缴款书证明副本等，提供承诺书，证明所提供产品、技术文件、证书和报告等文件均为真实，如有任何伪造，中标人要承担法律责任，赔偿招标人一切经济损失，赔偿额为合同金额之三倍。</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因监理工程师拒收和再度检验所产生的费用，由中标人承担。</w:t>
      </w:r>
    </w:p>
    <w:p>
      <w:pPr>
        <w:widowControl/>
        <w:numPr>
          <w:ilvl w:val="0"/>
          <w:numId w:val="27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要求中标人应按照ISO9001质量保证体系标准，确保所供设备在设计、采购、制造、检验、组装、包装运输、交付、指导安装调试、试运行等各个环节进行严格的质量管理和质量控制。</w:t>
      </w:r>
    </w:p>
    <w:bookmarkEnd w:id="1083"/>
    <w:p>
      <w:pPr>
        <w:numPr>
          <w:ilvl w:val="0"/>
          <w:numId w:val="268"/>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084" w:name="_Toc17624906"/>
      <w:bookmarkStart w:id="1085" w:name="_Toc29642"/>
      <w:bookmarkStart w:id="1086" w:name="_Toc246773434"/>
      <w:bookmarkStart w:id="1087" w:name="_Toc10086"/>
      <w:bookmarkStart w:id="1088" w:name="_Toc246769866"/>
      <w:bookmarkStart w:id="1089" w:name="_Toc25651378"/>
      <w:r>
        <w:rPr>
          <w:rFonts w:hint="eastAsia" w:ascii="仿宋_GB2312" w:hAnsi="宋体" w:eastAsia="仿宋_GB2312" w:cs="Times New Roman"/>
          <w:b w:val="0"/>
          <w:bCs/>
          <w:color w:val="000000"/>
          <w:kern w:val="2"/>
          <w:sz w:val="28"/>
          <w:szCs w:val="28"/>
          <w:lang w:val="en-US" w:eastAsia="zh-CN" w:bidi="ar-SA"/>
        </w:rPr>
        <w:t>实施过程、协调与配合</w:t>
      </w:r>
      <w:bookmarkEnd w:id="1084"/>
      <w:bookmarkEnd w:id="1085"/>
      <w:bookmarkEnd w:id="1086"/>
      <w:bookmarkEnd w:id="1087"/>
      <w:bookmarkEnd w:id="1088"/>
      <w:r>
        <w:rPr>
          <w:rFonts w:hint="eastAsia" w:ascii="仿宋_GB2312" w:hAnsi="宋体" w:eastAsia="仿宋_GB2312" w:cs="Times New Roman"/>
          <w:b w:val="0"/>
          <w:bCs/>
          <w:color w:val="000000"/>
          <w:kern w:val="2"/>
          <w:sz w:val="28"/>
          <w:szCs w:val="28"/>
          <w:lang w:val="en-US" w:eastAsia="zh-CN" w:bidi="ar-SA"/>
        </w:rPr>
        <w:t>要求</w:t>
      </w:r>
      <w:bookmarkEnd w:id="1089"/>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090" w:name="_Toc17624907"/>
      <w:bookmarkStart w:id="1091" w:name="_Toc25651379"/>
      <w:r>
        <w:rPr>
          <w:rFonts w:hint="eastAsia" w:ascii="仿宋_GB2312" w:hAnsi="宋体" w:eastAsia="仿宋_GB2312" w:cs="Times New Roman"/>
          <w:b w:val="0"/>
          <w:bCs w:val="0"/>
          <w:color w:val="000000"/>
          <w:kern w:val="2"/>
          <w:sz w:val="28"/>
          <w:szCs w:val="28"/>
          <w:lang w:val="en-US" w:eastAsia="zh-CN" w:bidi="ar-SA"/>
        </w:rPr>
        <w:t>与有关政府部门</w:t>
      </w:r>
      <w:bookmarkEnd w:id="1090"/>
      <w:r>
        <w:rPr>
          <w:rFonts w:hint="eastAsia" w:ascii="仿宋_GB2312" w:hAnsi="宋体" w:eastAsia="仿宋_GB2312" w:cs="Times New Roman"/>
          <w:b w:val="0"/>
          <w:bCs w:val="0"/>
          <w:color w:val="000000"/>
          <w:kern w:val="2"/>
          <w:sz w:val="28"/>
          <w:szCs w:val="28"/>
          <w:lang w:val="en-US" w:eastAsia="zh-CN" w:bidi="ar-SA"/>
        </w:rPr>
        <w:t>的协调及配合</w:t>
      </w:r>
      <w:bookmarkEnd w:id="1091"/>
    </w:p>
    <w:p>
      <w:pPr>
        <w:widowControl/>
        <w:numPr>
          <w:ilvl w:val="0"/>
          <w:numId w:val="27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要求中标人和招标人完成与有关政府部分及公用事业机构协调和沟通。</w:t>
      </w:r>
    </w:p>
    <w:p>
      <w:pPr>
        <w:widowControl/>
        <w:numPr>
          <w:ilvl w:val="0"/>
          <w:numId w:val="27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须提供所需的有关资料，包括施工设计图纸、材料样品、产品说明书等向政府部门或公用事业机构及招标人、监理工程师申报，若所有须送审的有关资料未能达到有关政府部门、有关法规、规范、规程、合同及设计有关要求而需重新申报的，由此而导致工期延误及所引起的一切费用损失等全部由中标人负责。中标人须与政府部门或公用事业机构办理好本工程及产品设备的申报、备案、验收等手续。</w:t>
      </w:r>
    </w:p>
    <w:p>
      <w:pPr>
        <w:widowControl/>
        <w:numPr>
          <w:ilvl w:val="0"/>
          <w:numId w:val="27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如因与有关政府部门及公用事业机构缺乏协调和沟通而导致已安装的设备或系统需作更改或拆除，要求中标人除须负起所有有关的费用和因此而导致工期延误的责任外，还须对招标人做出相应的赔偿。</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092" w:name="_Toc25651380"/>
      <w:bookmarkStart w:id="1093" w:name="_Toc17624908"/>
      <w:r>
        <w:rPr>
          <w:rFonts w:hint="eastAsia" w:ascii="仿宋_GB2312" w:hAnsi="宋体" w:eastAsia="仿宋_GB2312" w:cs="Times New Roman"/>
          <w:b w:val="0"/>
          <w:bCs w:val="0"/>
          <w:color w:val="000000"/>
          <w:kern w:val="2"/>
          <w:sz w:val="28"/>
          <w:szCs w:val="28"/>
          <w:lang w:val="en-US" w:eastAsia="zh-CN" w:bidi="ar-SA"/>
        </w:rPr>
        <w:t>与招标人的协调及配合</w:t>
      </w:r>
      <w:bookmarkEnd w:id="1092"/>
      <w:bookmarkEnd w:id="1093"/>
    </w:p>
    <w:p>
      <w:pPr>
        <w:widowControl/>
        <w:numPr>
          <w:ilvl w:val="0"/>
          <w:numId w:val="27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要求中标人应充分考虑内部各专业施工队伍之间的配合、协作等所需的时间和费用，招标人对此类事项只作中间联络、协调，中标人不得以此向招标人提出工期和费用的索赔。</w:t>
      </w:r>
    </w:p>
    <w:p>
      <w:pPr>
        <w:widowControl/>
        <w:numPr>
          <w:ilvl w:val="0"/>
          <w:numId w:val="27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配合招标人及监理工程师的管理工作，不得无理拒绝招标人及工程师的管理配合要求。如因中标人与招标人、监理工程师缺乏协调而导致已完工程造成质量缺陷的，中标人除须支付所有有关的费用和承担由此而导致工期延误的责任外，还须对招标人做出相应的赔偿。</w:t>
      </w:r>
    </w:p>
    <w:p>
      <w:pPr>
        <w:widowControl/>
        <w:numPr>
          <w:ilvl w:val="0"/>
          <w:numId w:val="27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要求中标人自行负责在工程范围内进行协调，由于缺乏协调而导致工期延误和费用增加，中标人须对招标人做出相应的赔偿。</w:t>
      </w:r>
    </w:p>
    <w:p>
      <w:pPr>
        <w:widowControl/>
        <w:numPr>
          <w:ilvl w:val="0"/>
          <w:numId w:val="27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在图纸会审前自行对设计文件做全面复核。对于图纸中明显的错漏之处(如某专业图纸自身矛盾、各专业图纸相互矛盾、图纸表达不清等)，应在图纸会审时前提出和修改；其他对施工影响重大的问题，如实际施工可能难于达到招标人、监理工程师，设备尺寸与结构设计尺寸矛盾，造成设备无法安放等仅为中标人责任。否则，中标人不得以上述情况作为工期延误的理由。</w:t>
      </w:r>
    </w:p>
    <w:p>
      <w:pPr>
        <w:widowControl/>
        <w:numPr>
          <w:ilvl w:val="0"/>
          <w:numId w:val="27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要求中标人自行负责设备产品厂商的协调及管理工作，包括设备及材料到现场工地后保管工作。</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094" w:name="_Toc17624909"/>
      <w:bookmarkStart w:id="1095" w:name="_Toc25651381"/>
      <w:r>
        <w:rPr>
          <w:rFonts w:hint="eastAsia" w:ascii="仿宋_GB2312" w:hAnsi="宋体" w:eastAsia="仿宋_GB2312" w:cs="Times New Roman"/>
          <w:b w:val="0"/>
          <w:bCs w:val="0"/>
          <w:color w:val="000000"/>
          <w:kern w:val="2"/>
          <w:sz w:val="28"/>
          <w:szCs w:val="28"/>
          <w:lang w:val="en-US" w:eastAsia="zh-CN" w:bidi="ar-SA"/>
        </w:rPr>
        <w:t>与大楼的协调及配合</w:t>
      </w:r>
      <w:bookmarkEnd w:id="1094"/>
      <w:bookmarkEnd w:id="1095"/>
    </w:p>
    <w:p>
      <w:pPr>
        <w:widowControl/>
        <w:spacing w:after="180" w:line="660" w:lineRule="exact"/>
        <w:ind w:firstLine="560" w:firstLineChars="200"/>
        <w:jc w:val="left"/>
        <w:textAlignment w:val="center"/>
        <w:rPr>
          <w:rFonts w:hint="eastAsia"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要求服从大楼物业的现场</w:t>
      </w:r>
      <w:r>
        <w:rPr>
          <w:rFonts w:hint="eastAsia" w:ascii="仿宋_GB2312" w:hAnsi="宋体" w:eastAsia="仿宋_GB2312" w:cs="仿宋"/>
          <w:bCs/>
          <w:kern w:val="0"/>
          <w:sz w:val="28"/>
          <w:szCs w:val="28"/>
        </w:rPr>
        <w:t>管理</w:t>
      </w:r>
      <w:r>
        <w:rPr>
          <w:rFonts w:hint="eastAsia" w:ascii="仿宋_GB2312" w:hAnsi="宋体" w:eastAsia="仿宋_GB2312" w:cs="Arial"/>
          <w:color w:val="000000"/>
          <w:kern w:val="0"/>
          <w:sz w:val="28"/>
          <w:szCs w:val="28"/>
        </w:rPr>
        <w:t>工作，遵守大楼物业的现场管理规定。</w:t>
      </w:r>
    </w:p>
    <w:p>
      <w:pPr>
        <w:numPr>
          <w:ilvl w:val="0"/>
          <w:numId w:val="268"/>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096" w:name="_Toc246769868"/>
      <w:bookmarkStart w:id="1097" w:name="_Toc246773436"/>
      <w:bookmarkStart w:id="1098" w:name="_Toc11273"/>
      <w:bookmarkStart w:id="1099" w:name="_Toc17624911"/>
      <w:bookmarkStart w:id="1100" w:name="_Toc4171"/>
      <w:bookmarkStart w:id="1101" w:name="_Toc25651382"/>
      <w:r>
        <w:rPr>
          <w:rFonts w:hint="eastAsia" w:ascii="仿宋_GB2312" w:hAnsi="宋体" w:eastAsia="仿宋_GB2312" w:cs="Times New Roman"/>
          <w:b w:val="0"/>
          <w:bCs/>
          <w:color w:val="000000"/>
          <w:kern w:val="2"/>
          <w:sz w:val="28"/>
          <w:szCs w:val="28"/>
          <w:lang w:val="en-US" w:eastAsia="zh-CN" w:bidi="ar-SA"/>
        </w:rPr>
        <w:t>材料与设备</w:t>
      </w:r>
      <w:bookmarkEnd w:id="1096"/>
      <w:bookmarkEnd w:id="1097"/>
      <w:bookmarkEnd w:id="1098"/>
      <w:bookmarkEnd w:id="1099"/>
      <w:bookmarkEnd w:id="1100"/>
      <w:r>
        <w:rPr>
          <w:rFonts w:hint="eastAsia" w:ascii="仿宋_GB2312" w:hAnsi="宋体" w:eastAsia="仿宋_GB2312" w:cs="Times New Roman"/>
          <w:b w:val="0"/>
          <w:bCs/>
          <w:color w:val="000000"/>
          <w:kern w:val="2"/>
          <w:sz w:val="28"/>
          <w:szCs w:val="28"/>
          <w:lang w:val="en-US" w:eastAsia="zh-CN" w:bidi="ar-SA"/>
        </w:rPr>
        <w:t>要求</w:t>
      </w:r>
      <w:bookmarkEnd w:id="1101"/>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02" w:name="_Toc25651383"/>
      <w:bookmarkStart w:id="1103" w:name="_Toc17624912"/>
      <w:r>
        <w:rPr>
          <w:rFonts w:hint="eastAsia" w:ascii="仿宋_GB2312" w:hAnsi="宋体" w:eastAsia="仿宋_GB2312" w:cs="Times New Roman"/>
          <w:b w:val="0"/>
          <w:bCs w:val="0"/>
          <w:color w:val="000000"/>
          <w:kern w:val="2"/>
          <w:sz w:val="28"/>
          <w:szCs w:val="28"/>
          <w:lang w:val="en-US" w:eastAsia="zh-CN" w:bidi="ar-SA"/>
        </w:rPr>
        <w:t>选购须知</w:t>
      </w:r>
      <w:bookmarkEnd w:id="1102"/>
    </w:p>
    <w:p>
      <w:pPr>
        <w:widowControl/>
        <w:numPr>
          <w:ilvl w:val="0"/>
          <w:numId w:val="28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要求凡在实施强制性产品认证的产品目录内的产品须通过国家3C认证。</w:t>
      </w:r>
    </w:p>
    <w:p>
      <w:pPr>
        <w:widowControl/>
        <w:numPr>
          <w:ilvl w:val="0"/>
          <w:numId w:val="28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中标人对其选用的装修材料进行严格的环保控制，用于本工程项目的所有材料都必须提供有效、准确的环境污染物检测报告及放射性参数检测报告，保证所用材料均能达到环保要求。</w:t>
      </w:r>
    </w:p>
    <w:p>
      <w:pPr>
        <w:widowControl/>
        <w:numPr>
          <w:ilvl w:val="0"/>
          <w:numId w:val="28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主要设备材料选购时，中标人需向招标人、监理工程师提交设备材料报审，只有得到招标人同意后，中标人才可以进行采购工作；没有得到招标人认可的材料，招标人有权要求中标人更换，中标人承担相应损失。</w:t>
      </w:r>
    </w:p>
    <w:p>
      <w:pPr>
        <w:widowControl/>
        <w:numPr>
          <w:ilvl w:val="0"/>
          <w:numId w:val="28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要求成套设备及主要部件的原产国须明确标注，进口件交货时由中标人全权负责办妥海关所有手续、缴清所有税/费并附上产地证明文件、海关完税单、海运提单、报关单、商检证明文件等相关进口证明资料。</w:t>
      </w:r>
    </w:p>
    <w:p>
      <w:pPr>
        <w:widowControl/>
        <w:numPr>
          <w:ilvl w:val="0"/>
          <w:numId w:val="28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所提供货物是进口的，必须保证货物的来源合法，制造商提供的所有设备必须是全新的产品，只接受制造商的原产地原装原配产品，提供制造商的原厂质保承诺函与售后服务承诺函，在货物验收时的同时应提供该货物的海关进口证明、制造国原产地证明、海运单据和商检证明等合法文件。</w:t>
      </w:r>
    </w:p>
    <w:p>
      <w:pPr>
        <w:widowControl/>
        <w:numPr>
          <w:ilvl w:val="0"/>
          <w:numId w:val="28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要求中标人必须选用符合招标需求和图纸技术参数要求，且产品生产许可证和合格证等证书齐全，具有质检部门出具有效期检测合格报告的工程材料，严禁使用国家禁止和限制使用的产品。</w:t>
      </w:r>
    </w:p>
    <w:p>
      <w:pPr>
        <w:widowControl/>
        <w:numPr>
          <w:ilvl w:val="0"/>
          <w:numId w:val="28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要求中标人所提供的产品应是制造商原厂生产的标准产品，本次招标不接收未经定型生产的研制品或试制品</w:t>
      </w:r>
      <w:bookmarkStart w:id="1104" w:name="_Toc536443751"/>
      <w:r>
        <w:rPr>
          <w:rFonts w:hint="eastAsia" w:ascii="仿宋_GB2312" w:hAnsi="宋体" w:eastAsia="仿宋_GB2312" w:cs="Times New Roman"/>
          <w:color w:val="000000"/>
          <w:sz w:val="28"/>
          <w:szCs w:val="28"/>
        </w:rPr>
        <w:t>，所提供产品的制造质量、安装施工工艺、测试手段及方法都应符合最新颁布的标准和规范要求。</w:t>
      </w:r>
      <w:bookmarkEnd w:id="1104"/>
    </w:p>
    <w:p>
      <w:pPr>
        <w:widowControl/>
        <w:numPr>
          <w:ilvl w:val="0"/>
          <w:numId w:val="28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要求中标人所提供的产品必须是正规渠道全新的原装正品，并提供有效的原厂售后服务保障，原厂调试（数据中心经验的人员），并要求有相应的原厂培训服务。</w:t>
      </w:r>
    </w:p>
    <w:p>
      <w:pPr>
        <w:widowControl/>
        <w:numPr>
          <w:ilvl w:val="0"/>
          <w:numId w:val="28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须对一切与本招标项目有关的设备及技术接口、技术服务等问题负全部责任。凡与本招标项目设备相连接的设备装置或系统，中标人都应无条件提供接口、协议、升级，以及安装服务，确保产品和使用兼容且具有高可扩展性。</w:t>
      </w:r>
    </w:p>
    <w:p>
      <w:pPr>
        <w:widowControl/>
        <w:numPr>
          <w:ilvl w:val="0"/>
          <w:numId w:val="28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要求设备、材料、标示颜色需在订货前与招标人方核实确认。</w:t>
      </w:r>
    </w:p>
    <w:p>
      <w:pPr>
        <w:widowControl/>
        <w:numPr>
          <w:ilvl w:val="0"/>
          <w:numId w:val="28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要求设备与材料样品的送审与报批，国家相关部门的审批许可需包含在工作范围内。</w:t>
      </w:r>
    </w:p>
    <w:p>
      <w:pPr>
        <w:widowControl/>
        <w:numPr>
          <w:ilvl w:val="0"/>
          <w:numId w:val="28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投标人应在投标文件中承诺，如果其在中标后有新产品研制成功并投入使用，则其有义务与招标人商定产品的更新换代问题，并保证在不涉及硬件的情况下，无条件为招标人提供软件升级服务，如发布最新版本，投标人应无条件进行版本升级。</w:t>
      </w:r>
    </w:p>
    <w:p>
      <w:pPr>
        <w:widowControl/>
        <w:numPr>
          <w:ilvl w:val="0"/>
          <w:numId w:val="28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要求由中标人提供的材料、设备和外购件在运输过程中发生的一切损失由中标人承担。</w:t>
      </w:r>
    </w:p>
    <w:p>
      <w:pPr>
        <w:widowControl/>
        <w:numPr>
          <w:ilvl w:val="0"/>
          <w:numId w:val="28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中标人报送各种材料和工程设备的供货人及品种、规格、数量和供货时间给监理工程师审批的时间为：</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招标文件明确提出参考品牌的工程材料和工程设备，中标人必须按照招标文件的约定和中标人的承诺，在收到成交通知书后或按照监理工程师的通知在材料或设备使用前15天向监理工程师申报，监理工程师一般在7天内做出审批；</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招标文件没有约定品牌的材料设备，中标人必须按照招标文件规定的规格、技术标准和质量等级，以及经批准的中标人施工组织设计的材料设备计划在材料或设备使用前15天向监理工程师申报，监理工程师一般在7天内做出审批。</w:t>
      </w:r>
    </w:p>
    <w:p>
      <w:pPr>
        <w:widowControl/>
        <w:numPr>
          <w:ilvl w:val="0"/>
          <w:numId w:val="28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中标人提供的材料设备必须满足以下要求:</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中标人应向招标人和监理工程师提交《工程材料设备一览表》，详细填报如下数据：材料设备名称、规格型号、品牌、产地、计量单位、数量、单价、供应时间、送达地点，附送材料的实物样品、设备的彩页样张。</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中标人采购的材料设备必须是正规厂商所拥有的正式注册的正品，不得使用次品或仿冒品，进口材料设备产品必须是从国家规定的正规渠道进口的产品，具有合法手续（提供报关单、船运单、认定的原产地证明等），其所发生的一切法律责任由中标人负责。</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中标人提供的材料设备产品的质量必须符合国家建材行业和机电行业等标准要求。</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材料、设备运抵现场时，应由招标人及中标人、监理工程师就材料设备的种类、产地、品牌、数量、规格、单价、技术参数、质量等级等，按合同文件要求和</w:t>
      </w:r>
      <w:bookmarkStart w:id="1105" w:name="工程量清单"/>
      <w:bookmarkEnd w:id="1105"/>
      <w:r>
        <w:rPr>
          <w:rFonts w:hint="eastAsia" w:ascii="仿宋_GB2312" w:hAnsi="宋体" w:eastAsia="仿宋_GB2312" w:cs="Times New Roman"/>
          <w:sz w:val="28"/>
          <w:szCs w:val="28"/>
        </w:rPr>
        <w:t>国家制定的有关产品质量标准规范要求进行验收或抽查试验，中标人并应向验收人员提供有关产品合格证、许可证、准用证等证明和出厂日期等以供核对。</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中标人采购的建筑装修材料、设备须向招标人提供正式发票复印件备案。</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中标人应负责设备、材料的保管及成品半成品的保管工作。</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color w:val="auto"/>
          <w:sz w:val="28"/>
          <w:szCs w:val="28"/>
        </w:rPr>
      </w:pPr>
      <w:r>
        <w:rPr>
          <w:rFonts w:hint="eastAsia" w:ascii="仿宋_GB2312" w:hAnsi="宋体" w:eastAsia="仿宋_GB2312" w:cs="Times New Roman"/>
          <w:sz w:val="28"/>
          <w:szCs w:val="28"/>
        </w:rPr>
        <w:t>牵涉到工程外观的材料设备，需经招标人事先认可后方可投入使</w:t>
      </w:r>
      <w:r>
        <w:rPr>
          <w:rFonts w:hint="eastAsia" w:ascii="仿宋_GB2312" w:hAnsi="宋体" w:eastAsia="仿宋_GB2312" w:cs="Times New Roman"/>
          <w:color w:val="auto"/>
          <w:sz w:val="28"/>
          <w:szCs w:val="28"/>
        </w:rPr>
        <w:t>用。</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招标人认为有必要时，有权要求关键设备或材料的原厂商到现场共同参与验货，由此产生的费用已包含在签约合同价中。</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06" w:name="_Toc25651384"/>
      <w:r>
        <w:rPr>
          <w:rFonts w:hint="eastAsia" w:ascii="仿宋_GB2312" w:hAnsi="宋体" w:eastAsia="仿宋_GB2312" w:cs="Times New Roman"/>
          <w:b w:val="0"/>
          <w:bCs w:val="0"/>
          <w:color w:val="000000"/>
          <w:kern w:val="2"/>
          <w:sz w:val="28"/>
          <w:szCs w:val="28"/>
          <w:lang w:val="en-US" w:eastAsia="zh-CN" w:bidi="ar-SA"/>
        </w:rPr>
        <w:t>质量</w:t>
      </w:r>
      <w:bookmarkEnd w:id="1103"/>
      <w:r>
        <w:rPr>
          <w:rFonts w:hint="eastAsia" w:ascii="仿宋_GB2312" w:hAnsi="宋体" w:eastAsia="仿宋_GB2312" w:cs="Times New Roman"/>
          <w:b w:val="0"/>
          <w:bCs w:val="0"/>
          <w:color w:val="000000"/>
          <w:kern w:val="2"/>
          <w:sz w:val="28"/>
          <w:szCs w:val="28"/>
          <w:lang w:val="en-US" w:eastAsia="zh-CN" w:bidi="ar-SA"/>
        </w:rPr>
        <w:t>要求</w:t>
      </w:r>
      <w:bookmarkEnd w:id="1106"/>
    </w:p>
    <w:p>
      <w:pPr>
        <w:widowControl/>
        <w:numPr>
          <w:ilvl w:val="0"/>
          <w:numId w:val="281"/>
        </w:numPr>
        <w:spacing w:line="600" w:lineRule="exact"/>
        <w:ind w:firstLine="560" w:firstLineChars="200"/>
        <w:jc w:val="left"/>
        <w:textAlignment w:val="baseline"/>
        <w:rPr>
          <w:rFonts w:hint="eastAsia" w:ascii="仿宋_GB2312" w:hAnsi="宋体" w:eastAsia="仿宋_GB2312" w:cs="Times New Roman"/>
          <w:color w:val="000000"/>
          <w:sz w:val="28"/>
          <w:szCs w:val="28"/>
        </w:rPr>
      </w:pPr>
      <w:bookmarkStart w:id="1107" w:name="_Toc536443755"/>
      <w:r>
        <w:rPr>
          <w:rFonts w:hint="eastAsia" w:ascii="仿宋_GB2312" w:hAnsi="宋体" w:eastAsia="仿宋_GB2312" w:cs="Times New Roman"/>
          <w:color w:val="000000"/>
          <w:sz w:val="28"/>
          <w:szCs w:val="28"/>
        </w:rPr>
        <w:t>要求中标人所提供的产品必须是全新的、无破损的，并为原厂包装，并符合合同规定的规格、质量，如不符时，中标人应负全责并免费更换全部不合格产品。所有因产品规格不符、产品质量不符及产品损坏而造成的工程延误和由此产生的相关费用由中标人负责，招标人保留终止合同和向中标人索赔的权利。</w:t>
      </w:r>
      <w:bookmarkEnd w:id="1107"/>
    </w:p>
    <w:p>
      <w:pPr>
        <w:widowControl/>
        <w:numPr>
          <w:ilvl w:val="0"/>
          <w:numId w:val="28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要求本系统的材料/设备和安装工程必须符合国家技术标准和规范、施工及验收规范的要求。所供的材料、设备还应符合本文关于材料、设备规格的技术要求。</w:t>
      </w:r>
    </w:p>
    <w:p>
      <w:pPr>
        <w:widowControl/>
        <w:numPr>
          <w:ilvl w:val="0"/>
          <w:numId w:val="28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负责采购设备材料的型号、生产需上报招标人确认。要求保证产品不被假冒，请中标人提供相关厂商产品的有效证明、合格证和检验证书，并附原厂有效发货清单，以便招标人复核；进口设备提供报关单、船运单及原产地证明等相关证明材料。</w:t>
      </w:r>
    </w:p>
    <w:p>
      <w:pPr>
        <w:widowControl/>
        <w:numPr>
          <w:ilvl w:val="0"/>
          <w:numId w:val="28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要求设备安装须由具备原厂相应技术资格技工按建筑法规和其他有关标准，中标人合理地安排施工进度，以期按时完成整项工程。</w:t>
      </w:r>
    </w:p>
    <w:p>
      <w:pPr>
        <w:widowControl/>
        <w:numPr>
          <w:ilvl w:val="0"/>
          <w:numId w:val="28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要求选择优质的设备和材料，保证在设计许可的最不利条件环境下不间断地正常运作。所有安装人员和设备安装人员均应具有在本行业工作的经验。</w:t>
      </w:r>
    </w:p>
    <w:p>
      <w:pPr>
        <w:widowControl/>
        <w:numPr>
          <w:ilvl w:val="0"/>
          <w:numId w:val="28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所有设备、材料必须由生产本类产品的知名中标人或授权经销商直接提供，并提供由厂商出具的质量保证书；技术要求中未列明的材料、设备及附件，均选用国内或国际知名品牌，订货前需报招标人/监理工程师确认。</w:t>
      </w:r>
    </w:p>
    <w:p>
      <w:pPr>
        <w:widowControl/>
        <w:numPr>
          <w:ilvl w:val="0"/>
          <w:numId w:val="28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要求所有材料、设备和产品，无论国产或进口均应为无瑕的全新产品，产品制造商必须具有生产同类材料或设备5年（或以上）的经验，并应具有国家所颁布实施现行标准的技术质量鉴定文件和产品合格证。</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08" w:name="_Toc17624913"/>
      <w:bookmarkStart w:id="1109" w:name="_Toc25651385"/>
      <w:r>
        <w:rPr>
          <w:rFonts w:hint="eastAsia" w:ascii="仿宋_GB2312" w:hAnsi="宋体" w:eastAsia="仿宋_GB2312" w:cs="Times New Roman"/>
          <w:b w:val="0"/>
          <w:bCs w:val="0"/>
          <w:color w:val="000000"/>
          <w:kern w:val="2"/>
          <w:sz w:val="28"/>
          <w:szCs w:val="28"/>
          <w:lang w:val="en-US" w:eastAsia="zh-CN" w:bidi="ar-SA"/>
        </w:rPr>
        <w:t>进场前的要求</w:t>
      </w:r>
      <w:bookmarkEnd w:id="1108"/>
      <w:bookmarkEnd w:id="1109"/>
    </w:p>
    <w:p>
      <w:pPr>
        <w:widowControl/>
        <w:numPr>
          <w:ilvl w:val="0"/>
          <w:numId w:val="28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 xml:space="preserve">要求提供的设计图纸和工程实施过程中使用的材料，必须经过招标人和监理工程师书面认可后方可用于本工程中。 </w:t>
      </w:r>
    </w:p>
    <w:p>
      <w:pPr>
        <w:widowControl/>
        <w:numPr>
          <w:ilvl w:val="0"/>
          <w:numId w:val="28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提供的所有材料和设备必须是符合国家、地方及行业的规范、标准及规程。设备装置还应遵照当地的法规或条例。若当地法规或条例对系统的设计、材料或设备的选型产生影响时，本技术要求或许没有特别指明，但所提供的系统、材料和设备必须符合有关条例的要求。</w:t>
      </w:r>
    </w:p>
    <w:p>
      <w:pPr>
        <w:widowControl/>
        <w:numPr>
          <w:ilvl w:val="0"/>
          <w:numId w:val="28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认真查阅所用材料的质量标准，对材料的基本性质、应用特性、适用范围应全面了解。中标人须提供产品的生产厂商通过最新的GB/T190010和ISO9001质量体系认证，且有相应的产品生产许可证和质量认可证，有关生产厂商的资质证明文件。中标人需负责向当地有关政府部门、机构和管理单位取得有关设备、装置所需要的批准文件（如有）。一切有关费用需包括在投标价内。若因有关设备、装置未能获得相应的批准。因此而引致工期延误，一切费用损失均由中标人负责。</w:t>
      </w:r>
    </w:p>
    <w:p>
      <w:pPr>
        <w:widowControl/>
        <w:numPr>
          <w:ilvl w:val="0"/>
          <w:numId w:val="28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提供所有材料和设备的技术呈审（包括但不限于所需的样本/样品、产品说明书、型式试验报告、营业执照、技术数据说明书、技术规范点对点应答、设备制造/安装详图等，以及招标人认为需要补充的其它资料）。</w:t>
      </w:r>
    </w:p>
    <w:p>
      <w:pPr>
        <w:widowControl/>
        <w:numPr>
          <w:ilvl w:val="0"/>
          <w:numId w:val="28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要求所有材料、设备、产品等应附带出厂合格证或质量证明书。</w:t>
      </w:r>
    </w:p>
    <w:p>
      <w:pPr>
        <w:widowControl/>
        <w:numPr>
          <w:ilvl w:val="0"/>
          <w:numId w:val="28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掌握材料信息，对重要的材料、构配件及设备在订货前必须征得工程师同意报招标人方可订货。</w:t>
      </w:r>
    </w:p>
    <w:p>
      <w:pPr>
        <w:widowControl/>
        <w:numPr>
          <w:ilvl w:val="0"/>
          <w:numId w:val="28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 xml:space="preserve">主要设备材料选购时，中标人需向招标人、监理工程师提交设备材料报审，只有得到招标人同意后，中标人才可以进行采购工作；没有得到招标人认可的材料，招标人有权要求中标人更换，中标单位承担相应损失。 </w:t>
      </w:r>
    </w:p>
    <w:p>
      <w:pPr>
        <w:widowControl/>
        <w:numPr>
          <w:ilvl w:val="0"/>
          <w:numId w:val="28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 xml:space="preserve">要求中标人须按照招标人提供的主要材料清单及技术标准要求逐项注明材料品牌、生产厂商、 规格（型号）、数量、单价、质量标准及总价，并根据自行深化的情况进行合理补充和计价。中标人未注明品牌、产地、生产厂商、规格（型号）、单价、质量标准的，一旦中标，招标人有权指定符合设计规范要求的名优品牌产品，中标人必须无条件接受。 </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10" w:name="_Toc25651386"/>
      <w:bookmarkStart w:id="1111" w:name="_Toc17624914"/>
      <w:r>
        <w:rPr>
          <w:rFonts w:hint="eastAsia" w:ascii="仿宋_GB2312" w:hAnsi="宋体" w:eastAsia="仿宋_GB2312" w:cs="Times New Roman"/>
          <w:b w:val="0"/>
          <w:bCs w:val="0"/>
          <w:color w:val="000000"/>
          <w:kern w:val="2"/>
          <w:sz w:val="28"/>
          <w:szCs w:val="28"/>
          <w:lang w:val="en-US" w:eastAsia="zh-CN" w:bidi="ar-SA"/>
        </w:rPr>
        <w:t>进场时的要求</w:t>
      </w:r>
      <w:bookmarkEnd w:id="1110"/>
      <w:bookmarkEnd w:id="1111"/>
    </w:p>
    <w:p>
      <w:pPr>
        <w:widowControl/>
        <w:numPr>
          <w:ilvl w:val="0"/>
          <w:numId w:val="28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中标人必须按照国家及地方规范、规程、技术标准的相关要求对工程使用材料自行送检，检测费用已包含在合同价款内，检测单位的资质必须符合相关要求。</w:t>
      </w:r>
    </w:p>
    <w:p>
      <w:pPr>
        <w:widowControl/>
        <w:numPr>
          <w:ilvl w:val="0"/>
          <w:numId w:val="28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物单必须相符。如有任何一项不符，应进行退货或要求进一步提供材料的相关资料。</w:t>
      </w:r>
    </w:p>
    <w:p>
      <w:pPr>
        <w:widowControl/>
        <w:numPr>
          <w:ilvl w:val="0"/>
          <w:numId w:val="28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进入施工现场的各种原材料、半成品、构配件都必须有相应的质量保证资料。包括：生产许可证或使用许可证、产品合格证、质量证明书或质量试验报告单。合格证等都必须盖有单位的红章并标明出厂日期、生产批号或产品编号。所有送抵工地的材料均应是全新的，并有明显内标识以利辨认不同的等级。</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12" w:name="_Toc17624915"/>
      <w:bookmarkStart w:id="1113" w:name="_Toc25651387"/>
      <w:r>
        <w:rPr>
          <w:rFonts w:hint="eastAsia" w:ascii="仿宋_GB2312" w:hAnsi="宋体" w:eastAsia="仿宋_GB2312" w:cs="Times New Roman"/>
          <w:b w:val="0"/>
          <w:bCs w:val="0"/>
          <w:color w:val="000000"/>
          <w:kern w:val="2"/>
          <w:sz w:val="28"/>
          <w:szCs w:val="28"/>
          <w:lang w:val="en-US" w:eastAsia="zh-CN" w:bidi="ar-SA"/>
        </w:rPr>
        <w:t>进场后的要求</w:t>
      </w:r>
      <w:bookmarkEnd w:id="1112"/>
      <w:bookmarkEnd w:id="1113"/>
    </w:p>
    <w:p>
      <w:pPr>
        <w:widowControl/>
        <w:numPr>
          <w:ilvl w:val="0"/>
          <w:numId w:val="28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施工现场材料的基本要求</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工程上使用的所有原材料、半成品、构配件及设备，都必须事先经监理工程师审批后方可进入施工现场。</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施工现场不能存放与本工程无关或不合格的材料。</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所有进入现场的原材料与提交的资料在规格、型号、品种、编号上必须一致。</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中标人对所采购保管的材料、外购件应建立货架，分类保管，同时建立领料登记制度，招标人对中标人的材料保管不定期检查。</w:t>
      </w:r>
    </w:p>
    <w:p>
      <w:pPr>
        <w:widowControl/>
        <w:numPr>
          <w:ilvl w:val="0"/>
          <w:numId w:val="28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合理组织材料供应，确保施工正常进行。中标人要合理、科学的组织材料采购、加工、储备、运输，建立严密的计划、调度与管理体系，加快材料的周转，减少材料的占用量，按质、按量、如期地满足建设需要。</w:t>
      </w:r>
    </w:p>
    <w:p>
      <w:pPr>
        <w:widowControl/>
        <w:numPr>
          <w:ilvl w:val="0"/>
          <w:numId w:val="28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要求合理组织材料使用，减少材料的损失，正确按定额计量使用材料，加强运输和仓库保管工作，加强材料限额管理和发放工作，健全现场管理制度以避免材料损失。</w:t>
      </w:r>
    </w:p>
    <w:p>
      <w:pPr>
        <w:widowControl/>
        <w:numPr>
          <w:ilvl w:val="0"/>
          <w:numId w:val="28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未经监理工程师签字，材料、构配件和设备不得在工程上使用或者安装，中标人不得进行下一道工序的施工。</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14" w:name="_Toc25651388"/>
      <w:bookmarkStart w:id="1115" w:name="_Toc17624916"/>
      <w:r>
        <w:rPr>
          <w:rFonts w:hint="eastAsia" w:ascii="仿宋_GB2312" w:hAnsi="宋体" w:eastAsia="仿宋_GB2312" w:cs="Times New Roman"/>
          <w:b w:val="0"/>
          <w:bCs w:val="0"/>
          <w:color w:val="000000"/>
          <w:kern w:val="2"/>
          <w:sz w:val="28"/>
          <w:szCs w:val="28"/>
          <w:lang w:val="en-US" w:eastAsia="zh-CN" w:bidi="ar-SA"/>
        </w:rPr>
        <w:t>进场时应提供的文件</w:t>
      </w:r>
      <w:bookmarkEnd w:id="1114"/>
      <w:bookmarkEnd w:id="1115"/>
    </w:p>
    <w:p>
      <w:pPr>
        <w:widowControl/>
        <w:numPr>
          <w:ilvl w:val="0"/>
          <w:numId w:val="28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要求重要的设备和外购件，中标人要与供货商、招标人、监理工程师共同开箱检查。</w:t>
      </w:r>
    </w:p>
    <w:p>
      <w:pPr>
        <w:widowControl/>
        <w:numPr>
          <w:ilvl w:val="0"/>
          <w:numId w:val="28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要求中标人所提供的技术文件应为中文，并应使用GB和IEC所规定的标准符号和术语。</w:t>
      </w:r>
    </w:p>
    <w:p>
      <w:pPr>
        <w:widowControl/>
        <w:numPr>
          <w:ilvl w:val="0"/>
          <w:numId w:val="28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 xml:space="preserve">要求中标人向招标人提供本系统所有实际外购件清单，包括型号、规格、厂商；重要设备、仪器和仪表要有使用说明书及合格证；外购件随机配套件应无条件交给招标人。 </w:t>
      </w:r>
    </w:p>
    <w:p>
      <w:pPr>
        <w:widowControl/>
        <w:numPr>
          <w:ilvl w:val="0"/>
          <w:numId w:val="28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 xml:space="preserve">要求中标单位负责采购设备材料的型号、生产厂商等需上报招标人确认。要求保证产品不被假冒，请中标人提供相关厂商产品的有效证明、合格证和检验证书，并附原厂有效发货清单，以便招标人复核；进口设备提供报关单、船运单及原产地证明等相关证明材料。 </w:t>
      </w:r>
    </w:p>
    <w:p>
      <w:pPr>
        <w:widowControl/>
        <w:numPr>
          <w:ilvl w:val="0"/>
          <w:numId w:val="28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 xml:space="preserve">设备材料的包装、运输、保险及保管要求。 </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包装箱内附装箱单、合格证和产品说明书，包装费包含在合同总价中。 </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中标人安装的设备、外购件和材料，由中标人运到安装现场并负责保管，中标人负责提供存放场地，运杂费已包含在合同总价中。 </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重要的设备和外购件，中标人要与招标人、监理工程师共同开箱检查。 </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由中标人提供的材料、设备和外购件在运输过程中发生的一切损失由中标人承担。 </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中标人对所采购保管的设备、材料、外购件应建立货架，分类保管，同时建立领料登记制度，招标人对中标人的材料保管不定期检查。 </w:t>
      </w:r>
    </w:p>
    <w:p>
      <w:pPr>
        <w:widowControl/>
        <w:numPr>
          <w:ilvl w:val="0"/>
          <w:numId w:val="28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要求中标人至少应提供以下文件：</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提供原厂或厂商授权代理商出具的保修承诺函、售后承诺函、原产地证明(如为进口产品，需报关单，以上要求需盖章原件）；以及各设备材料的检测，检验报告，应用业绩证明材料，认证证书等。</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设备的主要特点介绍及有关的图纸、各类试验报告等。</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产品鉴定证书及国家认可的型号证书。</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设备主要材料清单及相关技术资料。</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配套设备的相关技术资料。</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设备安装操作指南。</w:t>
      </w:r>
    </w:p>
    <w:p>
      <w:pPr>
        <w:widowControl/>
        <w:numPr>
          <w:ilvl w:val="0"/>
          <w:numId w:val="271"/>
        </w:numPr>
        <w:spacing w:line="600" w:lineRule="exact"/>
        <w:ind w:left="0" w:firstLine="840" w:firstLineChars="300"/>
        <w:jc w:val="left"/>
        <w:textAlignment w:val="baseline"/>
        <w:rPr>
          <w:rFonts w:hint="eastAsia" w:ascii="仿宋_GB2312" w:hAnsi="宋体" w:eastAsia="仿宋_GB2312" w:cs="Arial"/>
          <w:color w:val="000000"/>
          <w:kern w:val="0"/>
          <w:sz w:val="28"/>
          <w:szCs w:val="28"/>
        </w:rPr>
      </w:pPr>
      <w:r>
        <w:rPr>
          <w:rFonts w:hint="eastAsia" w:ascii="仿宋_GB2312" w:hAnsi="宋体" w:eastAsia="仿宋_GB2312" w:cs="Times New Roman"/>
          <w:sz w:val="28"/>
          <w:szCs w:val="28"/>
        </w:rPr>
        <w:t>主要元器件、材料的制造厂商/产地及相关技术资料。</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16" w:name="_Toc17624917"/>
      <w:bookmarkStart w:id="1117" w:name="_Toc25651389"/>
      <w:r>
        <w:rPr>
          <w:rFonts w:hint="eastAsia" w:ascii="仿宋_GB2312" w:hAnsi="宋体" w:eastAsia="仿宋_GB2312" w:cs="Times New Roman"/>
          <w:b w:val="0"/>
          <w:bCs w:val="0"/>
          <w:color w:val="000000"/>
          <w:kern w:val="2"/>
          <w:sz w:val="28"/>
          <w:szCs w:val="28"/>
          <w:lang w:val="en-US" w:eastAsia="zh-CN" w:bidi="ar-SA"/>
        </w:rPr>
        <w:t>样品</w:t>
      </w:r>
      <w:bookmarkEnd w:id="1116"/>
      <w:r>
        <w:rPr>
          <w:rFonts w:hint="eastAsia" w:ascii="仿宋_GB2312" w:hAnsi="宋体" w:eastAsia="仿宋_GB2312" w:cs="Times New Roman"/>
          <w:b w:val="0"/>
          <w:bCs w:val="0"/>
          <w:color w:val="000000"/>
          <w:kern w:val="2"/>
          <w:sz w:val="28"/>
          <w:szCs w:val="28"/>
          <w:lang w:val="en-US" w:eastAsia="zh-CN" w:bidi="ar-SA"/>
        </w:rPr>
        <w:t>要求</w:t>
      </w:r>
      <w:bookmarkEnd w:id="1117"/>
    </w:p>
    <w:p>
      <w:pPr>
        <w:widowControl/>
        <w:numPr>
          <w:ilvl w:val="0"/>
          <w:numId w:val="28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要求用在本工程中的任何材料、设备，在大批订货及使用前必须得到监理工程师、招标人批准，样品和其包装由中标人无条件提供。未被批准的材料、设备必须移离工地。</w:t>
      </w:r>
    </w:p>
    <w:p>
      <w:pPr>
        <w:widowControl/>
        <w:numPr>
          <w:ilvl w:val="0"/>
          <w:numId w:val="28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要求中标人须按施工计划提交样品，并在施工前得到监理工程师、招标人批准，以后的施工工艺须与获批准的样品一致。</w:t>
      </w:r>
    </w:p>
    <w:p>
      <w:pPr>
        <w:widowControl/>
        <w:numPr>
          <w:ilvl w:val="0"/>
          <w:numId w:val="28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若本工程中的任何项目因中标人的原因不能及时提交供监理工程师、招标人审批的样品而引致额外的工程费用(不论此类额外费用是否由中标人负责施工)和损失，招标人会从合同应付或将支付的款项中扣除或作为债项向中标人追讨。</w:t>
      </w:r>
    </w:p>
    <w:p>
      <w:pPr>
        <w:widowControl/>
        <w:numPr>
          <w:ilvl w:val="0"/>
          <w:numId w:val="28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监理工程师、招标人对任何样品的认可，并不会解除或减轻中标人应负的责任。</w:t>
      </w:r>
    </w:p>
    <w:p>
      <w:pPr>
        <w:widowControl/>
        <w:numPr>
          <w:ilvl w:val="0"/>
          <w:numId w:val="28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 xml:space="preserve"> 要求中标人须在满足进度计划要求的前提下按照招标人、监理工程师要求提交一份具体并与投标报价相符的样品清单给监理工程师、招标人审批。清单内应包括设备及材料的名称、制造商名称、产地、型号等。中标人应清楚了解，此清单获批准接受后，如监理工程师、招标人认为有必要时，仍可要求中标人继续补充清单以外的样品。</w:t>
      </w:r>
    </w:p>
    <w:p>
      <w:pPr>
        <w:widowControl/>
        <w:numPr>
          <w:ilvl w:val="0"/>
          <w:numId w:val="28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送审的样品需用木板挂列提交，获批准后的样品板一式两份运送至工地，一份保留在工地现场的样品板房内，一份保留在招标人办公地点，作为日后对所用材料和工艺的核对和验收标准。所有不符合上述样品的材料或工艺要求将被拒绝接受，中标人需将其更换，并且不能因此增加合同价款和作为工期延长的理由。</w:t>
      </w:r>
    </w:p>
    <w:p>
      <w:pPr>
        <w:widowControl/>
        <w:numPr>
          <w:ilvl w:val="0"/>
          <w:numId w:val="28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要求在每个样品上应有中文说明的标签，清楚标注有关生产商的名称、合同名称、监理工程师、招标人签字栏、制造商名称及将应用的系统等资料。</w:t>
      </w:r>
    </w:p>
    <w:p>
      <w:pPr>
        <w:widowControl/>
        <w:numPr>
          <w:ilvl w:val="0"/>
          <w:numId w:val="28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要求中标人须提供足够的材料样品作试验之用。若有需要时将进行破坏性的试验，而此类样品和试验所需的有关费用已包含在本合同价款中。</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18" w:name="_Toc25651390"/>
      <w:r>
        <w:rPr>
          <w:rFonts w:hint="eastAsia" w:ascii="仿宋_GB2312" w:hAnsi="宋体" w:eastAsia="仿宋_GB2312" w:cs="Times New Roman"/>
          <w:b w:val="0"/>
          <w:bCs w:val="0"/>
          <w:color w:val="000000"/>
          <w:kern w:val="2"/>
          <w:sz w:val="28"/>
          <w:szCs w:val="28"/>
          <w:lang w:val="en-US" w:eastAsia="zh-CN" w:bidi="ar-SA"/>
        </w:rPr>
        <w:t>实施保证</w:t>
      </w:r>
      <w:bookmarkEnd w:id="1118"/>
    </w:p>
    <w:p>
      <w:pPr>
        <w:widowControl/>
        <w:numPr>
          <w:ilvl w:val="0"/>
          <w:numId w:val="28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要求中标人须保证整个系统的安装与运作均达到有关部门的要求。</w:t>
      </w:r>
    </w:p>
    <w:p>
      <w:pPr>
        <w:widowControl/>
        <w:numPr>
          <w:ilvl w:val="0"/>
          <w:numId w:val="28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要求中标人须保证其所提供的设备或配件，无论是从本技术要求内挑选或由中标人自行选择者，均能按要求在任何工作环境下正常操作。</w:t>
      </w:r>
    </w:p>
    <w:p>
      <w:pPr>
        <w:widowControl/>
        <w:numPr>
          <w:ilvl w:val="0"/>
          <w:numId w:val="28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要求中标人如认为本技术要求或图纸中的要求及说明，对其所保证或所负的责任并不适用或不一致，必须于投标时提出。</w:t>
      </w:r>
    </w:p>
    <w:p>
      <w:pPr>
        <w:widowControl/>
        <w:numPr>
          <w:ilvl w:val="0"/>
          <w:numId w:val="28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若在本工程合约保证期满后发现系统上潜在缺陷，而经招标人和监理工程师认为因由中标人的工料和施工方法不符合要求而引致的，中标人须负全责免费更换或修正，而不能以保证期届满、维修保养证书已签发、发包方已接收、安装、工料或施工方案已获批准等理由借口推诿。</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19" w:name="_Toc25651391"/>
      <w:bookmarkStart w:id="1120" w:name="_Toc17624919"/>
      <w:r>
        <w:rPr>
          <w:rFonts w:hint="eastAsia" w:ascii="仿宋_GB2312" w:hAnsi="宋体" w:eastAsia="仿宋_GB2312" w:cs="Times New Roman"/>
          <w:b w:val="0"/>
          <w:bCs w:val="0"/>
          <w:color w:val="000000"/>
          <w:kern w:val="2"/>
          <w:sz w:val="28"/>
          <w:szCs w:val="28"/>
          <w:lang w:val="en-US" w:eastAsia="zh-CN" w:bidi="ar-SA"/>
        </w:rPr>
        <w:t>拒绝不适合的材料</w:t>
      </w:r>
      <w:bookmarkEnd w:id="1119"/>
      <w:bookmarkEnd w:id="1120"/>
    </w:p>
    <w:p>
      <w:pPr>
        <w:widowControl/>
        <w:numPr>
          <w:ilvl w:val="0"/>
          <w:numId w:val="28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招标人/监理工程师有权拒绝接受任何不符合本技术要求的设备、材料和工艺，并同时有权命令中标人将不符合要求的设备、材料和安装拆除和更换，因此而导致工期延误及一切有关费用均由中标人负责。</w:t>
      </w:r>
    </w:p>
    <w:p>
      <w:pPr>
        <w:widowControl/>
        <w:numPr>
          <w:ilvl w:val="0"/>
          <w:numId w:val="28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不合格而被拒绝的材料或安装，不能够成为逾期完工的原因或借口。</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21" w:name="_Toc17624920"/>
      <w:bookmarkStart w:id="1122" w:name="_Toc25651392"/>
      <w:r>
        <w:rPr>
          <w:rFonts w:hint="eastAsia" w:ascii="仿宋_GB2312" w:hAnsi="宋体" w:eastAsia="仿宋_GB2312" w:cs="Times New Roman"/>
          <w:b w:val="0"/>
          <w:bCs w:val="0"/>
          <w:color w:val="000000"/>
          <w:kern w:val="2"/>
          <w:sz w:val="28"/>
          <w:szCs w:val="28"/>
          <w:lang w:val="en-US" w:eastAsia="zh-CN" w:bidi="ar-SA"/>
        </w:rPr>
        <w:t>包装和保护</w:t>
      </w:r>
      <w:bookmarkEnd w:id="1121"/>
      <w:bookmarkEnd w:id="1122"/>
    </w:p>
    <w:p>
      <w:pPr>
        <w:widowControl/>
        <w:numPr>
          <w:ilvl w:val="0"/>
          <w:numId w:val="28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要求设备的包装应符合相关标准，因包装不善引起的损坏、腐蚀等损失由中标人承担。</w:t>
      </w:r>
    </w:p>
    <w:p>
      <w:pPr>
        <w:widowControl/>
        <w:numPr>
          <w:ilvl w:val="0"/>
          <w:numId w:val="28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要求所有运送到工地的设备和材料均应保持全新的状态，并应有适当的包装和保护以避免在运送和储存过程中造成损坏。</w:t>
      </w:r>
    </w:p>
    <w:p>
      <w:pPr>
        <w:widowControl/>
        <w:numPr>
          <w:ilvl w:val="0"/>
          <w:numId w:val="28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要求所有运送过程中或于工地上受损毁的设备或材料，将被拒绝接受，中标人必须作无条件更换。因更换设备或材料而要求延长工期将不获接纳。</w:t>
      </w:r>
    </w:p>
    <w:p>
      <w:pPr>
        <w:widowControl/>
        <w:numPr>
          <w:ilvl w:val="0"/>
          <w:numId w:val="28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要求中标人应该明白，工地现场可供存放物料的场地极为有限，因此中标人对大型设备的进场必须事先有详细的计划和安排并提出切实可行的运送方案。临时储存地一般是不会提供的。</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23" w:name="_Toc17624923"/>
      <w:bookmarkStart w:id="1124" w:name="_Toc25651393"/>
      <w:r>
        <w:rPr>
          <w:rFonts w:hint="eastAsia" w:ascii="仿宋_GB2312" w:hAnsi="宋体" w:eastAsia="仿宋_GB2312" w:cs="Times New Roman"/>
          <w:b w:val="0"/>
          <w:bCs w:val="0"/>
          <w:color w:val="000000"/>
          <w:kern w:val="2"/>
          <w:sz w:val="28"/>
          <w:szCs w:val="28"/>
          <w:lang w:val="en-US" w:eastAsia="zh-CN" w:bidi="ar-SA"/>
        </w:rPr>
        <w:t>材料和工艺</w:t>
      </w:r>
      <w:bookmarkEnd w:id="1123"/>
      <w:r>
        <w:rPr>
          <w:rFonts w:hint="eastAsia" w:ascii="仿宋_GB2312" w:hAnsi="宋体" w:eastAsia="仿宋_GB2312" w:cs="Times New Roman"/>
          <w:b w:val="0"/>
          <w:bCs w:val="0"/>
          <w:color w:val="000000"/>
          <w:kern w:val="2"/>
          <w:sz w:val="28"/>
          <w:szCs w:val="28"/>
          <w:lang w:val="en-US" w:eastAsia="zh-CN" w:bidi="ar-SA"/>
        </w:rPr>
        <w:t>要求</w:t>
      </w:r>
      <w:bookmarkEnd w:id="1124"/>
    </w:p>
    <w:p>
      <w:pPr>
        <w:widowControl/>
        <w:numPr>
          <w:ilvl w:val="0"/>
          <w:numId w:val="29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须根据工程进度的安排，按招标人要求于指定位置，先进行样板安装。如样板安装因工艺或任何原因未能获得招标人/监理工程师接受，中标人须进行拆除、整改、重新安装等工作，直至获得招标人接受，而相关的返工费用应由中标人负责，不得作为拖期的理由。</w:t>
      </w:r>
    </w:p>
    <w:p>
      <w:pPr>
        <w:widowControl/>
        <w:numPr>
          <w:ilvl w:val="0"/>
          <w:numId w:val="29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要求本技术要求所提及的任何设备、材料、制品或专利制品的商品名称、制造商或产品说明，其作用主要是设立质量标准的依据而不应理解为指定采用任何商品或限制商品竞争。</w:t>
      </w:r>
    </w:p>
    <w:p>
      <w:pPr>
        <w:widowControl/>
        <w:numPr>
          <w:ilvl w:val="0"/>
          <w:numId w:val="29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要求同一类的设备和材料采用同一制造商的产品。</w:t>
      </w:r>
    </w:p>
    <w:p>
      <w:pPr>
        <w:widowControl/>
        <w:numPr>
          <w:ilvl w:val="0"/>
          <w:numId w:val="29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除特别说明外，自行生产或本地制造的设备须获得招标人/监理工程师批准方可采用。</w:t>
      </w:r>
    </w:p>
    <w:p>
      <w:pPr>
        <w:widowControl/>
        <w:numPr>
          <w:ilvl w:val="0"/>
          <w:numId w:val="29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要求同类型的设备装置的零部件及其组成零件应能互相调换。备用零件应该使用原机零件同样的材料，并且适配于设备装置的同类部件。</w:t>
      </w:r>
    </w:p>
    <w:p>
      <w:pPr>
        <w:widowControl/>
        <w:numPr>
          <w:ilvl w:val="0"/>
          <w:numId w:val="29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要求本工程合同范围内的全部施工应由熟练的专业技师进行，并应遵照本说明书所述的工艺要求施工。招标人/监理工程师有权要求中标人提交各专业人员的资历证明作审批。</w:t>
      </w:r>
    </w:p>
    <w:p>
      <w:pPr>
        <w:widowControl/>
        <w:numPr>
          <w:ilvl w:val="0"/>
          <w:numId w:val="29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要求所有组件的安排均应达到方便维修保养及更换的原则。</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25" w:name="_Toc25651394"/>
      <w:bookmarkStart w:id="1126" w:name="_Toc17624922"/>
      <w:bookmarkStart w:id="1127" w:name="_Toc17624921"/>
      <w:bookmarkStart w:id="1128" w:name="_Toc15038"/>
      <w:bookmarkStart w:id="1129" w:name="_Toc32037"/>
      <w:bookmarkStart w:id="1130" w:name="_Toc17624924"/>
      <w:r>
        <w:rPr>
          <w:rFonts w:hint="eastAsia" w:ascii="仿宋_GB2312" w:hAnsi="宋体" w:eastAsia="仿宋_GB2312" w:cs="Times New Roman"/>
          <w:b w:val="0"/>
          <w:bCs w:val="0"/>
          <w:color w:val="000000"/>
          <w:kern w:val="2"/>
          <w:sz w:val="28"/>
          <w:szCs w:val="28"/>
          <w:lang w:val="en-US" w:eastAsia="zh-CN" w:bidi="ar-SA"/>
        </w:rPr>
        <w:t>设备的大小及运送通道</w:t>
      </w:r>
      <w:bookmarkEnd w:id="1125"/>
      <w:bookmarkEnd w:id="1126"/>
    </w:p>
    <w:p>
      <w:pPr>
        <w:widowControl/>
        <w:numPr>
          <w:ilvl w:val="0"/>
          <w:numId w:val="29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要求所提供的设备的大小尺寸应能适合于所指定的安装空间，并应考虑提供足够的运输、维修及保养所需的通道。中标人应负责协调所需检修门的位置及要求。</w:t>
      </w:r>
    </w:p>
    <w:p>
      <w:pPr>
        <w:widowControl/>
        <w:numPr>
          <w:ilvl w:val="0"/>
          <w:numId w:val="29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呈交所提供设备的施工图和具体尺寸要求。若所提供的设备其尺寸与图纸所示不符，因此而引起的一切改动和费用开支，须由中标人负责。对于大型重要设备的运送方案，应以图纸表示，并事先呈交监理工程师审查。</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31" w:name="_Toc25651395"/>
      <w:r>
        <w:rPr>
          <w:rFonts w:hint="eastAsia" w:ascii="仿宋_GB2312" w:hAnsi="宋体" w:eastAsia="仿宋_GB2312" w:cs="Times New Roman"/>
          <w:b w:val="0"/>
          <w:bCs w:val="0"/>
          <w:color w:val="000000"/>
          <w:kern w:val="2"/>
          <w:sz w:val="28"/>
          <w:szCs w:val="28"/>
          <w:lang w:val="en-US" w:eastAsia="zh-CN" w:bidi="ar-SA"/>
        </w:rPr>
        <w:t>对机件及设备的责任拥有权</w:t>
      </w:r>
      <w:bookmarkEnd w:id="1127"/>
      <w:bookmarkEnd w:id="1131"/>
    </w:p>
    <w:p>
      <w:pPr>
        <w:widowControl/>
        <w:numPr>
          <w:ilvl w:val="0"/>
          <w:numId w:val="29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要求在本工程进行期间中标人须对任何材料、机件及设备的破损和遗失等负责。</w:t>
      </w:r>
    </w:p>
    <w:p>
      <w:pPr>
        <w:widowControl/>
        <w:numPr>
          <w:ilvl w:val="0"/>
          <w:numId w:val="29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要求在本工程合约范围内所提供的一切材料、机件和设备一经送抵工地后，其拥有权归招标人所有。</w:t>
      </w:r>
    </w:p>
    <w:p>
      <w:pPr>
        <w:widowControl/>
        <w:numPr>
          <w:ilvl w:val="0"/>
          <w:numId w:val="29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要求在未得到招标人的书面批准前，任何材料、机件或设备皆不得移离工地。</w:t>
      </w:r>
    </w:p>
    <w:p>
      <w:pPr>
        <w:numPr>
          <w:ilvl w:val="0"/>
          <w:numId w:val="268"/>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132" w:name="_Toc25651396"/>
      <w:r>
        <w:rPr>
          <w:rFonts w:hint="eastAsia" w:ascii="仿宋_GB2312" w:hAnsi="宋体" w:eastAsia="仿宋_GB2312" w:cs="Times New Roman"/>
          <w:b w:val="0"/>
          <w:bCs/>
          <w:color w:val="000000"/>
          <w:kern w:val="2"/>
          <w:sz w:val="28"/>
          <w:szCs w:val="28"/>
          <w:lang w:val="en-US" w:eastAsia="zh-CN" w:bidi="ar-SA"/>
        </w:rPr>
        <w:t>绿色施工</w:t>
      </w:r>
      <w:bookmarkEnd w:id="1128"/>
      <w:bookmarkEnd w:id="1129"/>
      <w:bookmarkEnd w:id="1130"/>
      <w:r>
        <w:rPr>
          <w:rFonts w:hint="eastAsia" w:ascii="仿宋_GB2312" w:hAnsi="宋体" w:eastAsia="仿宋_GB2312" w:cs="Times New Roman"/>
          <w:b w:val="0"/>
          <w:bCs/>
          <w:color w:val="000000"/>
          <w:kern w:val="2"/>
          <w:sz w:val="28"/>
          <w:szCs w:val="28"/>
          <w:lang w:val="en-US" w:eastAsia="zh-CN" w:bidi="ar-SA"/>
        </w:rPr>
        <w:t>要求</w:t>
      </w:r>
      <w:bookmarkEnd w:id="1132"/>
    </w:p>
    <w:p>
      <w:pPr>
        <w:widowControl/>
        <w:numPr>
          <w:ilvl w:val="0"/>
          <w:numId w:val="29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要求中标人应承担施工过程中涉及绿色施工环节的全面管理协调，确保本项目施工符合国家及地方绿色建筑政策、标准的施工要求。</w:t>
      </w:r>
    </w:p>
    <w:p>
      <w:pPr>
        <w:widowControl/>
        <w:numPr>
          <w:ilvl w:val="0"/>
          <w:numId w:val="29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要求中标人应在保证工程项目质量、安全、进度等基本要求的前提下，通过科学管理和技术进步，最大限度地节约资源与减少对环境负面影响的施工活动，开展绿色健康施工。</w:t>
      </w:r>
    </w:p>
    <w:p>
      <w:pPr>
        <w:widowControl/>
        <w:numPr>
          <w:ilvl w:val="0"/>
          <w:numId w:val="29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依据因地制宜的原则，将绿色施工有关内容分解到管理体系目标和施工过程中去，使绿色施工规范化、标准化。鼓励开展绿色施工的政策与技术研究，发展绿色施工的新技术、新设备、新材料与新工艺。</w:t>
      </w:r>
    </w:p>
    <w:p>
      <w:pPr>
        <w:widowControl/>
        <w:numPr>
          <w:ilvl w:val="0"/>
          <w:numId w:val="29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要求中标人应加强对施工策划、施工准备、材料采购、现场施工、工程验收等各阶段的绿色施工内部管理、监督和自评估，并积极接受和配合招标人、第三方测试验证单位的指导、监督。</w:t>
      </w:r>
    </w:p>
    <w:p>
      <w:pPr>
        <w:numPr>
          <w:ilvl w:val="0"/>
          <w:numId w:val="268"/>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133" w:name="_Toc441654381"/>
      <w:bookmarkStart w:id="1134" w:name="_Toc25651397"/>
      <w:r>
        <w:rPr>
          <w:rFonts w:hint="eastAsia" w:ascii="仿宋_GB2312" w:hAnsi="宋体" w:eastAsia="仿宋_GB2312" w:cs="Times New Roman"/>
          <w:b w:val="0"/>
          <w:bCs/>
          <w:color w:val="000000"/>
          <w:kern w:val="2"/>
          <w:sz w:val="28"/>
          <w:szCs w:val="28"/>
          <w:lang w:val="en-US" w:eastAsia="zh-CN" w:bidi="ar-SA"/>
        </w:rPr>
        <w:t>现场成品</w:t>
      </w:r>
      <w:bookmarkEnd w:id="1133"/>
      <w:r>
        <w:rPr>
          <w:rFonts w:hint="eastAsia" w:ascii="仿宋_GB2312" w:hAnsi="宋体" w:eastAsia="仿宋_GB2312" w:cs="Times New Roman"/>
          <w:b w:val="0"/>
          <w:bCs/>
          <w:color w:val="000000"/>
          <w:kern w:val="2"/>
          <w:sz w:val="28"/>
          <w:szCs w:val="28"/>
          <w:lang w:val="en-US" w:eastAsia="zh-CN" w:bidi="ar-SA"/>
        </w:rPr>
        <w:t>保护要求</w:t>
      </w:r>
      <w:bookmarkEnd w:id="1134"/>
    </w:p>
    <w:p>
      <w:pPr>
        <w:widowControl/>
        <w:numPr>
          <w:ilvl w:val="0"/>
          <w:numId w:val="29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要求在工程施工期间，中标人应保持现场整洁，按规定存放并处置任何设备及材料。</w:t>
      </w:r>
    </w:p>
    <w:p>
      <w:pPr>
        <w:widowControl/>
        <w:numPr>
          <w:ilvl w:val="0"/>
          <w:numId w:val="29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要求在工程结束正式移交给招标人之前，中标人应从其所涉及的施工现场清除并运出自己的全部施工设备、多余材料、垃圾和各种临时工程。</w:t>
      </w:r>
    </w:p>
    <w:p>
      <w:pPr>
        <w:widowControl/>
        <w:numPr>
          <w:ilvl w:val="0"/>
          <w:numId w:val="29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除非合同中另有约定，从工程开工日期起直到颁发整个工程的竣工移交证书日期止，中标人应对整个工程、施工过程的中间成果、工程材料、待安装的工程设备等的保护负完全责任。这种保护的责任应随招标人使用之日或竣工移交证书一起移交给招标人。</w:t>
      </w:r>
    </w:p>
    <w:p>
      <w:pPr>
        <w:widowControl/>
        <w:numPr>
          <w:ilvl w:val="0"/>
          <w:numId w:val="29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在中标人施工期间，如果中标人所负责工程、施工过程的中间结果、工程材料、设备出现任何损失或损坏，除非合同中另有约定，不论出于其他任何原因，中标人必须弥补此类损失或损坏，中标人应对其在进行施工过程中造成的对工程的任何损失或损坏承担责任。</w:t>
      </w:r>
    </w:p>
    <w:p>
      <w:pPr>
        <w:numPr>
          <w:ilvl w:val="0"/>
          <w:numId w:val="268"/>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135" w:name="_Toc17624925"/>
      <w:bookmarkStart w:id="1136" w:name="_Toc25787"/>
      <w:bookmarkStart w:id="1137" w:name="_Toc25651398"/>
      <w:bookmarkStart w:id="1138" w:name="_Toc13809"/>
      <w:bookmarkStart w:id="1139" w:name="_Toc441654385"/>
      <w:r>
        <w:rPr>
          <w:rFonts w:hint="eastAsia" w:ascii="仿宋_GB2312" w:hAnsi="宋体" w:eastAsia="仿宋_GB2312" w:cs="Times New Roman"/>
          <w:b w:val="0"/>
          <w:bCs/>
          <w:color w:val="000000"/>
          <w:kern w:val="2"/>
          <w:sz w:val="28"/>
          <w:szCs w:val="28"/>
          <w:lang w:val="en-US" w:eastAsia="zh-CN" w:bidi="ar-SA"/>
        </w:rPr>
        <w:t>其他要求</w:t>
      </w:r>
      <w:bookmarkEnd w:id="1135"/>
      <w:bookmarkEnd w:id="1136"/>
      <w:bookmarkEnd w:id="1137"/>
      <w:bookmarkEnd w:id="1138"/>
    </w:p>
    <w:p>
      <w:pPr>
        <w:widowControl/>
        <w:numPr>
          <w:ilvl w:val="0"/>
          <w:numId w:val="29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要求中标人应为所承担的工程购买相应的工程保险，为现场人员购买人身保险，并承担该部分工程的灭失风险。 （还必须考虑因本工程涉及其它楼层的水火险，以及因本工程施工引起对其他人员造成伤害的保险）</w:t>
      </w:r>
    </w:p>
    <w:p>
      <w:pPr>
        <w:widowControl/>
        <w:numPr>
          <w:ilvl w:val="0"/>
          <w:numId w:val="29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 xml:space="preserve">要求中标人施工过程中注意洁净维护，在施工中严格控制灰尘，并采取相应的防护和控制措施，若因现场环境不达标或无法满足国家标准，需自行完成整改，且因环境问题造成设备的损害，需承担相应赔偿责任。 </w:t>
      </w:r>
    </w:p>
    <w:p>
      <w:pPr>
        <w:widowControl/>
        <w:numPr>
          <w:ilvl w:val="0"/>
          <w:numId w:val="29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要求工程完工后，需负责对整体工程进行保护和清洁工作，达至招标人满意为止。施工期间及竣工后清理及运走所有与本工程有关的废料和垃圾。</w:t>
      </w:r>
    </w:p>
    <w:p>
      <w:pPr>
        <w:widowControl/>
        <w:numPr>
          <w:ilvl w:val="0"/>
          <w:numId w:val="0"/>
        </w:numPr>
        <w:spacing w:after="180" w:line="660" w:lineRule="exact"/>
        <w:ind w:leftChars="0"/>
        <w:jc w:val="left"/>
        <w:textAlignment w:val="center"/>
        <w:outlineLvl w:val="0"/>
        <w:rPr>
          <w:rFonts w:ascii="仿宋_GB2312" w:hAnsi="宋体" w:eastAsia="仿宋_GB2312" w:cs="Times New Roman"/>
          <w:b/>
          <w:color w:val="000000"/>
          <w:sz w:val="28"/>
          <w:szCs w:val="28"/>
        </w:rPr>
      </w:pPr>
      <w:bookmarkStart w:id="1140" w:name="_Toc25651399"/>
      <w:r>
        <w:rPr>
          <w:rFonts w:hint="eastAsia" w:ascii="仿宋_GB2312" w:hAnsi="宋体" w:eastAsia="仿宋_GB2312" w:cs="Times New Roman"/>
          <w:b/>
          <w:color w:val="000000"/>
          <w:sz w:val="28"/>
          <w:szCs w:val="28"/>
          <w:lang w:eastAsia="zh-CN"/>
        </w:rPr>
        <w:t>第三部分</w:t>
      </w:r>
      <w:r>
        <w:rPr>
          <w:rFonts w:hint="eastAsia" w:ascii="仿宋_GB2312" w:hAnsi="宋体" w:eastAsia="仿宋_GB2312" w:cs="Times New Roman"/>
          <w:b/>
          <w:color w:val="000000"/>
          <w:sz w:val="28"/>
          <w:szCs w:val="28"/>
          <w:lang w:val="en-US" w:eastAsia="zh-CN"/>
        </w:rPr>
        <w:t xml:space="preserve"> </w:t>
      </w:r>
      <w:r>
        <w:rPr>
          <w:rFonts w:hint="eastAsia" w:ascii="仿宋_GB2312" w:hAnsi="宋体" w:eastAsia="仿宋_GB2312" w:cs="Times New Roman"/>
          <w:b/>
          <w:color w:val="000000"/>
          <w:sz w:val="28"/>
          <w:szCs w:val="28"/>
        </w:rPr>
        <w:t>工程系统</w:t>
      </w:r>
      <w:bookmarkEnd w:id="1139"/>
      <w:r>
        <w:rPr>
          <w:rFonts w:hint="eastAsia" w:ascii="仿宋_GB2312" w:hAnsi="宋体" w:eastAsia="仿宋_GB2312" w:cs="Times New Roman"/>
          <w:b/>
          <w:color w:val="000000"/>
          <w:sz w:val="28"/>
          <w:szCs w:val="28"/>
        </w:rPr>
        <w:t>验收要求</w:t>
      </w:r>
      <w:bookmarkEnd w:id="1140"/>
    </w:p>
    <w:p>
      <w:pPr>
        <w:numPr>
          <w:ilvl w:val="0"/>
          <w:numId w:val="296"/>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141" w:name="_Toc25651400"/>
      <w:r>
        <w:rPr>
          <w:rFonts w:hint="eastAsia" w:ascii="仿宋_GB2312" w:hAnsi="宋体" w:eastAsia="仿宋_GB2312" w:cs="Times New Roman"/>
          <w:b w:val="0"/>
          <w:bCs/>
          <w:color w:val="000000"/>
          <w:kern w:val="2"/>
          <w:sz w:val="28"/>
          <w:szCs w:val="28"/>
          <w:lang w:val="en-US" w:eastAsia="zh-CN" w:bidi="ar-SA"/>
        </w:rPr>
        <w:t>一般要求</w:t>
      </w:r>
      <w:bookmarkEnd w:id="1141"/>
    </w:p>
    <w:p>
      <w:pPr>
        <w:widowControl/>
        <w:spacing w:after="180" w:line="660" w:lineRule="exact"/>
        <w:ind w:firstLine="560" w:firstLineChars="200"/>
        <w:jc w:val="left"/>
        <w:textAlignment w:val="center"/>
        <w:rPr>
          <w:rFonts w:hint="eastAsia" w:ascii="仿宋_GB2312" w:hAnsi="宋体" w:eastAsia="仿宋_GB2312" w:cs="仿宋"/>
          <w:bCs/>
          <w:kern w:val="0"/>
          <w:sz w:val="28"/>
          <w:szCs w:val="28"/>
        </w:rPr>
      </w:pPr>
      <w:r>
        <w:rPr>
          <w:rFonts w:hint="eastAsia" w:ascii="仿宋_GB2312" w:hAnsi="宋体" w:eastAsia="仿宋_GB2312" w:cs="仿宋"/>
          <w:bCs/>
          <w:kern w:val="0"/>
          <w:sz w:val="28"/>
          <w:szCs w:val="28"/>
        </w:rPr>
        <w:t>中标人和招标人共同配合政府相关部门，包含不限于质监站、安监、环保局、消防等政府的验收，最终提交完整的竣工验收文件移交招标人。</w:t>
      </w:r>
    </w:p>
    <w:p>
      <w:pPr>
        <w:widowControl/>
        <w:spacing w:after="180" w:line="660" w:lineRule="exact"/>
        <w:ind w:firstLine="560" w:firstLineChars="200"/>
        <w:jc w:val="left"/>
        <w:textAlignment w:val="center"/>
        <w:rPr>
          <w:rFonts w:hint="eastAsia" w:ascii="仿宋_GB2312" w:hAnsi="宋体" w:eastAsia="仿宋_GB2312" w:cs="仿宋"/>
          <w:bCs/>
          <w:kern w:val="0"/>
          <w:sz w:val="28"/>
          <w:szCs w:val="28"/>
          <w:lang w:eastAsia="zh-CN"/>
        </w:rPr>
      </w:pPr>
      <w:r>
        <w:rPr>
          <w:rFonts w:hint="eastAsia" w:ascii="仿宋_GB2312" w:hAnsi="宋体" w:eastAsia="仿宋_GB2312" w:cs="仿宋"/>
          <w:bCs/>
          <w:kern w:val="0"/>
          <w:sz w:val="28"/>
          <w:szCs w:val="28"/>
          <w:lang w:eastAsia="zh-CN"/>
        </w:rPr>
        <w:t>中标人最终要实现招标人关于本项目的设计和建设要求，达到</w:t>
      </w:r>
      <w:r>
        <w:rPr>
          <w:rFonts w:hint="eastAsia" w:ascii="仿宋_GB2312" w:hAnsi="宋体" w:eastAsia="仿宋_GB2312" w:cs="仿宋"/>
          <w:bCs/>
          <w:kern w:val="0"/>
          <w:sz w:val="28"/>
          <w:szCs w:val="28"/>
        </w:rPr>
        <w:t>国家标准GB50174和GB50462 （A级标准），符合金融管理机构的指引及其它相关标准要求</w:t>
      </w:r>
      <w:r>
        <w:rPr>
          <w:rFonts w:hint="eastAsia" w:ascii="仿宋_GB2312" w:hAnsi="宋体" w:eastAsia="仿宋_GB2312" w:cs="仿宋"/>
          <w:bCs/>
          <w:kern w:val="0"/>
          <w:sz w:val="28"/>
          <w:szCs w:val="28"/>
          <w:lang w:eastAsia="zh-CN"/>
        </w:rPr>
        <w:t>。</w:t>
      </w:r>
    </w:p>
    <w:p>
      <w:pPr>
        <w:numPr>
          <w:ilvl w:val="0"/>
          <w:numId w:val="296"/>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142" w:name="_Toc25651401"/>
      <w:bookmarkStart w:id="1143" w:name="_Toc17624928"/>
      <w:r>
        <w:rPr>
          <w:rFonts w:hint="eastAsia" w:ascii="仿宋_GB2312" w:hAnsi="宋体" w:eastAsia="仿宋_GB2312" w:cs="Times New Roman"/>
          <w:b w:val="0"/>
          <w:bCs/>
          <w:color w:val="000000"/>
          <w:kern w:val="2"/>
          <w:sz w:val="28"/>
          <w:szCs w:val="28"/>
          <w:lang w:val="en-US" w:eastAsia="zh-CN" w:bidi="ar-SA"/>
        </w:rPr>
        <w:t>产品测试验收要求</w:t>
      </w:r>
      <w:bookmarkEnd w:id="1142"/>
      <w:bookmarkEnd w:id="1143"/>
    </w:p>
    <w:p>
      <w:pPr>
        <w:widowControl/>
        <w:numPr>
          <w:ilvl w:val="0"/>
          <w:numId w:val="29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如需要，要求需要对所有相关的密集母排、机柜、配电柜等主要在生产制造期间或完成生产后会派遣2～4人的厂验小组到生产工厂进行厂验工作，中标人需提供配合，由此所产生的费用单独进行报价供招标人方选择。（不含在总价内）。</w:t>
      </w:r>
    </w:p>
    <w:p>
      <w:pPr>
        <w:widowControl/>
        <w:numPr>
          <w:ilvl w:val="0"/>
          <w:numId w:val="29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要求中标人按招标文件要求对全部设备、材料的型号、规格、数量、外型、外观、包装及资料、文件等进行验收，必须满足招标文件要求。</w:t>
      </w:r>
    </w:p>
    <w:p>
      <w:pPr>
        <w:widowControl/>
        <w:numPr>
          <w:ilvl w:val="0"/>
          <w:numId w:val="29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如供货产品为进口产品，供货时需提供以下质量证明文件及其他相关资料：</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货物装运单及保险单。</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设备到货及装箱清单。</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产品出厂检验报告、产品质量保证书及设备调试报告。</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报关单，关税单，海关增值税单。</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商检合格证书。</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设备保修证明。</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设备产地证明资料。</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中文版的设备安装、操作和维修保养手册。</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包括不限于上述其他章节所提及的内容要求。</w:t>
      </w:r>
    </w:p>
    <w:p>
      <w:pPr>
        <w:widowControl/>
        <w:numPr>
          <w:ilvl w:val="0"/>
          <w:numId w:val="29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如供货产品为国产产品，供货时需提供以下质量证明文件及其他相关资料：</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生产商对每台设备的标定证明材料。</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设备到货及装箱清单。</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产品出厂检验合格证、产品质量保证书及设备调试报告。</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设备保修证明。</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中文版的设备安装、操作和维修保养手册。</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包括不限于上述其他章节所提及的内容要求。</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要求中标人提供的各种文件载明的内容必须真实。</w:t>
      </w:r>
    </w:p>
    <w:p>
      <w:pPr>
        <w:widowControl/>
        <w:numPr>
          <w:ilvl w:val="0"/>
          <w:numId w:val="29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要求拆箱后，中标人应对其全部产品、零件、配件、许可证书、资料、介质造册登记，并与装箱单对比，如有出入应立即书面记录，由中标人解决，如影响安装则按合同有关条款处理。</w:t>
      </w:r>
    </w:p>
    <w:p>
      <w:pPr>
        <w:widowControl/>
        <w:numPr>
          <w:ilvl w:val="0"/>
          <w:numId w:val="29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要求设备通电测试应单台进行，所有设备通电自检正常后，才能相互连接。</w:t>
      </w:r>
    </w:p>
    <w:p>
      <w:pPr>
        <w:widowControl/>
        <w:numPr>
          <w:ilvl w:val="0"/>
          <w:numId w:val="29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要求硬件全部安装完成且连接完毕进行系统测试，应严格按测试计划、内容和方法进行，并做好各项测试记录。</w:t>
      </w:r>
    </w:p>
    <w:p>
      <w:pPr>
        <w:widowControl/>
        <w:numPr>
          <w:ilvl w:val="0"/>
          <w:numId w:val="29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要求系统测试中如发现设备性能指标或功能上不符合招标文件要求时，将被视为性能不合格，招标人有权拒收并要求赔偿。</w:t>
      </w:r>
    </w:p>
    <w:p>
      <w:pPr>
        <w:widowControl/>
        <w:numPr>
          <w:ilvl w:val="0"/>
          <w:numId w:val="29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要求货物经招标人验收合格签字，并不能免除中标人对货物应承担的责任。</w:t>
      </w:r>
    </w:p>
    <w:p>
      <w:pPr>
        <w:numPr>
          <w:ilvl w:val="0"/>
          <w:numId w:val="296"/>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144" w:name="_Toc17624929"/>
      <w:bookmarkStart w:id="1145" w:name="_Toc25651402"/>
      <w:r>
        <w:rPr>
          <w:rFonts w:hint="eastAsia" w:ascii="仿宋_GB2312" w:hAnsi="宋体" w:eastAsia="仿宋_GB2312" w:cs="Times New Roman"/>
          <w:b w:val="0"/>
          <w:bCs/>
          <w:color w:val="000000"/>
          <w:kern w:val="2"/>
          <w:sz w:val="28"/>
          <w:szCs w:val="28"/>
          <w:lang w:val="en-US" w:eastAsia="zh-CN" w:bidi="ar-SA"/>
        </w:rPr>
        <w:t>系统调试验收</w:t>
      </w:r>
      <w:bookmarkEnd w:id="1144"/>
      <w:r>
        <w:rPr>
          <w:rFonts w:hint="eastAsia" w:ascii="仿宋_GB2312" w:hAnsi="宋体" w:eastAsia="仿宋_GB2312" w:cs="Times New Roman"/>
          <w:b w:val="0"/>
          <w:bCs/>
          <w:color w:val="000000"/>
          <w:kern w:val="2"/>
          <w:sz w:val="28"/>
          <w:szCs w:val="28"/>
          <w:lang w:val="en-US" w:eastAsia="zh-CN" w:bidi="ar-SA"/>
        </w:rPr>
        <w:t>要求</w:t>
      </w:r>
      <w:bookmarkEnd w:id="1145"/>
    </w:p>
    <w:p>
      <w:pPr>
        <w:widowControl/>
        <w:numPr>
          <w:ilvl w:val="0"/>
          <w:numId w:val="29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要求中标人必须在投标文件中对系统测试给出具体的调试计划、调试内容和方法。</w:t>
      </w:r>
    </w:p>
    <w:p>
      <w:pPr>
        <w:widowControl/>
        <w:numPr>
          <w:ilvl w:val="0"/>
          <w:numId w:val="29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要求中标人必须在系统测试工作开始前10个工作日，提交测试工作计划和方案，详细说明测试工作内容、测试方法、测试仪器和仪表，由招标人和监理工程师审核批准。</w:t>
      </w:r>
    </w:p>
    <w:p>
      <w:pPr>
        <w:widowControl/>
        <w:numPr>
          <w:ilvl w:val="0"/>
          <w:numId w:val="29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应根据招标人批准的调试和试运行计划进行工作，调试和试运行应在招标人代表在场的情况下进行，并提交所有的记录和报告。由于中标人原因造成的调试和试运行失败引起的费用增加由中标人承担。因此而引起的工期延误，由中标人负责消除。</w:t>
      </w:r>
    </w:p>
    <w:p>
      <w:pPr>
        <w:widowControl/>
        <w:numPr>
          <w:ilvl w:val="0"/>
          <w:numId w:val="29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要求调试过程必须在招标人和监理工程师的参与下进行。调试的过程和结果必须详细记录，经各方签字后作为验收的文件之一。</w:t>
      </w:r>
    </w:p>
    <w:p>
      <w:pPr>
        <w:widowControl/>
        <w:numPr>
          <w:ilvl w:val="0"/>
          <w:numId w:val="29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要求中标人派出的技术人员具有数据中心的调试经验，且应自备在指导安装、调试过程中所需的备品备件、特殊工具和专用仪器仪表等。</w:t>
      </w:r>
    </w:p>
    <w:p>
      <w:pPr>
        <w:widowControl/>
        <w:numPr>
          <w:ilvl w:val="0"/>
          <w:numId w:val="29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招标人在安装调试过程中发现设备内在质量与合同规定不符，或者在设备质量保证期内证实设备是有缺陷的（包括潜在的缺陷或使用不符合要求的材料等），招标人有权要求中标人无条件更换有缺陷的设备或部件。要求中标人收到招标人书面通知后十日内无条件更换有缺陷的设备或部件，相关费用由中标人承担。</w:t>
      </w:r>
    </w:p>
    <w:p>
      <w:pPr>
        <w:widowControl/>
        <w:numPr>
          <w:ilvl w:val="0"/>
          <w:numId w:val="29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要求中标人需在设备安装结束前1周之内，向招标人、监理工程师提交调试和试运行的程序和记录表格，供招标人批准。</w:t>
      </w:r>
    </w:p>
    <w:p>
      <w:pPr>
        <w:widowControl/>
        <w:numPr>
          <w:ilvl w:val="0"/>
          <w:numId w:val="29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要求调试和试运行计划获得招标人的书面批复，设备安装工作已结束且工作情况良好，中标人可以组织调试和试运行工作。</w:t>
      </w:r>
    </w:p>
    <w:p>
      <w:pPr>
        <w:widowControl/>
        <w:numPr>
          <w:ilvl w:val="0"/>
          <w:numId w:val="29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中标人应在招标人代表、监理工程师到场时进行调试及试运行。如设备未能达到合同规定的要求，责任方应当采取适当措施解决发现的相关问题直至设备正常运行，并承担由此产生的费用。</w:t>
      </w:r>
    </w:p>
    <w:p>
      <w:pPr>
        <w:widowControl/>
        <w:numPr>
          <w:ilvl w:val="0"/>
          <w:numId w:val="29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安装结束后，中标人负责对系统进行全面的检查与测试，并在测试表中作记录，并完成系统的局部及整体的调试工作。</w:t>
      </w:r>
    </w:p>
    <w:p>
      <w:pPr>
        <w:widowControl/>
        <w:numPr>
          <w:ilvl w:val="0"/>
          <w:numId w:val="29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必须负责整个系统的测试工作，所有测试工作都必须由经过产品制造商认证的且具有数据调试经验的原厂工程师参与进行，测试时应采用符合相应精度要求的仪表，测试工作所需的仪器仪表、工具、材料均由中标人负责。</w:t>
      </w:r>
    </w:p>
    <w:p>
      <w:pPr>
        <w:widowControl/>
        <w:numPr>
          <w:ilvl w:val="0"/>
          <w:numId w:val="29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中标人必须依照批准的测试工作计划和方案、相关标准及规范对系统中所有设备进行测试。所有的测试工作必须在合同约定的时间内完成。</w:t>
      </w:r>
    </w:p>
    <w:p>
      <w:pPr>
        <w:widowControl/>
        <w:numPr>
          <w:ilvl w:val="0"/>
          <w:numId w:val="29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中标人承担所有测试的记录工作，并分别以书面和电子文件的形式向招标人、监理工程师提交4份测试报告。提交的测试报告必须签署并盖章。</w:t>
      </w:r>
    </w:p>
    <w:p>
      <w:pPr>
        <w:widowControl/>
        <w:numPr>
          <w:ilvl w:val="0"/>
          <w:numId w:val="298"/>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中标人必须修复在测试中发现的故障和缺陷，并承担修复故障和缺陷所发生的费用。招标人有权追究中标人由于修复故障和缺陷造成工期延误而产生的损失。</w:t>
      </w:r>
    </w:p>
    <w:p>
      <w:pPr>
        <w:numPr>
          <w:ilvl w:val="0"/>
          <w:numId w:val="296"/>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146" w:name="_Toc17624930"/>
      <w:bookmarkStart w:id="1147" w:name="_Toc25651403"/>
      <w:r>
        <w:rPr>
          <w:rFonts w:hint="eastAsia" w:ascii="仿宋_GB2312" w:hAnsi="宋体" w:eastAsia="仿宋_GB2312" w:cs="Times New Roman"/>
          <w:b w:val="0"/>
          <w:bCs/>
          <w:color w:val="000000"/>
          <w:kern w:val="2"/>
          <w:sz w:val="28"/>
          <w:szCs w:val="28"/>
          <w:lang w:val="en-US" w:eastAsia="zh-CN" w:bidi="ar-SA"/>
        </w:rPr>
        <w:t>第三方验证验证配合</w:t>
      </w:r>
      <w:bookmarkEnd w:id="1146"/>
      <w:r>
        <w:rPr>
          <w:rFonts w:hint="eastAsia" w:ascii="仿宋_GB2312" w:hAnsi="宋体" w:eastAsia="仿宋_GB2312" w:cs="Times New Roman"/>
          <w:b w:val="0"/>
          <w:bCs/>
          <w:color w:val="000000"/>
          <w:kern w:val="2"/>
          <w:sz w:val="28"/>
          <w:szCs w:val="28"/>
          <w:lang w:val="en-US" w:eastAsia="zh-CN" w:bidi="ar-SA"/>
        </w:rPr>
        <w:t>要求</w:t>
      </w:r>
      <w:bookmarkEnd w:id="1147"/>
    </w:p>
    <w:p>
      <w:pPr>
        <w:widowControl/>
        <w:numPr>
          <w:ilvl w:val="0"/>
          <w:numId w:val="29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测试完成后，招标人有权邀请第三方单位对系统进行测试复查，如果发现抽样复查结果与中标人提供的测试报告有不一致，招标人和监理工程师有权对中标人提供的测试报告质疑，并要求中标人重新进行全面测试和整改，由此造成的费用和工期延误损失由中标人负责。</w:t>
      </w:r>
    </w:p>
    <w:p>
      <w:pPr>
        <w:widowControl/>
        <w:numPr>
          <w:ilvl w:val="0"/>
          <w:numId w:val="29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要求提供基础物理设施相关的系统和设备相关的资料，并提供过程的技术支持等。</w:t>
      </w:r>
    </w:p>
    <w:p>
      <w:pPr>
        <w:widowControl/>
        <w:numPr>
          <w:ilvl w:val="0"/>
          <w:numId w:val="29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要求对第三方测试验证机构要求无条件完成相应系统、部件等的整改，最终通过测试验证要求。</w:t>
      </w:r>
    </w:p>
    <w:p>
      <w:pPr>
        <w:numPr>
          <w:ilvl w:val="0"/>
          <w:numId w:val="296"/>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148" w:name="_Toc17624931"/>
      <w:bookmarkStart w:id="1149" w:name="_Toc25651404"/>
      <w:r>
        <w:rPr>
          <w:rFonts w:hint="eastAsia" w:ascii="仿宋_GB2312" w:hAnsi="宋体" w:eastAsia="仿宋_GB2312" w:cs="Times New Roman"/>
          <w:b w:val="0"/>
          <w:bCs/>
          <w:color w:val="000000"/>
          <w:kern w:val="2"/>
          <w:sz w:val="28"/>
          <w:szCs w:val="28"/>
          <w:lang w:val="en-US" w:eastAsia="zh-CN" w:bidi="ar-SA"/>
        </w:rPr>
        <w:t>切换演练</w:t>
      </w:r>
      <w:bookmarkEnd w:id="1148"/>
      <w:r>
        <w:rPr>
          <w:rFonts w:hint="eastAsia" w:ascii="仿宋_GB2312" w:hAnsi="宋体" w:eastAsia="仿宋_GB2312" w:cs="Times New Roman"/>
          <w:b w:val="0"/>
          <w:bCs/>
          <w:color w:val="000000"/>
          <w:kern w:val="2"/>
          <w:sz w:val="28"/>
          <w:szCs w:val="28"/>
          <w:lang w:val="en-US" w:eastAsia="zh-CN" w:bidi="ar-SA"/>
        </w:rPr>
        <w:t>要求</w:t>
      </w:r>
      <w:bookmarkEnd w:id="1149"/>
    </w:p>
    <w:p>
      <w:pPr>
        <w:widowControl/>
        <w:numPr>
          <w:ilvl w:val="0"/>
          <w:numId w:val="30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为保证数据中心能够顺利投入使用，系统联调和测试完成并经第三方测试验证机构通过后，要求中标人组织由招标人参与的各子系统切换演练，切换演练方案应列入数据中心运维操作手册中。</w:t>
      </w:r>
    </w:p>
    <w:p>
      <w:pPr>
        <w:widowControl/>
        <w:numPr>
          <w:ilvl w:val="0"/>
          <w:numId w:val="300"/>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要求中标人应对招标人的运营团队提供人员培训，使招标人相关人员熟悉使用所有设施及设备的操作及简单的维护。</w:t>
      </w:r>
    </w:p>
    <w:p>
      <w:pPr>
        <w:numPr>
          <w:ilvl w:val="0"/>
          <w:numId w:val="296"/>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150" w:name="_Toc25651405"/>
      <w:bookmarkStart w:id="1151" w:name="_Toc17624932"/>
      <w:r>
        <w:rPr>
          <w:rFonts w:hint="eastAsia" w:ascii="仿宋_GB2312" w:hAnsi="宋体" w:eastAsia="仿宋_GB2312" w:cs="Times New Roman"/>
          <w:b w:val="0"/>
          <w:bCs/>
          <w:color w:val="000000"/>
          <w:kern w:val="2"/>
          <w:sz w:val="28"/>
          <w:szCs w:val="28"/>
          <w:lang w:val="en-US" w:eastAsia="zh-CN" w:bidi="ar-SA"/>
        </w:rPr>
        <w:t>工程验收流程与要求</w:t>
      </w:r>
      <w:bookmarkEnd w:id="1150"/>
      <w:bookmarkEnd w:id="1151"/>
    </w:p>
    <w:p>
      <w:pPr>
        <w:widowControl/>
        <w:spacing w:line="660" w:lineRule="exact"/>
        <w:ind w:firstLine="280" w:firstLineChars="100"/>
        <w:textAlignment w:val="center"/>
        <w:rPr>
          <w:rFonts w:hint="eastAsia" w:ascii="仿宋_GB2312" w:hAnsi="宋体" w:eastAsia="仿宋_GB2312" w:cs="Arial"/>
          <w:color w:val="000000"/>
          <w:kern w:val="0"/>
          <w:sz w:val="28"/>
          <w:szCs w:val="28"/>
        </w:rPr>
      </w:pPr>
      <w:r>
        <w:rPr>
          <w:rFonts w:ascii="仿宋_GB2312" w:hAnsi="宋体" w:eastAsia="仿宋_GB2312" w:cs="Arial"/>
          <w:color w:val="000000"/>
          <w:kern w:val="0"/>
          <w:sz w:val="28"/>
          <w:szCs w:val="28"/>
        </w:rPr>
        <w:t xml:space="preserve">  </w:t>
      </w:r>
      <w:r>
        <w:rPr>
          <w:rFonts w:hint="eastAsia" w:ascii="仿宋_GB2312" w:hAnsi="宋体" w:eastAsia="仿宋_GB2312" w:cs="Arial"/>
          <w:color w:val="000000"/>
          <w:kern w:val="0"/>
          <w:sz w:val="28"/>
          <w:szCs w:val="28"/>
        </w:rPr>
        <w:t>上述产品测试验收、系统调试联调、第三方测试验证、切换演练各阶段验收合格后，进入工程验收阶段。</w:t>
      </w:r>
    </w:p>
    <w:p>
      <w:pPr>
        <w:widowControl/>
        <w:spacing w:line="660" w:lineRule="exact"/>
        <w:ind w:firstLine="280" w:firstLineChars="100"/>
        <w:textAlignment w:val="center"/>
        <w:rPr>
          <w:ins w:id="0" w:author="xiezm" w:date="2020-06-28T14:26:00Z"/>
          <w:rFonts w:hint="eastAsia" w:ascii="仿宋_GB2312" w:hAnsi="宋体" w:eastAsia="仿宋_GB2312" w:cs="Arial"/>
          <w:color w:val="000000"/>
          <w:kern w:val="0"/>
          <w:sz w:val="28"/>
          <w:szCs w:val="28"/>
        </w:rPr>
      </w:pPr>
      <w:r>
        <w:rPr>
          <w:rFonts w:ascii="仿宋_GB2312" w:hAnsi="宋体" w:eastAsia="仿宋_GB2312" w:cs="Arial"/>
          <w:color w:val="000000"/>
          <w:kern w:val="0"/>
          <w:sz w:val="28"/>
          <w:szCs w:val="28"/>
        </w:rPr>
        <w:t xml:space="preserve">  </w:t>
      </w:r>
      <w:r>
        <w:rPr>
          <w:rFonts w:hint="eastAsia" w:ascii="仿宋_GB2312" w:hAnsi="宋体" w:eastAsia="仿宋_GB2312" w:cs="Arial"/>
          <w:color w:val="000000"/>
          <w:kern w:val="0"/>
          <w:sz w:val="28"/>
          <w:szCs w:val="28"/>
        </w:rPr>
        <w:t>本工程验收工作分为项目初验、试运行和终验（竣工验收）三个阶段。</w:t>
      </w:r>
    </w:p>
    <w:p>
      <w:pPr>
        <w:widowControl/>
        <w:spacing w:line="660" w:lineRule="exact"/>
        <w:ind w:firstLine="280" w:firstLineChars="100"/>
        <w:textAlignment w:val="center"/>
        <w:rPr>
          <w:rFonts w:hint="eastAsia" w:ascii="仿宋_GB2312" w:hAnsi="宋体" w:eastAsia="仿宋_GB2312" w:cs="Arial"/>
          <w:color w:val="000000"/>
          <w:kern w:val="0"/>
          <w:sz w:val="28"/>
          <w:szCs w:val="28"/>
        </w:rPr>
      </w:pP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52" w:name="_Toc25651406"/>
      <w:r>
        <w:rPr>
          <w:rFonts w:hint="eastAsia" w:ascii="仿宋_GB2312" w:hAnsi="宋体" w:eastAsia="仿宋_GB2312" w:cs="Times New Roman"/>
          <w:b w:val="0"/>
          <w:bCs w:val="0"/>
          <w:color w:val="000000"/>
          <w:kern w:val="2"/>
          <w:sz w:val="28"/>
          <w:szCs w:val="28"/>
          <w:lang w:val="en-US" w:eastAsia="zh-CN" w:bidi="ar-SA"/>
        </w:rPr>
        <w:t>初验阶段基本要求</w:t>
      </w:r>
      <w:bookmarkEnd w:id="1152"/>
    </w:p>
    <w:p>
      <w:pPr>
        <w:widowControl/>
        <w:numPr>
          <w:ilvl w:val="0"/>
          <w:numId w:val="30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要求完成建设工程设计和合同约定的各项内容。</w:t>
      </w:r>
    </w:p>
    <w:p>
      <w:pPr>
        <w:widowControl/>
        <w:numPr>
          <w:ilvl w:val="0"/>
          <w:numId w:val="30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要求有完整齐全的技术档案和施工管理资料。</w:t>
      </w:r>
    </w:p>
    <w:p>
      <w:pPr>
        <w:widowControl/>
        <w:numPr>
          <w:ilvl w:val="0"/>
          <w:numId w:val="30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要求有工程使用的主要设备、材料、构配件的进场测试和检测报告。</w:t>
      </w:r>
    </w:p>
    <w:p>
      <w:pPr>
        <w:widowControl/>
        <w:numPr>
          <w:ilvl w:val="0"/>
          <w:numId w:val="30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要求中标人完成自身质量检查、调试工作。</w:t>
      </w:r>
    </w:p>
    <w:p>
      <w:pPr>
        <w:widowControl/>
        <w:numPr>
          <w:ilvl w:val="0"/>
          <w:numId w:val="30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要求在单项产品测试和系统联机测试均达到合同要求，并实现系统正常运行。</w:t>
      </w:r>
    </w:p>
    <w:p>
      <w:pPr>
        <w:widowControl/>
        <w:numPr>
          <w:ilvl w:val="0"/>
          <w:numId w:val="30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要求完成招标文件所要求和第三方测试要求，具体实施时以详细的测试流程和测试文档要求为准。</w:t>
      </w:r>
    </w:p>
    <w:p>
      <w:pPr>
        <w:widowControl/>
        <w:numPr>
          <w:ilvl w:val="0"/>
          <w:numId w:val="30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要求完成初验其他准备工作。</w:t>
      </w:r>
    </w:p>
    <w:p>
      <w:pPr>
        <w:widowControl/>
        <w:numPr>
          <w:ilvl w:val="0"/>
          <w:numId w:val="30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上述仅为基本要求，具体以招标人提供的要求为准。</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53" w:name="_Toc25651407"/>
      <w:r>
        <w:rPr>
          <w:rFonts w:hint="eastAsia" w:ascii="仿宋_GB2312" w:hAnsi="宋体" w:eastAsia="仿宋_GB2312" w:cs="Times New Roman"/>
          <w:b w:val="0"/>
          <w:bCs w:val="0"/>
          <w:color w:val="000000"/>
          <w:kern w:val="2"/>
          <w:sz w:val="28"/>
          <w:szCs w:val="28"/>
          <w:lang w:val="en-US" w:eastAsia="zh-CN" w:bidi="ar-SA"/>
        </w:rPr>
        <w:t>试运行阶段基本要求</w:t>
      </w:r>
      <w:bookmarkEnd w:id="1153"/>
    </w:p>
    <w:p>
      <w:pPr>
        <w:widowControl/>
        <w:numPr>
          <w:ilvl w:val="0"/>
          <w:numId w:val="30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要求本项目初验合格之日的次日起系统进入试运行期，试运行期暂按3个月。</w:t>
      </w:r>
    </w:p>
    <w:p>
      <w:pPr>
        <w:widowControl/>
        <w:numPr>
          <w:ilvl w:val="0"/>
          <w:numId w:val="30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要求根据现场负荷的实际情况，优化控制策略，实现节能控制。</w:t>
      </w:r>
    </w:p>
    <w:p>
      <w:pPr>
        <w:widowControl/>
        <w:numPr>
          <w:ilvl w:val="0"/>
          <w:numId w:val="30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要求试运行过程中出现问题需及时解决，如在试运行期间出现问题较多，试运行期将适当延长直至运行稳定。</w:t>
      </w:r>
    </w:p>
    <w:p>
      <w:pPr>
        <w:widowControl/>
        <w:numPr>
          <w:ilvl w:val="0"/>
          <w:numId w:val="30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要求中标人负责系统试运行的全过程。</w:t>
      </w:r>
    </w:p>
    <w:p>
      <w:pPr>
        <w:widowControl/>
        <w:numPr>
          <w:ilvl w:val="0"/>
          <w:numId w:val="30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在安装完成试车之前，向招标人、监理工程师提交调试和试运行的程序及记录表格，供招标人批准。要求中标人根据招标人批准的调试和试运行计划进行工作，调试和试运行应在招标人和第三方单位在场的情况下进行，并提交所有的记录和报告。由于中标人原因造成的调试和试运行失败引起的费用增加由中标人承担。因此而引起的工期延误及经济损失，由中标人负责承担。</w:t>
      </w:r>
    </w:p>
    <w:p>
      <w:pPr>
        <w:widowControl/>
        <w:numPr>
          <w:ilvl w:val="0"/>
          <w:numId w:val="30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当主要指标在试运行验收满足要求后，最终验收才能进行，如果上述条件不满足，由中标人对系统进行整改至满足后再进行试运行。</w:t>
      </w:r>
    </w:p>
    <w:p>
      <w:pPr>
        <w:widowControl/>
        <w:numPr>
          <w:ilvl w:val="0"/>
          <w:numId w:val="30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在试运行前，中标人需要提交操作和维护手册各四套，使招标人及有关人员能事前熟悉所安装的设备和系统。</w:t>
      </w:r>
    </w:p>
    <w:p>
      <w:pPr>
        <w:widowControl/>
        <w:numPr>
          <w:ilvl w:val="0"/>
          <w:numId w:val="30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上述仅为基本要求，具体以招标人提供的要求为准。</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154" w:name="_Toc25651408"/>
      <w:r>
        <w:rPr>
          <w:rFonts w:hint="eastAsia" w:ascii="仿宋_GB2312" w:hAnsi="宋体" w:eastAsia="仿宋_GB2312" w:cs="Times New Roman"/>
          <w:b w:val="0"/>
          <w:bCs w:val="0"/>
          <w:color w:val="000000"/>
          <w:kern w:val="2"/>
          <w:sz w:val="28"/>
          <w:szCs w:val="28"/>
          <w:lang w:val="en-US" w:eastAsia="zh-CN" w:bidi="ar-SA"/>
        </w:rPr>
        <w:t>终验阶段基本要求</w:t>
      </w:r>
      <w:bookmarkEnd w:id="1154"/>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bookmarkStart w:id="1155" w:name="_Toc25651409"/>
      <w:r>
        <w:rPr>
          <w:rFonts w:hint="eastAsia" w:ascii="仿宋_GB2312" w:hAnsi="宋体" w:eastAsia="仿宋_GB2312" w:cs="Times New Roman"/>
          <w:b w:val="0"/>
          <w:bCs w:val="0"/>
          <w:color w:val="000000"/>
          <w:kern w:val="2"/>
          <w:sz w:val="28"/>
          <w:szCs w:val="28"/>
          <w:lang w:val="en-US" w:eastAsia="zh-CN" w:bidi="ar-SA"/>
        </w:rPr>
        <w:t>一般要求</w:t>
      </w:r>
      <w:bookmarkEnd w:id="1155"/>
    </w:p>
    <w:p>
      <w:pPr>
        <w:widowControl/>
        <w:numPr>
          <w:ilvl w:val="0"/>
          <w:numId w:val="30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中标人未达到以上条件而提交的竣工验收申请和竣工验收报告均被视作无效文件，并不予受理，也不作为实际竣工日期的评判依据。</w:t>
      </w:r>
    </w:p>
    <w:p>
      <w:pPr>
        <w:widowControl/>
        <w:numPr>
          <w:ilvl w:val="0"/>
          <w:numId w:val="30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如果中标人认为工程已达到约定的竣工验收条件，中标人应通知招标人和监理工程师，各方应根据合同约定进行竣工验收。除非合同中另有约定，中标人应至少提前一周将确定的日期通知监理工程师，说明在该日期的工程将具备竣工验收的条件，同时为招标人提供一份副本，该日期称为“竣工报验申请日期”。</w:t>
      </w:r>
    </w:p>
    <w:p>
      <w:pPr>
        <w:widowControl/>
        <w:numPr>
          <w:ilvl w:val="0"/>
          <w:numId w:val="30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中标人在施工过程中应负责全部设备的保护和清洁工作直至项目验收合格。若因中标人对设施、设备的保护措施不当等原因造成设备、设施的受污、受损，须由中标人负责清洁或给予无条件更换。</w:t>
      </w:r>
    </w:p>
    <w:p>
      <w:pPr>
        <w:widowControl/>
        <w:numPr>
          <w:ilvl w:val="0"/>
          <w:numId w:val="30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如果工程或某部分工程未能通过竣工验收，则中标人应根据验收结果对工程或某部分工程进行整改或修复。整改修复完毕之后，应重新验收。</w:t>
      </w:r>
    </w:p>
    <w:p>
      <w:pPr>
        <w:widowControl/>
        <w:numPr>
          <w:ilvl w:val="0"/>
          <w:numId w:val="30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招标人共同向政府及有关管理机构办理必要的竣工批准和登记手续。如果政府及有关管理机构要求对工程进行进一步核验，则中标人应给予配合，对于在这种核验过程中发现的任何缺陷，中标人有义务进行整改和修复并承担相应的费用。</w:t>
      </w:r>
    </w:p>
    <w:p>
      <w:pPr>
        <w:widowControl/>
        <w:numPr>
          <w:ilvl w:val="0"/>
          <w:numId w:val="30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当工程获得竣工证书，中标人向招标人提交工程移交申请。招标人在接到中标人提交的工程移交申请后一周内，办理工程移交手续，向中标人颁发工程竣工移交证书。</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bookmarkStart w:id="1156" w:name="_Toc25651410"/>
      <w:r>
        <w:rPr>
          <w:rFonts w:hint="eastAsia" w:ascii="仿宋_GB2312" w:hAnsi="宋体" w:eastAsia="仿宋_GB2312" w:cs="Times New Roman"/>
          <w:b w:val="0"/>
          <w:bCs w:val="0"/>
          <w:color w:val="000000"/>
          <w:kern w:val="2"/>
          <w:sz w:val="28"/>
          <w:szCs w:val="28"/>
          <w:lang w:val="en-US" w:eastAsia="zh-CN" w:bidi="ar-SA"/>
        </w:rPr>
        <w:t>基本前提</w:t>
      </w:r>
      <w:bookmarkEnd w:id="1156"/>
    </w:p>
    <w:p>
      <w:pPr>
        <w:widowControl/>
        <w:numPr>
          <w:ilvl w:val="0"/>
          <w:numId w:val="30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中标人已完成按合同约定的工程施工安装、设备测试及系统调试工作。</w:t>
      </w:r>
    </w:p>
    <w:p>
      <w:pPr>
        <w:widowControl/>
        <w:numPr>
          <w:ilvl w:val="0"/>
          <w:numId w:val="30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要求完成系统试运行，并有完备的试运行记录材料。</w:t>
      </w:r>
    </w:p>
    <w:p>
      <w:pPr>
        <w:widowControl/>
        <w:numPr>
          <w:ilvl w:val="0"/>
          <w:numId w:val="30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完成招标文件和第三方测试要求，具体实施时以详细的测试流程和测试文档要求为准。</w:t>
      </w:r>
    </w:p>
    <w:p>
      <w:pPr>
        <w:widowControl/>
        <w:numPr>
          <w:ilvl w:val="0"/>
          <w:numId w:val="30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性能测试和试运行验收时出现的问题已被解决至招标人满意。</w:t>
      </w:r>
    </w:p>
    <w:p>
      <w:pPr>
        <w:widowControl/>
        <w:numPr>
          <w:ilvl w:val="0"/>
          <w:numId w:val="30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要求试运行期间，系统性能满足合同要求。</w:t>
      </w:r>
    </w:p>
    <w:p>
      <w:pPr>
        <w:widowControl/>
        <w:numPr>
          <w:ilvl w:val="0"/>
          <w:numId w:val="30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要求中标人已提供合同约定的全部货物。</w:t>
      </w:r>
    </w:p>
    <w:p>
      <w:pPr>
        <w:widowControl/>
        <w:numPr>
          <w:ilvl w:val="0"/>
          <w:numId w:val="30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要求中标人竣工资料齐备完整。</w:t>
      </w:r>
    </w:p>
    <w:p>
      <w:pPr>
        <w:widowControl/>
        <w:numPr>
          <w:ilvl w:val="0"/>
          <w:numId w:val="30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要求中标人符合政府或有关管理机构规定的其他任何竣工条件。</w:t>
      </w:r>
    </w:p>
    <w:p>
      <w:pPr>
        <w:widowControl/>
        <w:numPr>
          <w:ilvl w:val="0"/>
          <w:numId w:val="30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要求完成系统试运行时，有完备的试运行记录材料。</w:t>
      </w:r>
    </w:p>
    <w:p>
      <w:pPr>
        <w:widowControl/>
        <w:numPr>
          <w:ilvl w:val="0"/>
          <w:numId w:val="30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要求大型设备原厂保修及预防性维护保养完成，且提供并提供原厂维保证明文件。</w:t>
      </w:r>
    </w:p>
    <w:p>
      <w:pPr>
        <w:widowControl/>
        <w:numPr>
          <w:ilvl w:val="0"/>
          <w:numId w:val="30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在项目验收时中标人将系统设计施工相关产品说明书、原厂商安装手册、资料，以及测试报告等全部技术文件、图纸汇集整理成册，按招标人要求的数量交付招标人。</w:t>
      </w:r>
    </w:p>
    <w:p>
      <w:pPr>
        <w:widowControl/>
        <w:numPr>
          <w:ilvl w:val="0"/>
          <w:numId w:val="30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有监理等单位签署的质量合格文件。</w:t>
      </w:r>
    </w:p>
    <w:p>
      <w:pPr>
        <w:widowControl/>
        <w:numPr>
          <w:ilvl w:val="0"/>
          <w:numId w:val="30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由中标人签署的工程保修书。</w:t>
      </w:r>
    </w:p>
    <w:p>
      <w:pPr>
        <w:widowControl/>
        <w:numPr>
          <w:ilvl w:val="0"/>
          <w:numId w:val="30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完成终验其他准备工作。</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bookmarkStart w:id="1157" w:name="_Toc25651411"/>
      <w:r>
        <w:rPr>
          <w:rFonts w:hint="eastAsia" w:ascii="仿宋_GB2312" w:hAnsi="宋体" w:eastAsia="仿宋_GB2312" w:cs="Times New Roman"/>
          <w:b w:val="0"/>
          <w:bCs w:val="0"/>
          <w:color w:val="000000"/>
          <w:kern w:val="2"/>
          <w:sz w:val="28"/>
          <w:szCs w:val="28"/>
          <w:lang w:val="en-US" w:eastAsia="zh-CN" w:bidi="ar-SA"/>
        </w:rPr>
        <w:t>竣工验收图纸文件内容（包括但不限于）</w:t>
      </w:r>
      <w:bookmarkEnd w:id="1157"/>
    </w:p>
    <w:p>
      <w:pPr>
        <w:widowControl/>
        <w:numPr>
          <w:ilvl w:val="0"/>
          <w:numId w:val="30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全套工程实施文档（包括工程施工设计、设备安装和施工督导等文件），根据工程实施的实际情况，包括工程变更、配置调整等，提供经修改与工程实际相吻合的深化设计文件。</w:t>
      </w:r>
    </w:p>
    <w:p>
      <w:pPr>
        <w:widowControl/>
        <w:numPr>
          <w:ilvl w:val="0"/>
          <w:numId w:val="30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系统测试文件。</w:t>
      </w:r>
    </w:p>
    <w:p>
      <w:pPr>
        <w:widowControl/>
        <w:numPr>
          <w:ilvl w:val="0"/>
          <w:numId w:val="30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系统设计文本。</w:t>
      </w:r>
    </w:p>
    <w:p>
      <w:pPr>
        <w:widowControl/>
        <w:numPr>
          <w:ilvl w:val="0"/>
          <w:numId w:val="30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培训文件。</w:t>
      </w:r>
    </w:p>
    <w:p>
      <w:pPr>
        <w:widowControl/>
        <w:numPr>
          <w:ilvl w:val="0"/>
          <w:numId w:val="30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质量保证文件。</w:t>
      </w:r>
    </w:p>
    <w:p>
      <w:pPr>
        <w:widowControl/>
        <w:numPr>
          <w:ilvl w:val="0"/>
          <w:numId w:val="30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竣工图纸\竣工验收文件。</w:t>
      </w:r>
    </w:p>
    <w:p>
      <w:pPr>
        <w:widowControl/>
        <w:numPr>
          <w:ilvl w:val="0"/>
          <w:numId w:val="30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技术评审验收文档。</w:t>
      </w:r>
    </w:p>
    <w:p>
      <w:pPr>
        <w:widowControl/>
        <w:numPr>
          <w:ilvl w:val="0"/>
          <w:numId w:val="30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系统原理图、设备安装详图（设备安装工艺说明）、机柜布置图、机房布置图、主要装置运行程序图等。</w:t>
      </w:r>
    </w:p>
    <w:p>
      <w:pPr>
        <w:widowControl/>
        <w:numPr>
          <w:ilvl w:val="0"/>
          <w:numId w:val="30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全套设备/材料的产品手册、系统操作手册等完整的相关资料。</w:t>
      </w:r>
    </w:p>
    <w:p>
      <w:pPr>
        <w:widowControl/>
        <w:numPr>
          <w:ilvl w:val="0"/>
          <w:numId w:val="30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测试报告（包括测试方法、程序、项目、仪器、测试数据等）。</w:t>
      </w:r>
    </w:p>
    <w:p>
      <w:pPr>
        <w:widowControl/>
        <w:numPr>
          <w:ilvl w:val="0"/>
          <w:numId w:val="30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隐蔽工程及视频记录。</w:t>
      </w:r>
    </w:p>
    <w:p>
      <w:pPr>
        <w:widowControl/>
        <w:numPr>
          <w:ilvl w:val="0"/>
          <w:numId w:val="30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施工质量验收记录。</w:t>
      </w:r>
    </w:p>
    <w:p>
      <w:pPr>
        <w:widowControl/>
        <w:numPr>
          <w:ilvl w:val="0"/>
          <w:numId w:val="30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工程变更记录。</w:t>
      </w:r>
    </w:p>
    <w:p>
      <w:pPr>
        <w:widowControl/>
        <w:numPr>
          <w:ilvl w:val="0"/>
          <w:numId w:val="30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系统试运行记录。</w:t>
      </w:r>
    </w:p>
    <w:p>
      <w:pPr>
        <w:widowControl/>
        <w:numPr>
          <w:ilvl w:val="0"/>
          <w:numId w:val="30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使用和维修手册。</w:t>
      </w:r>
    </w:p>
    <w:p>
      <w:pPr>
        <w:widowControl/>
        <w:numPr>
          <w:ilvl w:val="0"/>
          <w:numId w:val="305"/>
        </w:numPr>
        <w:spacing w:line="600" w:lineRule="exact"/>
        <w:ind w:firstLine="560" w:firstLineChars="200"/>
        <w:jc w:val="left"/>
        <w:textAlignment w:val="baseline"/>
        <w:rPr>
          <w:rFonts w:hint="eastAsia" w:ascii="仿宋_GB2312" w:hAnsi="宋体" w:eastAsia="仿宋_GB2312" w:cs="Arial"/>
          <w:color w:val="000000"/>
          <w:kern w:val="0"/>
          <w:sz w:val="28"/>
          <w:szCs w:val="28"/>
        </w:rPr>
      </w:pPr>
      <w:r>
        <w:rPr>
          <w:rFonts w:hint="eastAsia" w:ascii="仿宋_GB2312" w:hAnsi="宋体" w:eastAsia="仿宋_GB2312" w:cs="Times New Roman"/>
          <w:color w:val="000000"/>
          <w:sz w:val="28"/>
          <w:szCs w:val="28"/>
        </w:rPr>
        <w:t>包括但不限于上述内容。</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bookmarkStart w:id="1158" w:name="_Toc25651412"/>
      <w:bookmarkStart w:id="1159" w:name="_Toc17624933"/>
      <w:r>
        <w:rPr>
          <w:rFonts w:hint="eastAsia" w:ascii="仿宋_GB2312" w:hAnsi="宋体" w:eastAsia="仿宋_GB2312" w:cs="Times New Roman"/>
          <w:b w:val="0"/>
          <w:bCs w:val="0"/>
          <w:color w:val="000000"/>
          <w:kern w:val="2"/>
          <w:sz w:val="28"/>
          <w:szCs w:val="28"/>
          <w:lang w:val="en-US" w:eastAsia="zh-CN" w:bidi="ar-SA"/>
        </w:rPr>
        <w:t>竣工验收文档要求</w:t>
      </w:r>
      <w:bookmarkEnd w:id="1158"/>
    </w:p>
    <w:p>
      <w:pPr>
        <w:widowControl/>
        <w:spacing w:line="660" w:lineRule="exact"/>
        <w:ind w:firstLine="280" w:firstLineChars="100"/>
        <w:jc w:val="left"/>
        <w:textAlignment w:val="center"/>
        <w:rPr>
          <w:rFonts w:hint="eastAsia" w:ascii="仿宋_GB2312" w:hAnsi="宋体" w:eastAsia="仿宋_GB2312" w:cs="Arial"/>
          <w:color w:val="000000"/>
          <w:kern w:val="0"/>
          <w:sz w:val="28"/>
          <w:szCs w:val="28"/>
        </w:rPr>
      </w:pPr>
      <w:r>
        <w:rPr>
          <w:rFonts w:ascii="仿宋_GB2312" w:hAnsi="宋体" w:eastAsia="仿宋_GB2312" w:cs="Arial"/>
          <w:color w:val="000000"/>
          <w:kern w:val="0"/>
          <w:sz w:val="28"/>
          <w:szCs w:val="28"/>
        </w:rPr>
        <w:t xml:space="preserve">  </w:t>
      </w:r>
      <w:r>
        <w:rPr>
          <w:rFonts w:hint="eastAsia" w:ascii="仿宋_GB2312" w:hAnsi="宋体" w:eastAsia="仿宋_GB2312" w:cs="Arial"/>
          <w:color w:val="000000"/>
          <w:kern w:val="0"/>
          <w:sz w:val="28"/>
          <w:szCs w:val="28"/>
        </w:rPr>
        <w:t>要求中标人负责按照国家工程竣工验收有关标准和规定，提供完整的竣工资料、竣工图纸，至少提供一式4份竣工资料和图纸（包括电子文档1套）</w:t>
      </w:r>
      <w:r>
        <w:rPr>
          <w:rFonts w:ascii="仿宋_GB2312" w:hAnsi="宋体" w:eastAsia="仿宋_GB2312" w:cs="Arial"/>
          <w:color w:val="000000"/>
          <w:kern w:val="0"/>
          <w:sz w:val="28"/>
          <w:szCs w:val="28"/>
        </w:rPr>
        <w:t>。</w:t>
      </w:r>
    </w:p>
    <w:p>
      <w:pPr>
        <w:widowControl/>
        <w:numPr>
          <w:ilvl w:val="0"/>
          <w:numId w:val="30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所有竣工图纸文件必须在工程验收前完成，所有图纸文件均需要编号并统一列表，属于操作与维修部分的图纸要做相应的记号。</w:t>
      </w:r>
    </w:p>
    <w:p>
      <w:pPr>
        <w:widowControl/>
        <w:numPr>
          <w:ilvl w:val="0"/>
          <w:numId w:val="30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竣工图纸要符合国内有关制图标准及深度要求。</w:t>
      </w:r>
    </w:p>
    <w:p>
      <w:pPr>
        <w:widowControl/>
        <w:numPr>
          <w:ilvl w:val="0"/>
          <w:numId w:val="30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竣工图纸应绘出全部实际安装的设备和装置及其管线。</w:t>
      </w:r>
    </w:p>
    <w:p>
      <w:pPr>
        <w:widowControl/>
        <w:numPr>
          <w:ilvl w:val="0"/>
          <w:numId w:val="30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竣工图纸对设备运行、操作、保养以及日后调校有用的有关资料，亦应加以清楚表示，所使用的控制器、部件或任何零件的有关参数，以及设备的铭牌上列出的文字和数字均应加以综合摘引。</w:t>
      </w:r>
    </w:p>
    <w:p>
      <w:pPr>
        <w:widowControl/>
        <w:numPr>
          <w:ilvl w:val="0"/>
          <w:numId w:val="30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中标人应在完成系统安装和调试，提交在本工程实施过程中所有有关施工记录及中间验收资料。</w:t>
      </w:r>
    </w:p>
    <w:p>
      <w:pPr>
        <w:widowControl/>
        <w:numPr>
          <w:ilvl w:val="0"/>
          <w:numId w:val="30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中标人在系统测试、设备调试、系统总调试阶段的所有报告应完整无缺上交招标人。</w:t>
      </w:r>
    </w:p>
    <w:p>
      <w:pPr>
        <w:widowControl/>
        <w:numPr>
          <w:ilvl w:val="0"/>
          <w:numId w:val="30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使用和维修手册</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手册应采用优质A4/A3规格的纸张，具有合适的厚度以便能经受反复的翻阅，要求有清晰的原文和附图。</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图纸应清晰准确。</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同一套手册应具有相同的表格，并用装置的型号作为标题。</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总则应包括手册的目的、目录的简要说明。</w:t>
      </w:r>
    </w:p>
    <w:p>
      <w:pPr>
        <w:widowControl/>
        <w:numPr>
          <w:ilvl w:val="0"/>
          <w:numId w:val="30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使用和维修手册内容，至少应包括以下内容（包括但不限于）：系统性能和使用说明书（包括每个子系统和设备应分别说明，详尽介绍此系统或设备的构成、功能及工作原理招标人法）；电气标准及数据表；硬件用户手册（包括配置方法、启动和设置步骤、功能定义和系统构架方法等）；软件操作手册；系统故障检测手册；维修保养手册；安全注意；设备安装大样图；安装指导原则；可下载更新技术资料的互联网地址。</w:t>
      </w:r>
    </w:p>
    <w:p>
      <w:pPr>
        <w:widowControl/>
        <w:numPr>
          <w:ilvl w:val="0"/>
          <w:numId w:val="30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维修保养手册包括系统及全部设备的运转和维修保养程序，至少应包括以下内容（包括但不限于）：所有设备的检查手册；所有系统的运行手册；设备部件更换的程序和要求；所有系统及设备的维修保养说明；寻找设备故障的程序表。</w:t>
      </w:r>
    </w:p>
    <w:p>
      <w:pPr>
        <w:widowControl/>
        <w:numPr>
          <w:ilvl w:val="0"/>
          <w:numId w:val="30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备品、备件清单。</w:t>
      </w:r>
    </w:p>
    <w:p>
      <w:pPr>
        <w:widowControl/>
        <w:numPr>
          <w:ilvl w:val="0"/>
          <w:numId w:val="30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仪器、仪表、工具清单。</w:t>
      </w:r>
    </w:p>
    <w:p>
      <w:pPr>
        <w:widowControl/>
        <w:numPr>
          <w:ilvl w:val="0"/>
          <w:numId w:val="30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全套设备/材料的产品手册等完整的相关资料。</w:t>
      </w:r>
    </w:p>
    <w:p>
      <w:pPr>
        <w:widowControl/>
        <w:numPr>
          <w:ilvl w:val="0"/>
          <w:numId w:val="30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政府在关部门和档案管理部门所需的其它资料。</w:t>
      </w:r>
    </w:p>
    <w:p>
      <w:pPr>
        <w:numPr>
          <w:ilvl w:val="0"/>
          <w:numId w:val="296"/>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160" w:name="_Toc25651413"/>
      <w:r>
        <w:rPr>
          <w:rFonts w:hint="eastAsia" w:ascii="仿宋_GB2312" w:hAnsi="宋体" w:eastAsia="仿宋_GB2312" w:cs="Times New Roman"/>
          <w:b w:val="0"/>
          <w:bCs/>
          <w:color w:val="000000"/>
          <w:kern w:val="2"/>
          <w:sz w:val="28"/>
          <w:szCs w:val="28"/>
          <w:lang w:val="en-US" w:eastAsia="zh-CN" w:bidi="ar-SA"/>
        </w:rPr>
        <w:t>运维</w:t>
      </w:r>
      <w:bookmarkEnd w:id="1159"/>
      <w:r>
        <w:rPr>
          <w:rFonts w:hint="eastAsia" w:ascii="仿宋_GB2312" w:hAnsi="宋体" w:eastAsia="仿宋_GB2312" w:cs="Times New Roman"/>
          <w:b w:val="0"/>
          <w:bCs/>
          <w:color w:val="000000"/>
          <w:kern w:val="2"/>
          <w:sz w:val="28"/>
          <w:szCs w:val="28"/>
          <w:lang w:val="en-US" w:eastAsia="zh-CN" w:bidi="ar-SA"/>
        </w:rPr>
        <w:t>要求</w:t>
      </w:r>
      <w:bookmarkEnd w:id="1160"/>
    </w:p>
    <w:p>
      <w:pPr>
        <w:widowControl/>
        <w:numPr>
          <w:ilvl w:val="0"/>
          <w:numId w:val="30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要求中标人需提供本数据中心的基础物理设施的运维建议，且本工作内容和提交文档需要在系统试运行开始之前完成，该工作内容将作为竣工验收的必要条件之一。</w:t>
      </w:r>
    </w:p>
    <w:p>
      <w:pPr>
        <w:widowControl/>
        <w:numPr>
          <w:ilvl w:val="0"/>
          <w:numId w:val="30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须根据本数据中心的特点和需求，建立一套既符合业内认可的运维标准，又具备实效性的运维体系，以便于招标人能够长期沿用这套规范化的管理制度，真正提升运维水平，确保数据中心运行的可靠性。</w:t>
      </w:r>
    </w:p>
    <w:p>
      <w:pPr>
        <w:widowControl/>
        <w:numPr>
          <w:ilvl w:val="0"/>
          <w:numId w:val="30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要求运维须结合本项目完成如：运维体系的搭建、文档体系搭建（制度、流程、管理方式等）、招标人运维人员技能水平的提升等工作内容。</w:t>
      </w:r>
    </w:p>
    <w:p>
      <w:pPr>
        <w:widowControl/>
        <w:numPr>
          <w:ilvl w:val="0"/>
          <w:numId w:val="30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要求需提供但不限于如下资料：</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运维团队人员配置（包括：专业、数量、素质等）。</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运维团队组织架构（包括：工作职责、工作方式、工作界面等）。</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设备及系统维护保养（包括：保养计划、流程、档案记录、技术文库、规章制度等）。</w:t>
      </w:r>
    </w:p>
    <w:p>
      <w:pPr>
        <w:widowControl/>
        <w:numPr>
          <w:ilvl w:val="0"/>
          <w:numId w:val="271"/>
        </w:numPr>
        <w:spacing w:line="600" w:lineRule="exact"/>
        <w:ind w:left="0" w:firstLine="840" w:firstLineChars="300"/>
        <w:jc w:val="left"/>
        <w:textAlignment w:val="baseline"/>
        <w:rPr>
          <w:rFonts w:hint="eastAsia" w:ascii="仿宋_GB2312" w:hAnsi="宋体" w:eastAsia="仿宋_GB2312" w:cs="Times New Roman"/>
          <w:sz w:val="28"/>
          <w:szCs w:val="28"/>
        </w:rPr>
      </w:pPr>
      <w:r>
        <w:rPr>
          <w:rFonts w:hint="eastAsia" w:ascii="仿宋_GB2312" w:hAnsi="宋体" w:eastAsia="仿宋_GB2312" w:cs="Times New Roman"/>
          <w:sz w:val="28"/>
          <w:szCs w:val="28"/>
        </w:rPr>
        <w:t>运维团队技能提升相关培训（包括：招标人内部人员培训、上岗前的培训、流程培训、培训等）。</w:t>
      </w:r>
      <w:bookmarkStart w:id="1161" w:name="_Toc441654384"/>
    </w:p>
    <w:bookmarkEnd w:id="1161"/>
    <w:p>
      <w:pPr>
        <w:widowControl/>
        <w:numPr>
          <w:ilvl w:val="0"/>
          <w:numId w:val="0"/>
        </w:numPr>
        <w:spacing w:after="180" w:line="660" w:lineRule="exact"/>
        <w:ind w:leftChars="0"/>
        <w:jc w:val="left"/>
        <w:textAlignment w:val="center"/>
        <w:outlineLvl w:val="0"/>
        <w:rPr>
          <w:rFonts w:hint="eastAsia" w:ascii="仿宋_GB2312" w:hAnsi="宋体" w:eastAsia="仿宋_GB2312" w:cs="Times New Roman"/>
          <w:b/>
          <w:color w:val="000000"/>
          <w:sz w:val="28"/>
          <w:szCs w:val="28"/>
        </w:rPr>
      </w:pPr>
      <w:bookmarkStart w:id="1162" w:name="_Toc25651414"/>
      <w:bookmarkStart w:id="1163" w:name="_Toc441654386"/>
      <w:r>
        <w:rPr>
          <w:rFonts w:hint="eastAsia" w:ascii="仿宋_GB2312" w:hAnsi="宋体" w:eastAsia="仿宋_GB2312" w:cs="Times New Roman"/>
          <w:b/>
          <w:color w:val="000000"/>
          <w:sz w:val="28"/>
          <w:szCs w:val="28"/>
          <w:lang w:eastAsia="zh-CN"/>
        </w:rPr>
        <w:t>第四部分</w:t>
      </w:r>
      <w:r>
        <w:rPr>
          <w:rFonts w:hint="eastAsia" w:ascii="仿宋_GB2312" w:hAnsi="宋体" w:eastAsia="仿宋_GB2312" w:cs="Times New Roman"/>
          <w:b/>
          <w:color w:val="000000"/>
          <w:sz w:val="28"/>
          <w:szCs w:val="28"/>
          <w:lang w:val="en-US" w:eastAsia="zh-CN"/>
        </w:rPr>
        <w:t xml:space="preserve"> </w:t>
      </w:r>
      <w:r>
        <w:rPr>
          <w:rFonts w:hint="eastAsia" w:ascii="仿宋_GB2312" w:hAnsi="宋体" w:eastAsia="仿宋_GB2312" w:cs="Times New Roman"/>
          <w:b/>
          <w:color w:val="000000"/>
          <w:sz w:val="28"/>
          <w:szCs w:val="28"/>
        </w:rPr>
        <w:t>工程售后服务要求</w:t>
      </w:r>
      <w:bookmarkEnd w:id="1162"/>
    </w:p>
    <w:p>
      <w:pPr>
        <w:numPr>
          <w:ilvl w:val="0"/>
          <w:numId w:val="308"/>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164" w:name="_Toc17624935"/>
      <w:bookmarkStart w:id="1165" w:name="_Toc25651415"/>
      <w:r>
        <w:rPr>
          <w:rFonts w:hint="eastAsia" w:ascii="仿宋_GB2312" w:hAnsi="宋体" w:eastAsia="仿宋_GB2312" w:cs="Times New Roman"/>
          <w:b w:val="0"/>
          <w:bCs/>
          <w:color w:val="000000"/>
          <w:kern w:val="2"/>
          <w:sz w:val="28"/>
          <w:szCs w:val="28"/>
          <w:lang w:val="en-US" w:eastAsia="zh-CN" w:bidi="ar-SA"/>
        </w:rPr>
        <w:t>培训服务要求</w:t>
      </w:r>
      <w:bookmarkEnd w:id="1164"/>
      <w:bookmarkEnd w:id="1165"/>
    </w:p>
    <w:p>
      <w:pPr>
        <w:widowControl/>
        <w:numPr>
          <w:ilvl w:val="0"/>
          <w:numId w:val="309"/>
        </w:numPr>
        <w:spacing w:line="600" w:lineRule="exact"/>
        <w:ind w:firstLine="560" w:firstLineChars="200"/>
        <w:jc w:val="left"/>
        <w:textAlignment w:val="baseline"/>
        <w:rPr>
          <w:rFonts w:hint="eastAsia" w:ascii="仿宋_GB2312" w:hAnsi="宋体" w:eastAsia="仿宋_GB2312" w:cs="Times New Roman"/>
          <w:color w:val="000000"/>
          <w:sz w:val="28"/>
          <w:szCs w:val="28"/>
        </w:rPr>
      </w:pPr>
      <w:bookmarkStart w:id="1166" w:name="_Toc17624936"/>
      <w:r>
        <w:rPr>
          <w:rFonts w:hint="eastAsia" w:ascii="仿宋_GB2312" w:hAnsi="宋体" w:eastAsia="仿宋_GB2312" w:cs="Times New Roman"/>
          <w:color w:val="000000"/>
          <w:sz w:val="28"/>
          <w:szCs w:val="28"/>
        </w:rPr>
        <w:t>要求投标人应在投标文件中提出详尽的培训计划和培训项目，供招标人批准，如计划不完善或招标人认为达不到预期的培训效果，中标人需修改至招标人满意为止。</w:t>
      </w:r>
    </w:p>
    <w:p>
      <w:pPr>
        <w:widowControl/>
        <w:numPr>
          <w:ilvl w:val="0"/>
          <w:numId w:val="30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中标人在培训工作开始前应向招标人无条件提供所有中文培训资料。</w:t>
      </w:r>
    </w:p>
    <w:p>
      <w:pPr>
        <w:widowControl/>
        <w:numPr>
          <w:ilvl w:val="0"/>
          <w:numId w:val="30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 xml:space="preserve">培训的时间、人数、地点等具体内容由双方商定；但必须满足招标人的培训需求。 </w:t>
      </w:r>
      <w:bookmarkStart w:id="1167" w:name="_Toc441654389"/>
      <w:r>
        <w:rPr>
          <w:rFonts w:hint="eastAsia" w:ascii="仿宋_GB2312" w:hAnsi="宋体" w:eastAsia="仿宋_GB2312" w:cs="Times New Roman"/>
          <w:color w:val="000000"/>
          <w:sz w:val="28"/>
          <w:szCs w:val="28"/>
        </w:rPr>
        <w:tab/>
      </w:r>
    </w:p>
    <w:p>
      <w:pPr>
        <w:widowControl/>
        <w:numPr>
          <w:ilvl w:val="0"/>
          <w:numId w:val="30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收到招标人培训时间安排后，提出培训计划，并提供相应的设备、场地、培训资料。培训内容至少应包括：系统介绍、系统原理、设备运行操作程序、调校程序、日常保养维护、设备维修、应急措施和安全保护措施等。使受培训的技术人员掌握设备的运行原理和招标人法，具备日常维护及设备维修等常用技能。</w:t>
      </w:r>
    </w:p>
    <w:p>
      <w:pPr>
        <w:widowControl/>
        <w:numPr>
          <w:ilvl w:val="0"/>
          <w:numId w:val="30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中标人应对招标人的技术人员进行操作和维修培训，所有培训应以中文进行。</w:t>
      </w:r>
    </w:p>
    <w:p>
      <w:pPr>
        <w:widowControl/>
        <w:numPr>
          <w:ilvl w:val="0"/>
          <w:numId w:val="30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要求中标人应向受训人员提供并解释有关设计资料、文件、图纸等，以便使其对整套系统的各个方面都能熟练掌握。</w:t>
      </w:r>
    </w:p>
    <w:p>
      <w:pPr>
        <w:widowControl/>
        <w:numPr>
          <w:ilvl w:val="0"/>
          <w:numId w:val="30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中标方应针对不同专业派出符合资质的专业培训人员，且对所提供的系统和设备具有五年以上的操作和维修经验。培训人员的简历连同培训计划一并提交招标人，招标人认为培训人员不满足条件可要求更换。</w:t>
      </w:r>
    </w:p>
    <w:p>
      <w:pPr>
        <w:widowControl/>
        <w:numPr>
          <w:ilvl w:val="0"/>
          <w:numId w:val="30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如有异地培训费用应在投标报价中说明，计入投标总价。</w:t>
      </w:r>
    </w:p>
    <w:bookmarkEnd w:id="1167"/>
    <w:p>
      <w:pPr>
        <w:numPr>
          <w:ilvl w:val="0"/>
          <w:numId w:val="308"/>
        </w:numPr>
        <w:spacing w:before="0" w:after="0" w:line="600" w:lineRule="exact"/>
        <w:ind w:left="2268" w:hanging="425"/>
        <w:jc w:val="left"/>
        <w:outlineLvl w:val="1"/>
        <w:rPr>
          <w:rFonts w:hint="eastAsia" w:ascii="仿宋_GB2312" w:hAnsi="宋体" w:eastAsia="仿宋_GB2312" w:cs="Times New Roman"/>
          <w:b w:val="0"/>
          <w:bCs/>
          <w:color w:val="000000"/>
          <w:kern w:val="2"/>
          <w:sz w:val="28"/>
          <w:szCs w:val="28"/>
          <w:lang w:val="en-US" w:eastAsia="zh-CN" w:bidi="ar-SA"/>
        </w:rPr>
      </w:pPr>
      <w:bookmarkStart w:id="1168" w:name="_Toc25651416"/>
      <w:r>
        <w:rPr>
          <w:rFonts w:hint="eastAsia" w:ascii="仿宋_GB2312" w:hAnsi="宋体" w:eastAsia="仿宋_GB2312" w:cs="Times New Roman"/>
          <w:b w:val="0"/>
          <w:bCs/>
          <w:color w:val="000000"/>
          <w:kern w:val="2"/>
          <w:sz w:val="28"/>
          <w:szCs w:val="28"/>
          <w:lang w:val="en-US" w:eastAsia="zh-CN" w:bidi="ar-SA"/>
        </w:rPr>
        <w:t>维保服务要求</w:t>
      </w:r>
      <w:bookmarkEnd w:id="1166"/>
      <w:bookmarkEnd w:id="1168"/>
    </w:p>
    <w:p>
      <w:pPr>
        <w:widowControl/>
        <w:numPr>
          <w:ilvl w:val="0"/>
          <w:numId w:val="310"/>
        </w:numPr>
        <w:spacing w:before="120" w:beforeLines="50" w:after="180" w:line="660" w:lineRule="exact"/>
        <w:contextualSpacing/>
        <w:jc w:val="left"/>
        <w:textAlignment w:val="center"/>
        <w:outlineLvl w:val="2"/>
        <w:rPr>
          <w:rFonts w:hint="eastAsia" w:ascii="仿宋_GB2312" w:hAnsi="宋体" w:eastAsia="仿宋_GB2312" w:cs="Arial"/>
          <w:b/>
          <w:vanish/>
          <w:color w:val="000000"/>
          <w:kern w:val="0"/>
          <w:sz w:val="22"/>
          <w:szCs w:val="21"/>
          <w:lang w:val="en-GB"/>
        </w:rPr>
      </w:pPr>
      <w:bookmarkStart w:id="1169" w:name="_Toc16683896"/>
      <w:bookmarkEnd w:id="1169"/>
      <w:bookmarkStart w:id="1170" w:name="_Toc18579074"/>
      <w:bookmarkEnd w:id="1170"/>
      <w:bookmarkStart w:id="1171" w:name="_Toc20147165"/>
      <w:bookmarkEnd w:id="1171"/>
      <w:bookmarkStart w:id="1172" w:name="_Toc18598570"/>
      <w:bookmarkEnd w:id="1172"/>
      <w:bookmarkStart w:id="1173" w:name="_Toc18920939"/>
      <w:bookmarkEnd w:id="1173"/>
      <w:bookmarkStart w:id="1174" w:name="_Toc17105262"/>
      <w:bookmarkEnd w:id="1174"/>
      <w:bookmarkStart w:id="1175" w:name="_Toc18682061"/>
      <w:bookmarkEnd w:id="1175"/>
      <w:bookmarkStart w:id="1176" w:name="_Toc514069501"/>
      <w:bookmarkEnd w:id="1176"/>
      <w:bookmarkStart w:id="1177" w:name="_Toc18598187"/>
      <w:bookmarkEnd w:id="1177"/>
      <w:bookmarkStart w:id="1178" w:name="_Toc17624937"/>
      <w:bookmarkEnd w:id="1178"/>
      <w:bookmarkStart w:id="1179" w:name="_Toc20471821"/>
      <w:bookmarkEnd w:id="1179"/>
      <w:bookmarkStart w:id="1180" w:name="_Toc17471480"/>
      <w:bookmarkEnd w:id="1180"/>
      <w:bookmarkStart w:id="1181" w:name="_Toc17386046"/>
      <w:bookmarkEnd w:id="1181"/>
      <w:bookmarkStart w:id="1182" w:name="_Toc18599711"/>
      <w:bookmarkEnd w:id="1182"/>
      <w:bookmarkStart w:id="1183" w:name="_Toc25651417"/>
      <w:bookmarkEnd w:id="1183"/>
      <w:bookmarkStart w:id="1184" w:name="_Toc17356511"/>
      <w:bookmarkEnd w:id="1184"/>
      <w:bookmarkStart w:id="1185" w:name="_Toc17123155"/>
      <w:bookmarkEnd w:id="1185"/>
      <w:bookmarkStart w:id="1186" w:name="_Toc18578907"/>
      <w:bookmarkEnd w:id="1186"/>
      <w:bookmarkStart w:id="1187" w:name="_Toc18597809"/>
      <w:bookmarkEnd w:id="1187"/>
      <w:bookmarkStart w:id="1188" w:name="_Toc18595761"/>
      <w:bookmarkEnd w:id="1188"/>
      <w:bookmarkStart w:id="1189" w:name="_Toc16757406"/>
      <w:bookmarkEnd w:id="1189"/>
      <w:bookmarkStart w:id="1190" w:name="_Toc17475358"/>
      <w:bookmarkEnd w:id="1190"/>
      <w:bookmarkStart w:id="1191" w:name="_Toc514069888"/>
      <w:bookmarkEnd w:id="1191"/>
      <w:bookmarkStart w:id="1192" w:name="_Toc16688312"/>
      <w:bookmarkEnd w:id="1192"/>
      <w:bookmarkStart w:id="1193" w:name="_Toc18691444"/>
      <w:bookmarkEnd w:id="1193"/>
      <w:bookmarkStart w:id="1194" w:name="_Toc18597427"/>
      <w:bookmarkEnd w:id="1194"/>
      <w:bookmarkStart w:id="1195" w:name="_Toc17122802"/>
      <w:bookmarkEnd w:id="1195"/>
      <w:bookmarkStart w:id="1196" w:name="_Toc18579468"/>
      <w:bookmarkEnd w:id="1196"/>
      <w:bookmarkStart w:id="1197" w:name="_Toc20489636"/>
      <w:bookmarkEnd w:id="1197"/>
      <w:bookmarkStart w:id="1198" w:name="_Toc20484060"/>
      <w:bookmarkEnd w:id="1198"/>
      <w:bookmarkStart w:id="1199" w:name="_Toc18599333"/>
      <w:bookmarkEnd w:id="1199"/>
      <w:bookmarkStart w:id="1200" w:name="_Toc18578728"/>
      <w:bookmarkEnd w:id="1200"/>
      <w:bookmarkStart w:id="1201" w:name="_Toc18921328"/>
      <w:bookmarkEnd w:id="1201"/>
      <w:bookmarkStart w:id="1202" w:name="_Toc18517527"/>
      <w:bookmarkEnd w:id="1202"/>
      <w:bookmarkStart w:id="1203" w:name="_Toc20728761"/>
      <w:bookmarkEnd w:id="1203"/>
      <w:bookmarkStart w:id="1204" w:name="_Toc16690646"/>
      <w:bookmarkEnd w:id="1204"/>
      <w:bookmarkStart w:id="1205" w:name="_Toc17471081"/>
      <w:bookmarkEnd w:id="1205"/>
      <w:bookmarkStart w:id="1206" w:name="_Toc17120882"/>
      <w:bookmarkEnd w:id="1206"/>
      <w:bookmarkStart w:id="1207" w:name="_Toc18517271"/>
      <w:bookmarkEnd w:id="1207"/>
      <w:bookmarkStart w:id="1208" w:name="_Toc18691835"/>
      <w:bookmarkEnd w:id="1208"/>
      <w:bookmarkStart w:id="1209" w:name="_Toc19387605"/>
      <w:bookmarkEnd w:id="1209"/>
      <w:bookmarkStart w:id="1210" w:name="_Toc16933249"/>
      <w:bookmarkEnd w:id="1210"/>
      <w:bookmarkStart w:id="1211" w:name="_Toc18917781"/>
      <w:bookmarkEnd w:id="1211"/>
      <w:bookmarkStart w:id="1212" w:name="_Toc18918170"/>
      <w:bookmarkEnd w:id="1212"/>
      <w:bookmarkStart w:id="1213" w:name="_Toc17355803"/>
      <w:bookmarkEnd w:id="1213"/>
      <w:bookmarkStart w:id="1214" w:name="_Toc17104903"/>
      <w:bookmarkEnd w:id="1214"/>
      <w:bookmarkStart w:id="1215" w:name="_Toc17471878"/>
      <w:bookmarkEnd w:id="1215"/>
      <w:bookmarkStart w:id="1216" w:name="_Toc20492073"/>
      <w:bookmarkEnd w:id="1216"/>
      <w:bookmarkStart w:id="1217" w:name="_Toc16757066"/>
      <w:bookmarkEnd w:id="1217"/>
      <w:bookmarkStart w:id="1218" w:name="_Toc18597042"/>
      <w:bookmarkEnd w:id="1218"/>
      <w:bookmarkStart w:id="1219" w:name="_Toc17356157"/>
      <w:bookmarkEnd w:id="1219"/>
      <w:bookmarkStart w:id="1220" w:name="_Toc17354723"/>
      <w:bookmarkEnd w:id="1220"/>
      <w:bookmarkStart w:id="1221" w:name="_Toc16683561"/>
      <w:bookmarkEnd w:id="1221"/>
      <w:bookmarkStart w:id="1222" w:name="_Toc17470680"/>
      <w:bookmarkEnd w:id="1222"/>
    </w:p>
    <w:p>
      <w:pPr>
        <w:widowControl/>
        <w:numPr>
          <w:ilvl w:val="0"/>
          <w:numId w:val="310"/>
        </w:numPr>
        <w:spacing w:before="120" w:beforeLines="50" w:after="180" w:line="660" w:lineRule="exact"/>
        <w:contextualSpacing/>
        <w:jc w:val="left"/>
        <w:textAlignment w:val="center"/>
        <w:outlineLvl w:val="2"/>
        <w:rPr>
          <w:rFonts w:hint="eastAsia" w:ascii="仿宋_GB2312" w:hAnsi="宋体" w:eastAsia="仿宋_GB2312" w:cs="Arial"/>
          <w:b/>
          <w:vanish/>
          <w:color w:val="000000"/>
          <w:kern w:val="0"/>
          <w:sz w:val="22"/>
          <w:szCs w:val="21"/>
          <w:lang w:val="en-GB"/>
        </w:rPr>
      </w:pPr>
      <w:bookmarkStart w:id="1223" w:name="_Toc17123156"/>
      <w:bookmarkEnd w:id="1223"/>
      <w:bookmarkStart w:id="1224" w:name="_Toc18921329"/>
      <w:bookmarkEnd w:id="1224"/>
      <w:bookmarkStart w:id="1225" w:name="_Toc17354724"/>
      <w:bookmarkEnd w:id="1225"/>
      <w:bookmarkStart w:id="1226" w:name="_Toc17104904"/>
      <w:bookmarkEnd w:id="1226"/>
      <w:bookmarkStart w:id="1227" w:name="_Toc16683562"/>
      <w:bookmarkEnd w:id="1227"/>
      <w:bookmarkStart w:id="1228" w:name="_Toc20728762"/>
      <w:bookmarkEnd w:id="1228"/>
      <w:bookmarkStart w:id="1229" w:name="_Toc17471879"/>
      <w:bookmarkEnd w:id="1229"/>
      <w:bookmarkStart w:id="1230" w:name="_Toc514069889"/>
      <w:bookmarkEnd w:id="1230"/>
      <w:bookmarkStart w:id="1231" w:name="_Toc17471082"/>
      <w:bookmarkEnd w:id="1231"/>
      <w:bookmarkStart w:id="1232" w:name="_Toc514069502"/>
      <w:bookmarkEnd w:id="1232"/>
      <w:bookmarkStart w:id="1233" w:name="_Toc18917782"/>
      <w:bookmarkEnd w:id="1233"/>
      <w:bookmarkStart w:id="1234" w:name="_Toc17475359"/>
      <w:bookmarkEnd w:id="1234"/>
      <w:bookmarkStart w:id="1235" w:name="_Toc16683897"/>
      <w:bookmarkEnd w:id="1235"/>
      <w:bookmarkStart w:id="1236" w:name="_Toc18920940"/>
      <w:bookmarkEnd w:id="1236"/>
      <w:bookmarkStart w:id="1237" w:name="_Toc17471481"/>
      <w:bookmarkEnd w:id="1237"/>
      <w:bookmarkStart w:id="1238" w:name="_Toc18918171"/>
      <w:bookmarkEnd w:id="1238"/>
      <w:bookmarkStart w:id="1239" w:name="_Toc18578729"/>
      <w:bookmarkEnd w:id="1239"/>
      <w:bookmarkStart w:id="1240" w:name="_Toc18599334"/>
      <w:bookmarkEnd w:id="1240"/>
      <w:bookmarkStart w:id="1241" w:name="_Toc18598571"/>
      <w:bookmarkEnd w:id="1241"/>
      <w:bookmarkStart w:id="1242" w:name="_Toc16757407"/>
      <w:bookmarkEnd w:id="1242"/>
      <w:bookmarkStart w:id="1243" w:name="_Toc16690647"/>
      <w:bookmarkEnd w:id="1243"/>
      <w:bookmarkStart w:id="1244" w:name="_Toc17105263"/>
      <w:bookmarkEnd w:id="1244"/>
      <w:bookmarkStart w:id="1245" w:name="_Toc25651418"/>
      <w:bookmarkEnd w:id="1245"/>
      <w:bookmarkStart w:id="1246" w:name="_Toc16688313"/>
      <w:bookmarkEnd w:id="1246"/>
      <w:bookmarkStart w:id="1247" w:name="_Toc18517272"/>
      <w:bookmarkEnd w:id="1247"/>
      <w:bookmarkStart w:id="1248" w:name="_Toc17122803"/>
      <w:bookmarkEnd w:id="1248"/>
      <w:bookmarkStart w:id="1249" w:name="_Toc17624938"/>
      <w:bookmarkEnd w:id="1249"/>
      <w:bookmarkStart w:id="1250" w:name="_Toc17120883"/>
      <w:bookmarkEnd w:id="1250"/>
      <w:bookmarkStart w:id="1251" w:name="_Toc18691836"/>
      <w:bookmarkEnd w:id="1251"/>
      <w:bookmarkStart w:id="1252" w:name="_Toc18691445"/>
      <w:bookmarkEnd w:id="1252"/>
      <w:bookmarkStart w:id="1253" w:name="_Toc18517528"/>
      <w:bookmarkEnd w:id="1253"/>
      <w:bookmarkStart w:id="1254" w:name="_Toc18682062"/>
      <w:bookmarkEnd w:id="1254"/>
      <w:bookmarkStart w:id="1255" w:name="_Toc17470681"/>
      <w:bookmarkEnd w:id="1255"/>
      <w:bookmarkStart w:id="1256" w:name="_Toc17356158"/>
      <w:bookmarkEnd w:id="1256"/>
      <w:bookmarkStart w:id="1257" w:name="_Toc18579075"/>
      <w:bookmarkEnd w:id="1257"/>
      <w:bookmarkStart w:id="1258" w:name="_Toc17386047"/>
      <w:bookmarkEnd w:id="1258"/>
      <w:bookmarkStart w:id="1259" w:name="_Toc18599712"/>
      <w:bookmarkEnd w:id="1259"/>
      <w:bookmarkStart w:id="1260" w:name="_Toc17356512"/>
      <w:bookmarkEnd w:id="1260"/>
      <w:bookmarkStart w:id="1261" w:name="_Toc20492074"/>
      <w:bookmarkEnd w:id="1261"/>
      <w:bookmarkStart w:id="1262" w:name="_Toc17355804"/>
      <w:bookmarkEnd w:id="1262"/>
      <w:bookmarkStart w:id="1263" w:name="_Toc20489637"/>
      <w:bookmarkEnd w:id="1263"/>
      <w:bookmarkStart w:id="1264" w:name="_Toc18598188"/>
      <w:bookmarkEnd w:id="1264"/>
      <w:bookmarkStart w:id="1265" w:name="_Toc18595762"/>
      <w:bookmarkEnd w:id="1265"/>
      <w:bookmarkStart w:id="1266" w:name="_Toc18597810"/>
      <w:bookmarkEnd w:id="1266"/>
      <w:bookmarkStart w:id="1267" w:name="_Toc18597428"/>
      <w:bookmarkEnd w:id="1267"/>
      <w:bookmarkStart w:id="1268" w:name="_Toc18597043"/>
      <w:bookmarkEnd w:id="1268"/>
      <w:bookmarkStart w:id="1269" w:name="_Toc18579469"/>
      <w:bookmarkEnd w:id="1269"/>
      <w:bookmarkStart w:id="1270" w:name="_Toc18578908"/>
      <w:bookmarkEnd w:id="1270"/>
      <w:bookmarkStart w:id="1271" w:name="_Toc16757067"/>
      <w:bookmarkEnd w:id="1271"/>
      <w:bookmarkStart w:id="1272" w:name="_Toc16933250"/>
      <w:bookmarkEnd w:id="1272"/>
      <w:bookmarkStart w:id="1273" w:name="_Toc19387606"/>
      <w:bookmarkEnd w:id="1273"/>
      <w:bookmarkStart w:id="1274" w:name="_Toc20147166"/>
      <w:bookmarkEnd w:id="1274"/>
      <w:bookmarkStart w:id="1275" w:name="_Toc20471822"/>
      <w:bookmarkEnd w:id="1275"/>
      <w:bookmarkStart w:id="1276" w:name="_Toc20484061"/>
      <w:bookmarkEnd w:id="1276"/>
    </w:p>
    <w:p>
      <w:pPr>
        <w:widowControl/>
        <w:spacing w:line="660" w:lineRule="exact"/>
        <w:ind w:firstLine="280" w:firstLineChars="100"/>
        <w:textAlignment w:val="center"/>
        <w:rPr>
          <w:rFonts w:hint="eastAsia" w:ascii="仿宋_GB2312" w:hAnsi="宋体" w:eastAsia="仿宋_GB2312" w:cs="Arial"/>
          <w:color w:val="000000"/>
          <w:kern w:val="0"/>
          <w:sz w:val="28"/>
          <w:szCs w:val="28"/>
        </w:rPr>
      </w:pPr>
      <w:r>
        <w:rPr>
          <w:rFonts w:ascii="仿宋_GB2312" w:hAnsi="宋体" w:eastAsia="仿宋_GB2312" w:cs="仿宋_GB2312"/>
          <w:bCs/>
          <w:kern w:val="0"/>
          <w:sz w:val="28"/>
          <w:szCs w:val="28"/>
        </w:rPr>
        <w:t xml:space="preserve">  </w:t>
      </w:r>
      <w:r>
        <w:rPr>
          <w:rFonts w:hint="eastAsia" w:ascii="仿宋_GB2312" w:hAnsi="宋体" w:eastAsia="仿宋_GB2312" w:cs="仿宋_GB2312"/>
          <w:bCs/>
          <w:kern w:val="0"/>
          <w:sz w:val="28"/>
          <w:szCs w:val="28"/>
        </w:rPr>
        <w:t>要求</w:t>
      </w:r>
      <w:r>
        <w:rPr>
          <w:rFonts w:hint="eastAsia" w:ascii="仿宋_GB2312" w:hAnsi="宋体" w:eastAsia="仿宋_GB2312" w:cs="Arial"/>
          <w:color w:val="000000"/>
          <w:kern w:val="0"/>
          <w:sz w:val="28"/>
          <w:szCs w:val="28"/>
        </w:rPr>
        <w:t>在此质量保证期内发生的任何故障，中标人均应负责免费修复，质量保证期内中标人修复系统所需的备品、备件由中标人负责提供，招标人不承担任何费用。</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277" w:name="_Toc25651419"/>
      <w:bookmarkStart w:id="1278" w:name="_Toc17624940"/>
      <w:r>
        <w:rPr>
          <w:rFonts w:hint="eastAsia" w:ascii="仿宋_GB2312" w:hAnsi="宋体" w:eastAsia="仿宋_GB2312" w:cs="Times New Roman"/>
          <w:b w:val="0"/>
          <w:bCs w:val="0"/>
          <w:color w:val="000000"/>
          <w:kern w:val="2"/>
          <w:sz w:val="28"/>
          <w:szCs w:val="28"/>
          <w:lang w:val="en-US" w:eastAsia="zh-CN" w:bidi="ar-SA"/>
        </w:rPr>
        <w:t>维保范围</w:t>
      </w:r>
      <w:bookmarkEnd w:id="1277"/>
    </w:p>
    <w:p>
      <w:pPr>
        <w:widowControl/>
        <w:spacing w:line="660" w:lineRule="exact"/>
        <w:ind w:firstLine="280" w:firstLineChars="100"/>
        <w:jc w:val="left"/>
        <w:textAlignment w:val="center"/>
        <w:rPr>
          <w:rFonts w:hint="eastAsia" w:ascii="仿宋_GB2312" w:hAnsi="宋体" w:eastAsia="仿宋_GB2312" w:cs="Times New Roman"/>
          <w:bCs/>
          <w:kern w:val="0"/>
          <w:sz w:val="28"/>
          <w:szCs w:val="28"/>
        </w:rPr>
      </w:pPr>
      <w:r>
        <w:rPr>
          <w:rFonts w:ascii="仿宋_GB2312" w:hAnsi="宋体" w:eastAsia="仿宋_GB2312" w:cs="Times New Roman"/>
          <w:bCs/>
          <w:kern w:val="0"/>
          <w:sz w:val="28"/>
          <w:szCs w:val="28"/>
        </w:rPr>
        <w:t xml:space="preserve">  </w:t>
      </w:r>
      <w:r>
        <w:rPr>
          <w:rFonts w:hint="eastAsia" w:ascii="仿宋_GB2312" w:hAnsi="宋体" w:eastAsia="仿宋_GB2312" w:cs="Times New Roman"/>
          <w:bCs/>
          <w:kern w:val="0"/>
          <w:sz w:val="28"/>
          <w:szCs w:val="28"/>
        </w:rPr>
        <w:t>本工程维保范围为：招标文件描述工作范围内的所有工作内容。</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279" w:name="_Toc25651420"/>
      <w:r>
        <w:rPr>
          <w:rFonts w:hint="eastAsia" w:ascii="仿宋_GB2312" w:hAnsi="宋体" w:eastAsia="仿宋_GB2312" w:cs="Times New Roman"/>
          <w:b w:val="0"/>
          <w:bCs w:val="0"/>
          <w:color w:val="000000"/>
          <w:kern w:val="2"/>
          <w:sz w:val="28"/>
          <w:szCs w:val="28"/>
          <w:lang w:val="en-US" w:eastAsia="zh-CN" w:bidi="ar-SA"/>
        </w:rPr>
        <w:t>维保期限</w:t>
      </w:r>
      <w:bookmarkEnd w:id="1279"/>
    </w:p>
    <w:p>
      <w:pPr>
        <w:widowControl/>
        <w:numPr>
          <w:ilvl w:val="0"/>
          <w:numId w:val="311"/>
        </w:numPr>
        <w:spacing w:line="600" w:lineRule="exact"/>
        <w:ind w:firstLine="562" w:firstLineChars="200"/>
        <w:jc w:val="left"/>
        <w:textAlignment w:val="baseline"/>
        <w:rPr>
          <w:rFonts w:hint="eastAsia" w:ascii="仿宋_GB2312" w:hAnsi="宋体" w:eastAsia="仿宋_GB2312" w:cs="Times New Roman"/>
          <w:b/>
          <w:bCs/>
          <w:color w:val="000000"/>
          <w:sz w:val="28"/>
          <w:szCs w:val="28"/>
        </w:rPr>
      </w:pPr>
      <w:r>
        <w:rPr>
          <w:rFonts w:hint="eastAsia" w:ascii="仿宋_GB2312" w:hAnsi="宋体" w:eastAsia="仿宋_GB2312" w:cs="Times New Roman"/>
          <w:b/>
          <w:bCs/>
          <w:color w:val="000000"/>
          <w:sz w:val="28"/>
          <w:szCs w:val="28"/>
        </w:rPr>
        <w:t>重点提示：为本工程及设备提供为期3年的免费保修服务，起始时间以中标人获得招标人正式颁发的书面工程竣工移交证书之日起计算。</w:t>
      </w:r>
    </w:p>
    <w:p>
      <w:pPr>
        <w:widowControl/>
        <w:numPr>
          <w:ilvl w:val="0"/>
          <w:numId w:val="311"/>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保修期内非招标人责任而引发的质量问题，中标人需在招标人限定时间内无条件进行返修或更换，以达到使用标准，其费用由中标人负责。保修期内因不能排除的故障而影响工作的情况每发生一次，其保修期相应延长90天。</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280" w:name="_Toc25651421"/>
      <w:r>
        <w:rPr>
          <w:rFonts w:hint="eastAsia" w:ascii="仿宋_GB2312" w:hAnsi="宋体" w:eastAsia="仿宋_GB2312" w:cs="Times New Roman"/>
          <w:b w:val="0"/>
          <w:bCs w:val="0"/>
          <w:color w:val="000000"/>
          <w:kern w:val="2"/>
          <w:sz w:val="28"/>
          <w:szCs w:val="28"/>
          <w:lang w:val="en-US" w:eastAsia="zh-CN" w:bidi="ar-SA"/>
        </w:rPr>
        <w:t>主要产品保修清单</w:t>
      </w:r>
      <w:bookmarkEnd w:id="1280"/>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6269"/>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top"/>
          </w:tcPr>
          <w:p>
            <w:pPr>
              <w:widowControl/>
              <w:spacing w:line="660" w:lineRule="exact"/>
              <w:jc w:val="center"/>
              <w:textAlignment w:val="center"/>
              <w:rPr>
                <w:rFonts w:hint="eastAsia" w:ascii="仿宋_GB2312" w:hAnsi="宋体" w:eastAsia="仿宋_GB2312" w:cs="Calibri"/>
                <w:b/>
                <w:kern w:val="0"/>
                <w:sz w:val="24"/>
                <w:szCs w:val="20"/>
              </w:rPr>
            </w:pPr>
            <w:r>
              <w:rPr>
                <w:rFonts w:hint="eastAsia" w:ascii="仿宋_GB2312" w:hAnsi="宋体" w:eastAsia="仿宋_GB2312" w:cs="Calibri"/>
                <w:b/>
                <w:kern w:val="0"/>
                <w:sz w:val="24"/>
                <w:szCs w:val="20"/>
              </w:rPr>
              <w:t>序号</w:t>
            </w:r>
          </w:p>
        </w:tc>
        <w:tc>
          <w:tcPr>
            <w:tcW w:w="6269" w:type="dxa"/>
            <w:noWrap w:val="0"/>
            <w:vAlign w:val="top"/>
          </w:tcPr>
          <w:p>
            <w:pPr>
              <w:widowControl/>
              <w:spacing w:line="660" w:lineRule="exact"/>
              <w:jc w:val="center"/>
              <w:textAlignment w:val="center"/>
              <w:rPr>
                <w:rFonts w:hint="eastAsia" w:ascii="仿宋_GB2312" w:hAnsi="宋体" w:eastAsia="仿宋_GB2312" w:cs="Calibri"/>
                <w:b/>
                <w:kern w:val="0"/>
                <w:sz w:val="24"/>
                <w:szCs w:val="20"/>
              </w:rPr>
            </w:pPr>
            <w:r>
              <w:rPr>
                <w:rFonts w:hint="eastAsia" w:ascii="仿宋_GB2312" w:hAnsi="宋体" w:eastAsia="仿宋_GB2312" w:cs="Calibri"/>
                <w:b/>
                <w:kern w:val="0"/>
                <w:sz w:val="24"/>
                <w:szCs w:val="20"/>
              </w:rPr>
              <w:t>主要项目</w:t>
            </w:r>
          </w:p>
        </w:tc>
        <w:tc>
          <w:tcPr>
            <w:tcW w:w="1432" w:type="dxa"/>
            <w:noWrap w:val="0"/>
            <w:vAlign w:val="top"/>
          </w:tcPr>
          <w:p>
            <w:pPr>
              <w:widowControl/>
              <w:spacing w:line="660" w:lineRule="exact"/>
              <w:jc w:val="center"/>
              <w:textAlignment w:val="center"/>
              <w:rPr>
                <w:rFonts w:hint="eastAsia" w:ascii="仿宋_GB2312" w:hAnsi="宋体" w:eastAsia="仿宋_GB2312" w:cs="Calibri"/>
                <w:b/>
                <w:kern w:val="0"/>
                <w:sz w:val="24"/>
                <w:szCs w:val="20"/>
              </w:rPr>
            </w:pPr>
            <w:r>
              <w:rPr>
                <w:rFonts w:hint="eastAsia" w:ascii="仿宋_GB2312" w:hAnsi="宋体" w:eastAsia="仿宋_GB2312" w:cs="Calibri"/>
                <w:b/>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1</w:t>
            </w:r>
          </w:p>
        </w:tc>
        <w:tc>
          <w:tcPr>
            <w:tcW w:w="6269" w:type="dxa"/>
            <w:noWrap w:val="0"/>
            <w:vAlign w:val="top"/>
          </w:tcPr>
          <w:p>
            <w:pPr>
              <w:widowControl/>
              <w:spacing w:line="660" w:lineRule="exact"/>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硫酸钙活动地板</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2</w:t>
            </w:r>
          </w:p>
        </w:tc>
        <w:tc>
          <w:tcPr>
            <w:tcW w:w="6269" w:type="dxa"/>
            <w:noWrap w:val="0"/>
            <w:vAlign w:val="top"/>
          </w:tcPr>
          <w:p>
            <w:pPr>
              <w:widowControl/>
              <w:spacing w:line="660" w:lineRule="exact"/>
              <w:jc w:val="left"/>
              <w:textAlignment w:val="center"/>
              <w:rPr>
                <w:rFonts w:ascii="仿宋_GB2312" w:hAnsi="宋体" w:eastAsia="仿宋" w:cs="Times New Roman"/>
                <w:bCs/>
                <w:kern w:val="0"/>
                <w:sz w:val="24"/>
                <w:szCs w:val="20"/>
              </w:rPr>
            </w:pPr>
            <w:r>
              <w:rPr>
                <w:rFonts w:hint="eastAsia" w:ascii="仿宋_GB2312" w:hAnsi="宋体" w:eastAsia="仿宋_GB2312" w:cs="Times New Roman"/>
                <w:bCs/>
                <w:color w:val="FF0000"/>
                <w:kern w:val="0"/>
                <w:sz w:val="24"/>
                <w:szCs w:val="20"/>
              </w:rPr>
              <w:t>本工程内所有</w:t>
            </w:r>
            <w:r>
              <w:rPr>
                <w:rFonts w:hint="eastAsia" w:ascii="仿宋_GB2312" w:hAnsi="宋体" w:eastAsia="仿宋_GB2312" w:cs="Times New Roman"/>
                <w:bCs/>
                <w:kern w:val="0"/>
                <w:sz w:val="24"/>
                <w:szCs w:val="20"/>
              </w:rPr>
              <w:t>配电柜、配电箱</w:t>
            </w:r>
            <w:r>
              <w:rPr>
                <w:rFonts w:hint="eastAsia" w:ascii="Calibri" w:hAnsi="Calibri" w:eastAsia="仿宋" w:cs="Times New Roman"/>
                <w:color w:val="FF0000"/>
                <w:sz w:val="28"/>
                <w:szCs w:val="20"/>
              </w:rPr>
              <w:t>（包含里面安装的各类断路器、空开等设备)</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3</w:t>
            </w:r>
          </w:p>
        </w:tc>
        <w:tc>
          <w:tcPr>
            <w:tcW w:w="6269" w:type="dxa"/>
            <w:noWrap w:val="0"/>
            <w:vAlign w:val="top"/>
          </w:tcPr>
          <w:p>
            <w:pPr>
              <w:widowControl/>
              <w:spacing w:line="660" w:lineRule="exact"/>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封闭式母线槽</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4</w:t>
            </w:r>
          </w:p>
        </w:tc>
        <w:tc>
          <w:tcPr>
            <w:tcW w:w="6269" w:type="dxa"/>
            <w:noWrap w:val="0"/>
            <w:vAlign w:val="top"/>
          </w:tcPr>
          <w:p>
            <w:pPr>
              <w:widowControl/>
              <w:spacing w:line="660" w:lineRule="exact"/>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机柜配电母线</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5</w:t>
            </w:r>
          </w:p>
        </w:tc>
        <w:tc>
          <w:tcPr>
            <w:tcW w:w="6269" w:type="dxa"/>
            <w:noWrap w:val="0"/>
            <w:vAlign w:val="top"/>
          </w:tcPr>
          <w:p>
            <w:pPr>
              <w:widowControl/>
              <w:spacing w:line="660" w:lineRule="exact"/>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工业连接器</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6</w:t>
            </w:r>
          </w:p>
        </w:tc>
        <w:tc>
          <w:tcPr>
            <w:tcW w:w="6269" w:type="dxa"/>
            <w:noWrap w:val="0"/>
            <w:vAlign w:val="top"/>
          </w:tcPr>
          <w:p>
            <w:pPr>
              <w:widowControl/>
              <w:spacing w:line="660" w:lineRule="exact"/>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智能PDU</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7</w:t>
            </w:r>
          </w:p>
        </w:tc>
        <w:tc>
          <w:tcPr>
            <w:tcW w:w="6269" w:type="dxa"/>
            <w:noWrap w:val="0"/>
            <w:vAlign w:val="top"/>
          </w:tcPr>
          <w:p>
            <w:pPr>
              <w:widowControl/>
              <w:spacing w:line="660" w:lineRule="exact"/>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末端互投柜ATS</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8</w:t>
            </w:r>
          </w:p>
        </w:tc>
        <w:tc>
          <w:tcPr>
            <w:tcW w:w="6269" w:type="dxa"/>
            <w:noWrap w:val="0"/>
            <w:vAlign w:val="top"/>
          </w:tcPr>
          <w:p>
            <w:pPr>
              <w:widowControl/>
              <w:spacing w:line="660" w:lineRule="exact"/>
              <w:jc w:val="left"/>
              <w:textAlignment w:val="center"/>
              <w:rPr>
                <w:rFonts w:ascii="仿宋_GB2312" w:hAnsi="宋体" w:eastAsia="仿宋_GB2312" w:cs="Times New Roman"/>
                <w:bCs/>
                <w:color w:val="FF0000"/>
                <w:kern w:val="0"/>
                <w:sz w:val="24"/>
                <w:szCs w:val="20"/>
              </w:rPr>
            </w:pPr>
            <w:r>
              <w:rPr>
                <w:rFonts w:hint="eastAsia" w:ascii="仿宋_GB2312" w:hAnsi="宋体" w:eastAsia="仿宋_GB2312" w:cs="Times New Roman"/>
                <w:bCs/>
                <w:color w:val="FF0000"/>
                <w:kern w:val="0"/>
                <w:sz w:val="24"/>
                <w:szCs w:val="20"/>
              </w:rPr>
              <w:t>UPS</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9</w:t>
            </w:r>
          </w:p>
        </w:tc>
        <w:tc>
          <w:tcPr>
            <w:tcW w:w="6269" w:type="dxa"/>
            <w:noWrap w:val="0"/>
            <w:vAlign w:val="top"/>
          </w:tcPr>
          <w:p>
            <w:pPr>
              <w:widowControl/>
              <w:spacing w:line="660" w:lineRule="exact"/>
              <w:jc w:val="left"/>
              <w:textAlignment w:val="center"/>
              <w:rPr>
                <w:rFonts w:hint="eastAsia" w:ascii="仿宋_GB2312" w:hAnsi="宋体" w:eastAsia="仿宋_GB2312" w:cs="Times New Roman"/>
                <w:bCs/>
                <w:color w:val="FF0000"/>
                <w:kern w:val="0"/>
                <w:sz w:val="24"/>
                <w:szCs w:val="20"/>
              </w:rPr>
            </w:pPr>
            <w:r>
              <w:rPr>
                <w:rFonts w:hint="eastAsia" w:ascii="仿宋_GB2312" w:hAnsi="宋体" w:eastAsia="仿宋_GB2312" w:cs="Times New Roman"/>
                <w:bCs/>
                <w:color w:val="FF0000"/>
                <w:kern w:val="0"/>
                <w:sz w:val="24"/>
                <w:szCs w:val="20"/>
              </w:rPr>
              <w:t>精密空调</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10</w:t>
            </w:r>
          </w:p>
        </w:tc>
        <w:tc>
          <w:tcPr>
            <w:tcW w:w="6269" w:type="dxa"/>
            <w:noWrap w:val="0"/>
            <w:vAlign w:val="top"/>
          </w:tcPr>
          <w:p>
            <w:pPr>
              <w:widowControl/>
              <w:spacing w:line="660" w:lineRule="exact"/>
              <w:jc w:val="left"/>
              <w:textAlignment w:val="center"/>
              <w:rPr>
                <w:rFonts w:hint="eastAsia" w:ascii="仿宋_GB2312" w:hAnsi="宋体" w:eastAsia="仿宋_GB2312" w:cs="Times New Roman"/>
                <w:bCs/>
                <w:color w:val="FF0000"/>
                <w:kern w:val="0"/>
                <w:sz w:val="24"/>
                <w:szCs w:val="20"/>
              </w:rPr>
            </w:pPr>
            <w:r>
              <w:rPr>
                <w:rFonts w:hint="eastAsia" w:ascii="仿宋_GB2312" w:hAnsi="宋体" w:eastAsia="仿宋_GB2312" w:cs="Times New Roman"/>
                <w:bCs/>
                <w:color w:val="FF0000"/>
                <w:kern w:val="0"/>
                <w:sz w:val="24"/>
                <w:szCs w:val="20"/>
              </w:rPr>
              <w:t>门禁系统</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11</w:t>
            </w:r>
          </w:p>
        </w:tc>
        <w:tc>
          <w:tcPr>
            <w:tcW w:w="6269" w:type="dxa"/>
            <w:noWrap w:val="0"/>
            <w:vAlign w:val="top"/>
          </w:tcPr>
          <w:p>
            <w:pPr>
              <w:widowControl/>
              <w:spacing w:line="660" w:lineRule="exact"/>
              <w:jc w:val="left"/>
              <w:textAlignment w:val="center"/>
              <w:rPr>
                <w:rFonts w:ascii="仿宋_GB2312" w:hAnsi="宋体" w:eastAsia="仿宋_GB2312" w:cs="Times New Roman"/>
                <w:bCs/>
                <w:color w:val="FF0000"/>
                <w:kern w:val="0"/>
                <w:sz w:val="24"/>
                <w:szCs w:val="20"/>
              </w:rPr>
            </w:pPr>
            <w:r>
              <w:rPr>
                <w:rFonts w:hint="eastAsia" w:ascii="仿宋_GB2312" w:hAnsi="宋体" w:eastAsia="仿宋_GB2312" w:cs="Times New Roman"/>
                <w:bCs/>
                <w:color w:val="FF0000"/>
                <w:kern w:val="0"/>
                <w:sz w:val="24"/>
                <w:szCs w:val="20"/>
              </w:rPr>
              <w:t>STS</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12</w:t>
            </w:r>
          </w:p>
        </w:tc>
        <w:tc>
          <w:tcPr>
            <w:tcW w:w="6269" w:type="dxa"/>
            <w:noWrap w:val="0"/>
            <w:vAlign w:val="top"/>
          </w:tcPr>
          <w:p>
            <w:pPr>
              <w:widowControl/>
              <w:spacing w:line="660" w:lineRule="exact"/>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照明灯具</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13</w:t>
            </w:r>
          </w:p>
        </w:tc>
        <w:tc>
          <w:tcPr>
            <w:tcW w:w="6269" w:type="dxa"/>
            <w:noWrap w:val="0"/>
            <w:vAlign w:val="top"/>
          </w:tcPr>
          <w:p>
            <w:pPr>
              <w:widowControl/>
              <w:spacing w:line="660" w:lineRule="exact"/>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舒适空调</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14</w:t>
            </w:r>
          </w:p>
        </w:tc>
        <w:tc>
          <w:tcPr>
            <w:tcW w:w="6269" w:type="dxa"/>
            <w:noWrap w:val="0"/>
            <w:vAlign w:val="top"/>
          </w:tcPr>
          <w:p>
            <w:pPr>
              <w:widowControl/>
              <w:spacing w:line="660" w:lineRule="exact"/>
              <w:jc w:val="left"/>
              <w:textAlignment w:val="center"/>
              <w:rPr>
                <w:rFonts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湿膜加湿器</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15</w:t>
            </w:r>
          </w:p>
        </w:tc>
        <w:tc>
          <w:tcPr>
            <w:tcW w:w="6269" w:type="dxa"/>
            <w:noWrap w:val="0"/>
            <w:vAlign w:val="top"/>
          </w:tcPr>
          <w:p>
            <w:pPr>
              <w:widowControl/>
              <w:spacing w:line="660" w:lineRule="exact"/>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新风机</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16</w:t>
            </w:r>
          </w:p>
        </w:tc>
        <w:tc>
          <w:tcPr>
            <w:tcW w:w="6269" w:type="dxa"/>
            <w:noWrap w:val="0"/>
            <w:vAlign w:val="top"/>
          </w:tcPr>
          <w:p>
            <w:pPr>
              <w:widowControl/>
              <w:spacing w:line="660" w:lineRule="exact"/>
              <w:jc w:val="left"/>
              <w:textAlignment w:val="center"/>
              <w:rPr>
                <w:rFonts w:hint="eastAsia" w:ascii="仿宋_GB2312" w:hAnsi="宋体" w:eastAsia="仿宋" w:cs="Times New Roman"/>
                <w:bCs/>
                <w:kern w:val="0"/>
                <w:sz w:val="24"/>
                <w:szCs w:val="20"/>
              </w:rPr>
            </w:pPr>
            <w:r>
              <w:rPr>
                <w:rFonts w:hint="eastAsia" w:ascii="仿宋_GB2312" w:hAnsi="宋体" w:eastAsia="仿宋_GB2312" w:cs="Times New Roman"/>
                <w:bCs/>
                <w:kern w:val="0"/>
                <w:sz w:val="24"/>
                <w:szCs w:val="20"/>
              </w:rPr>
              <w:t>通风机、防火阀及排烟防火阀、电动密闭阀</w:t>
            </w:r>
            <w:r>
              <w:rPr>
                <w:rFonts w:hint="eastAsia" w:ascii="Calibri" w:hAnsi="Calibri" w:eastAsia="仿宋" w:cs="Times New Roman"/>
                <w:color w:val="FF0000"/>
                <w:sz w:val="28"/>
                <w:szCs w:val="20"/>
              </w:rPr>
              <w:t>、极早期及其他机房消防设备</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17</w:t>
            </w:r>
          </w:p>
        </w:tc>
        <w:tc>
          <w:tcPr>
            <w:tcW w:w="6269" w:type="dxa"/>
            <w:noWrap w:val="0"/>
            <w:vAlign w:val="top"/>
          </w:tcPr>
          <w:p>
            <w:pPr>
              <w:widowControl/>
              <w:spacing w:line="660" w:lineRule="exact"/>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机柜及冷通道封闭</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18</w:t>
            </w:r>
          </w:p>
        </w:tc>
        <w:tc>
          <w:tcPr>
            <w:tcW w:w="6269" w:type="dxa"/>
            <w:noWrap w:val="0"/>
            <w:vAlign w:val="top"/>
          </w:tcPr>
          <w:p>
            <w:pPr>
              <w:widowControl/>
              <w:spacing w:line="660" w:lineRule="exact"/>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大屏显示单元及大屏控制器</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pPr>
              <w:widowControl/>
              <w:spacing w:line="660" w:lineRule="exact"/>
              <w:jc w:val="center"/>
              <w:textAlignment w:val="center"/>
              <w:rPr>
                <w:rFonts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19</w:t>
            </w:r>
          </w:p>
        </w:tc>
        <w:tc>
          <w:tcPr>
            <w:tcW w:w="6269" w:type="dxa"/>
            <w:noWrap w:val="0"/>
            <w:vAlign w:val="top"/>
          </w:tcPr>
          <w:p>
            <w:pPr>
              <w:widowControl/>
              <w:spacing w:line="660" w:lineRule="exact"/>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包括但不限于上述主要内容。</w:t>
            </w:r>
          </w:p>
        </w:tc>
        <w:tc>
          <w:tcPr>
            <w:tcW w:w="1432" w:type="dxa"/>
            <w:noWrap w:val="0"/>
            <w:vAlign w:val="top"/>
          </w:tcPr>
          <w:p>
            <w:pPr>
              <w:widowControl/>
              <w:spacing w:line="660" w:lineRule="exact"/>
              <w:jc w:val="left"/>
              <w:textAlignment w:val="center"/>
              <w:rPr>
                <w:rFonts w:hint="eastAsia" w:ascii="仿宋_GB2312" w:hAnsi="宋体" w:eastAsia="仿宋_GB2312" w:cs="Calibri"/>
                <w:b/>
                <w:kern w:val="0"/>
                <w:sz w:val="24"/>
                <w:szCs w:val="20"/>
              </w:rPr>
            </w:pPr>
          </w:p>
        </w:tc>
      </w:tr>
    </w:tbl>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281" w:name="_Toc25651422"/>
      <w:r>
        <w:rPr>
          <w:rFonts w:hint="eastAsia" w:ascii="仿宋_GB2312" w:hAnsi="宋体" w:eastAsia="仿宋_GB2312" w:cs="Times New Roman"/>
          <w:b w:val="0"/>
          <w:bCs w:val="0"/>
          <w:color w:val="000000"/>
          <w:kern w:val="2"/>
          <w:sz w:val="28"/>
          <w:szCs w:val="28"/>
          <w:lang w:val="en-US" w:eastAsia="zh-CN" w:bidi="ar-SA"/>
        </w:rPr>
        <w:t>维保期间内容</w:t>
      </w:r>
      <w:bookmarkEnd w:id="1281"/>
    </w:p>
    <w:p>
      <w:pPr>
        <w:widowControl/>
        <w:numPr>
          <w:ilvl w:val="0"/>
          <w:numId w:val="31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要求中标人应无条件提供维保服务所需的工作人员（其中产品必须为原厂人员）和材料。</w:t>
      </w:r>
    </w:p>
    <w:p>
      <w:pPr>
        <w:widowControl/>
        <w:numPr>
          <w:ilvl w:val="0"/>
          <w:numId w:val="31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要求对整体工程提供7×24H的紧急维修服务及一般性的定期维修保养。</w:t>
      </w:r>
    </w:p>
    <w:p>
      <w:pPr>
        <w:widowControl/>
        <w:numPr>
          <w:ilvl w:val="0"/>
          <w:numId w:val="31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提供产品的售后服务承诺。包括但不限于：公司的售后服务机构介绍、本项目的人员安排、对维修保养表格的应答、备品备件列表（品牌、产地、规格型号、主要技术参数、价格、数量、供货周期等）、质量保证期内的维护保养工作内容及应急维修、质量保证期后的维护保养工作内容及应急维修等。</w:t>
      </w:r>
    </w:p>
    <w:p>
      <w:pPr>
        <w:widowControl/>
        <w:numPr>
          <w:ilvl w:val="0"/>
          <w:numId w:val="31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在保修期内，所有有关的零部件（含易损件）和软件升级均应由原厂无条件实施。要求提供必要的耗材，重大节假日等特护期的巡检和维护，巡检内容由中标人在投标文件中阐明。保修期内出现故障，原厂工程师应提供现场服务，无条件维修更换硬件。</w:t>
      </w:r>
    </w:p>
    <w:p>
      <w:pPr>
        <w:widowControl/>
        <w:numPr>
          <w:ilvl w:val="0"/>
          <w:numId w:val="31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在维保期内，中标人应保证所供设备无故障开机运行，如达不到要求，保修期应顺延，并且中标人应赔偿招标人经济损失。</w:t>
      </w:r>
    </w:p>
    <w:p>
      <w:pPr>
        <w:widowControl/>
        <w:numPr>
          <w:ilvl w:val="0"/>
          <w:numId w:val="31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提供设备正常运行所需的配套备品备件，检修和保养工作，包括所有检查、调整、设备润滑及必须的零件修理和更换，使设备保持安全、正常状态，中标人应提供详细的维保内容；所有更换的零部件须是原厂标准生产的。</w:t>
      </w:r>
    </w:p>
    <w:p>
      <w:pPr>
        <w:widowControl/>
        <w:numPr>
          <w:ilvl w:val="0"/>
          <w:numId w:val="31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部件的更换及维修必须经过招标人的批准。中标人应承担因其作业修改所发生的一切费用，包括必要的拆卸、运输、重新安装和测试，以及对存有缺陷的设备、材料及任何与其相关部件的拆卸、重新安装等工作。</w:t>
      </w:r>
    </w:p>
    <w:p>
      <w:pPr>
        <w:widowControl/>
        <w:numPr>
          <w:ilvl w:val="0"/>
          <w:numId w:val="312"/>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在维保期结束前，中标人应做一次无条件的全面检验和保养，对发现的任何缺陷必须无条件修理或更换，在修复之后，应将缺陷原因、修理内容、完成修理及恢复正常时间和日期等报告招标人。</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282" w:name="_Toc364422768"/>
      <w:bookmarkStart w:id="1283" w:name="_Toc438455679"/>
      <w:bookmarkStart w:id="1284" w:name="_Toc25651423"/>
      <w:r>
        <w:rPr>
          <w:rFonts w:hint="eastAsia" w:ascii="仿宋_GB2312" w:hAnsi="宋体" w:eastAsia="仿宋_GB2312" w:cs="Times New Roman"/>
          <w:b w:val="0"/>
          <w:bCs w:val="0"/>
          <w:color w:val="000000"/>
          <w:kern w:val="2"/>
          <w:sz w:val="28"/>
          <w:szCs w:val="28"/>
          <w:lang w:val="en-US" w:eastAsia="zh-CN" w:bidi="ar-SA"/>
        </w:rPr>
        <w:t>维保服务</w:t>
      </w:r>
      <w:bookmarkEnd w:id="1282"/>
      <w:bookmarkEnd w:id="1283"/>
      <w:r>
        <w:rPr>
          <w:rFonts w:hint="eastAsia" w:ascii="仿宋_GB2312" w:hAnsi="宋体" w:eastAsia="仿宋_GB2312" w:cs="Times New Roman"/>
          <w:b w:val="0"/>
          <w:bCs w:val="0"/>
          <w:color w:val="000000"/>
          <w:kern w:val="2"/>
          <w:sz w:val="28"/>
          <w:szCs w:val="28"/>
          <w:lang w:val="en-US" w:eastAsia="zh-CN" w:bidi="ar-SA"/>
        </w:rPr>
        <w:t>方式</w:t>
      </w:r>
      <w:bookmarkEnd w:id="1284"/>
    </w:p>
    <w:p>
      <w:pPr>
        <w:widowControl/>
        <w:numPr>
          <w:ilvl w:val="0"/>
          <w:numId w:val="31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提供的所有设备，设备制造厂商在设备安装（项目所在地）地区应有相应的技术支持、产品备件库及售后服务机构（对重要设备列表中的设备必须满足），并确保招标人能够得到及时优质的售后服务及配件提供。</w:t>
      </w:r>
    </w:p>
    <w:p>
      <w:pPr>
        <w:widowControl/>
        <w:numPr>
          <w:ilvl w:val="0"/>
          <w:numId w:val="313"/>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要求所有维保服务方式均为上门保修，即由中标人或设备厂商派员到使用现场维修，由此产生的一切费用均由中标人承担。</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285" w:name="_Toc25651424"/>
      <w:bookmarkStart w:id="1286" w:name="_Toc438455680"/>
      <w:bookmarkStart w:id="1287" w:name="_Toc364422769"/>
      <w:r>
        <w:rPr>
          <w:rFonts w:hint="eastAsia" w:ascii="仿宋_GB2312" w:hAnsi="宋体" w:eastAsia="仿宋_GB2312" w:cs="Times New Roman"/>
          <w:b w:val="0"/>
          <w:bCs w:val="0"/>
          <w:color w:val="000000"/>
          <w:kern w:val="2"/>
          <w:sz w:val="28"/>
          <w:szCs w:val="28"/>
          <w:lang w:val="en-US" w:eastAsia="zh-CN" w:bidi="ar-SA"/>
        </w:rPr>
        <w:t>维保服务内容</w:t>
      </w:r>
      <w:bookmarkEnd w:id="1285"/>
    </w:p>
    <w:p>
      <w:pPr>
        <w:widowControl/>
        <w:spacing w:line="660" w:lineRule="exact"/>
        <w:ind w:firstLine="454"/>
        <w:jc w:val="left"/>
        <w:textAlignment w:val="center"/>
        <w:rPr>
          <w:rFonts w:hint="eastAsia"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服务期内，要求中标人必须保障本工程系统和设备的安全稳定运行，确保不间断的对外服务。中标人应提供但不限于以下服务内容。</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bookmarkStart w:id="1288" w:name="_Toc25651425"/>
      <w:r>
        <w:rPr>
          <w:rFonts w:hint="eastAsia" w:ascii="仿宋_GB2312" w:hAnsi="宋体" w:eastAsia="仿宋_GB2312" w:cs="Times New Roman"/>
          <w:b w:val="0"/>
          <w:bCs w:val="0"/>
          <w:color w:val="000000"/>
          <w:kern w:val="2"/>
          <w:sz w:val="28"/>
          <w:szCs w:val="28"/>
          <w:lang w:val="en-US" w:eastAsia="zh-CN" w:bidi="ar-SA"/>
        </w:rPr>
        <w:t>电话支持服务</w:t>
      </w:r>
      <w:bookmarkEnd w:id="1288"/>
    </w:p>
    <w:p>
      <w:pPr>
        <w:widowControl/>
        <w:spacing w:after="180" w:line="660" w:lineRule="exact"/>
        <w:ind w:firstLine="560" w:firstLineChars="200"/>
        <w:jc w:val="left"/>
        <w:textAlignment w:val="center"/>
        <w:rPr>
          <w:rFonts w:hint="eastAsia"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中标人提供7x24H免费热线电话，并在 5分钟内电话响应。电话不能解决的问题，需根据招标人的要求提供现场技术支持服务。</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bookmarkStart w:id="1289" w:name="_Toc25651426"/>
      <w:r>
        <w:rPr>
          <w:rFonts w:hint="eastAsia" w:ascii="仿宋_GB2312" w:hAnsi="宋体" w:eastAsia="仿宋_GB2312" w:cs="Times New Roman"/>
          <w:b w:val="0"/>
          <w:bCs w:val="0"/>
          <w:color w:val="000000"/>
          <w:kern w:val="2"/>
          <w:sz w:val="28"/>
          <w:szCs w:val="28"/>
          <w:lang w:val="en-US" w:eastAsia="zh-CN" w:bidi="ar-SA"/>
        </w:rPr>
        <w:t>现场技术支持服务</w:t>
      </w:r>
      <w:bookmarkEnd w:id="1289"/>
    </w:p>
    <w:p>
      <w:pPr>
        <w:widowControl/>
        <w:numPr>
          <w:ilvl w:val="0"/>
          <w:numId w:val="31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中标人需根据招标人的需要随时提供现场技术服务，包括但并不限于系统维护、系统优化、故障解决、数据恢复演练、软硬件升级等。</w:t>
      </w:r>
    </w:p>
    <w:p>
      <w:pPr>
        <w:widowControl/>
        <w:numPr>
          <w:ilvl w:val="0"/>
          <w:numId w:val="31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需提供系统预防性检查维护，每隔一定的时间，中标人对本项目范围内的系统、设备进行全面测试，确认设备运行状态，检查系统错误记录，排除隐患故障并进行设备保养工作。具体维护计划为：制定系统维护服务方案；派数据中心经验丰富的工程师每季度一次到设备安装现场对本项目系统和设备依照服务方案进行维护并提交服务报告。</w:t>
      </w:r>
    </w:p>
    <w:p>
      <w:pPr>
        <w:widowControl/>
        <w:numPr>
          <w:ilvl w:val="0"/>
          <w:numId w:val="31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要求中标人须于提供每月不少于一次的无条件检修和保养，以保证设备正常运行的维护。</w:t>
      </w:r>
    </w:p>
    <w:p>
      <w:pPr>
        <w:widowControl/>
        <w:numPr>
          <w:ilvl w:val="0"/>
          <w:numId w:val="31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要求中标人至少提供1次/季度原厂巡检服务，并提供相应服务报告。</w:t>
      </w:r>
    </w:p>
    <w:p>
      <w:pPr>
        <w:widowControl/>
        <w:numPr>
          <w:ilvl w:val="0"/>
          <w:numId w:val="31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维保期内遇法定节假日或重大活动，要求中标人须针对各重要设备，额外派驻专业技术人员现场值守。</w:t>
      </w:r>
    </w:p>
    <w:p>
      <w:pPr>
        <w:widowControl/>
        <w:numPr>
          <w:ilvl w:val="0"/>
          <w:numId w:val="31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要求中标人应对维护内容提出合理化建议，并按招标人要求进行专题讨论、分析、优化等。</w:t>
      </w:r>
    </w:p>
    <w:p>
      <w:pPr>
        <w:widowControl/>
        <w:numPr>
          <w:ilvl w:val="0"/>
          <w:numId w:val="31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要求中标人应提供不限次数的特殊时间现场支持服务，如年终、重要系统投产、切换、变更等。</w:t>
      </w:r>
    </w:p>
    <w:p>
      <w:pPr>
        <w:widowControl/>
        <w:numPr>
          <w:ilvl w:val="0"/>
          <w:numId w:val="31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要求中标人应提供免费现场维护及根据监管政策变化或业务需求变化而进行系统改造升级的免费现场技术支持。</w:t>
      </w:r>
    </w:p>
    <w:p>
      <w:pPr>
        <w:widowControl/>
        <w:numPr>
          <w:ilvl w:val="0"/>
          <w:numId w:val="314"/>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中标人应提供管理软件补丁及软件免费升级服务。</w:t>
      </w:r>
    </w:p>
    <w:p>
      <w:pPr>
        <w:numPr>
          <w:ilvl w:val="2"/>
          <w:numId w:val="267"/>
        </w:numPr>
        <w:spacing w:before="0" w:after="0" w:line="600" w:lineRule="exact"/>
        <w:ind w:left="7" w:firstLine="413"/>
        <w:jc w:val="left"/>
        <w:outlineLvl w:val="9"/>
        <w:rPr>
          <w:rFonts w:hint="eastAsia" w:ascii="仿宋_GB2312" w:hAnsi="宋体" w:eastAsia="仿宋_GB2312" w:cs="Times New Roman"/>
          <w:b w:val="0"/>
          <w:bCs w:val="0"/>
          <w:color w:val="000000"/>
          <w:kern w:val="2"/>
          <w:sz w:val="28"/>
          <w:szCs w:val="28"/>
          <w:lang w:val="en-US" w:eastAsia="zh-CN" w:bidi="ar-SA"/>
        </w:rPr>
      </w:pPr>
      <w:bookmarkStart w:id="1290" w:name="_Toc25651427"/>
      <w:r>
        <w:rPr>
          <w:rFonts w:hint="eastAsia" w:ascii="仿宋_GB2312" w:hAnsi="宋体" w:eastAsia="仿宋_GB2312" w:cs="Times New Roman"/>
          <w:b w:val="0"/>
          <w:bCs w:val="0"/>
          <w:color w:val="000000"/>
          <w:kern w:val="2"/>
          <w:sz w:val="28"/>
          <w:szCs w:val="28"/>
          <w:lang w:val="en-US" w:eastAsia="zh-CN" w:bidi="ar-SA"/>
        </w:rPr>
        <w:t>人员要求</w:t>
      </w:r>
      <w:bookmarkEnd w:id="1290"/>
    </w:p>
    <w:p>
      <w:pPr>
        <w:widowControl/>
        <w:numPr>
          <w:ilvl w:val="0"/>
          <w:numId w:val="31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要求维护工程师必须具备数据中心基础物理设施各系统和设备的专业知识，产品需为原厂运维调试工程师，具备5年以上数据中心系统维护工作经验。</w:t>
      </w:r>
    </w:p>
    <w:p>
      <w:pPr>
        <w:widowControl/>
        <w:numPr>
          <w:ilvl w:val="0"/>
          <w:numId w:val="31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要求维护工程师团队应涵盖大型设备的所有专业。</w:t>
      </w:r>
    </w:p>
    <w:p>
      <w:pPr>
        <w:widowControl/>
        <w:numPr>
          <w:ilvl w:val="0"/>
          <w:numId w:val="315"/>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要求中标人应提供维护工程师名单以及简历供招标人选择，待招标人确认后，中标人未征得招标人书面同意情况下不得更换成员。如果项目组成员不符合要求，招标人有权要求更换人员。</w:t>
      </w:r>
    </w:p>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291" w:name="_Toc17624941"/>
      <w:bookmarkStart w:id="1292" w:name="_Toc25651428"/>
      <w:r>
        <w:rPr>
          <w:rFonts w:hint="eastAsia" w:ascii="仿宋_GB2312" w:hAnsi="宋体" w:eastAsia="仿宋_GB2312" w:cs="Times New Roman"/>
          <w:b w:val="0"/>
          <w:bCs w:val="0"/>
          <w:color w:val="000000"/>
          <w:kern w:val="2"/>
          <w:sz w:val="28"/>
          <w:szCs w:val="28"/>
          <w:lang w:val="en-US" w:eastAsia="zh-CN" w:bidi="ar-SA"/>
        </w:rPr>
        <w:t>故障响应时间</w:t>
      </w:r>
      <w:bookmarkEnd w:id="1291"/>
      <w:bookmarkEnd w:id="1292"/>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5"/>
        <w:gridCol w:w="2729"/>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725" w:type="dxa"/>
            <w:shd w:val="clear" w:color="auto" w:fill="BFBFBF"/>
            <w:noWrap w:val="0"/>
            <w:vAlign w:val="center"/>
          </w:tcPr>
          <w:p>
            <w:pPr>
              <w:widowControl/>
              <w:spacing w:line="660" w:lineRule="exact"/>
              <w:jc w:val="center"/>
              <w:textAlignment w:val="center"/>
              <w:rPr>
                <w:rFonts w:hint="eastAsia" w:ascii="仿宋_GB2312" w:hAnsi="宋体" w:eastAsia="仿宋_GB2312" w:cs="Calibri"/>
                <w:color w:val="000000"/>
                <w:kern w:val="0"/>
                <w:sz w:val="24"/>
                <w:szCs w:val="20"/>
              </w:rPr>
            </w:pPr>
            <w:r>
              <w:rPr>
                <w:rFonts w:hint="eastAsia" w:ascii="仿宋_GB2312" w:hAnsi="宋体" w:eastAsia="仿宋_GB2312" w:cs="宋体"/>
                <w:color w:val="000000"/>
                <w:kern w:val="0"/>
                <w:sz w:val="24"/>
                <w:szCs w:val="20"/>
              </w:rPr>
              <w:t>故障级别</w:t>
            </w:r>
          </w:p>
        </w:tc>
        <w:tc>
          <w:tcPr>
            <w:tcW w:w="2729" w:type="dxa"/>
            <w:shd w:val="clear" w:color="auto" w:fill="BFBFBF"/>
            <w:noWrap w:val="0"/>
            <w:vAlign w:val="center"/>
          </w:tcPr>
          <w:p>
            <w:pPr>
              <w:widowControl/>
              <w:spacing w:line="660" w:lineRule="exact"/>
              <w:ind w:left="1040"/>
              <w:jc w:val="left"/>
              <w:textAlignment w:val="center"/>
              <w:rPr>
                <w:rFonts w:hint="eastAsia" w:ascii="仿宋_GB2312" w:hAnsi="宋体" w:eastAsia="仿宋_GB2312" w:cs="Calibri"/>
                <w:color w:val="000000"/>
                <w:kern w:val="0"/>
                <w:sz w:val="24"/>
                <w:szCs w:val="20"/>
              </w:rPr>
            </w:pPr>
            <w:r>
              <w:rPr>
                <w:rFonts w:hint="eastAsia" w:ascii="仿宋_GB2312" w:hAnsi="宋体" w:eastAsia="仿宋_GB2312" w:cs="宋体"/>
                <w:color w:val="000000"/>
                <w:kern w:val="0"/>
                <w:sz w:val="24"/>
                <w:szCs w:val="20"/>
              </w:rPr>
              <w:t>故障描述</w:t>
            </w:r>
          </w:p>
        </w:tc>
        <w:tc>
          <w:tcPr>
            <w:tcW w:w="3862" w:type="dxa"/>
            <w:shd w:val="clear" w:color="auto" w:fill="BFBFBF"/>
            <w:noWrap w:val="0"/>
            <w:vAlign w:val="center"/>
          </w:tcPr>
          <w:p>
            <w:pPr>
              <w:widowControl/>
              <w:spacing w:line="660" w:lineRule="exact"/>
              <w:ind w:left="1200"/>
              <w:jc w:val="left"/>
              <w:textAlignment w:val="center"/>
              <w:rPr>
                <w:rFonts w:hint="eastAsia" w:ascii="仿宋_GB2312" w:hAnsi="宋体" w:eastAsia="仿宋_GB2312" w:cs="Calibri"/>
                <w:color w:val="000000"/>
                <w:kern w:val="0"/>
                <w:sz w:val="24"/>
                <w:szCs w:val="20"/>
              </w:rPr>
            </w:pPr>
            <w:r>
              <w:rPr>
                <w:rFonts w:hint="eastAsia" w:ascii="仿宋_GB2312" w:hAnsi="宋体" w:eastAsia="仿宋_GB2312" w:cs="宋体"/>
                <w:color w:val="000000"/>
                <w:kern w:val="0"/>
                <w:sz w:val="24"/>
                <w:szCs w:val="20"/>
              </w:rPr>
              <w:t>响应要求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1725"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A故障</w:t>
            </w:r>
          </w:p>
        </w:tc>
        <w:tc>
          <w:tcPr>
            <w:tcW w:w="2729" w:type="dxa"/>
            <w:noWrap w:val="0"/>
            <w:vAlign w:val="center"/>
          </w:tcPr>
          <w:p>
            <w:pPr>
              <w:widowControl/>
              <w:spacing w:line="660" w:lineRule="exact"/>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严重故障导致业务停止；</w:t>
            </w:r>
          </w:p>
        </w:tc>
        <w:tc>
          <w:tcPr>
            <w:tcW w:w="3862" w:type="dxa"/>
            <w:noWrap w:val="0"/>
            <w:vAlign w:val="center"/>
          </w:tcPr>
          <w:p>
            <w:pPr>
              <w:widowControl/>
              <w:spacing w:line="660" w:lineRule="exact"/>
              <w:ind w:left="80"/>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1H内现场响应，1H内排除故障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725"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B级故障</w:t>
            </w:r>
          </w:p>
        </w:tc>
        <w:tc>
          <w:tcPr>
            <w:tcW w:w="2729" w:type="dxa"/>
            <w:noWrap w:val="0"/>
            <w:vAlign w:val="center"/>
          </w:tcPr>
          <w:p>
            <w:pPr>
              <w:widowControl/>
              <w:spacing w:line="660" w:lineRule="exact"/>
              <w:ind w:left="60"/>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一般故障导致性能下降但不影响正常业务运行；</w:t>
            </w:r>
          </w:p>
        </w:tc>
        <w:tc>
          <w:tcPr>
            <w:tcW w:w="3862" w:type="dxa"/>
            <w:noWrap w:val="0"/>
            <w:vAlign w:val="center"/>
          </w:tcPr>
          <w:p>
            <w:pPr>
              <w:widowControl/>
              <w:spacing w:line="660" w:lineRule="exact"/>
              <w:ind w:left="80"/>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2H内现场响应，6H内排除故障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725" w:type="dxa"/>
            <w:noWrap w:val="0"/>
            <w:vAlign w:val="center"/>
          </w:tcPr>
          <w:p>
            <w:pPr>
              <w:widowControl/>
              <w:spacing w:line="660" w:lineRule="exact"/>
              <w:jc w:val="center"/>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C级故障</w:t>
            </w:r>
          </w:p>
        </w:tc>
        <w:tc>
          <w:tcPr>
            <w:tcW w:w="2729" w:type="dxa"/>
            <w:noWrap w:val="0"/>
            <w:vAlign w:val="center"/>
          </w:tcPr>
          <w:p>
            <w:pPr>
              <w:widowControl/>
              <w:spacing w:line="660" w:lineRule="exact"/>
              <w:ind w:left="60"/>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系统功能，安装或配置咨询，或其他显然不影响业务的预约服务</w:t>
            </w:r>
          </w:p>
        </w:tc>
        <w:tc>
          <w:tcPr>
            <w:tcW w:w="3862" w:type="dxa"/>
            <w:noWrap w:val="0"/>
            <w:vAlign w:val="center"/>
          </w:tcPr>
          <w:p>
            <w:pPr>
              <w:widowControl/>
              <w:spacing w:line="660" w:lineRule="exact"/>
              <w:ind w:left="80"/>
              <w:jc w:val="left"/>
              <w:textAlignment w:val="center"/>
              <w:rPr>
                <w:rFonts w:hint="eastAsia"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4H内现场响应，24H内排除故障。如果故障升级需按照升级后故障等级响应。</w:t>
            </w:r>
          </w:p>
        </w:tc>
      </w:tr>
    </w:tbl>
    <w:p>
      <w:pPr>
        <w:widowControl/>
        <w:spacing w:after="180" w:line="660" w:lineRule="exact"/>
        <w:ind w:left="60" w:right="40" w:firstLine="323"/>
        <w:jc w:val="left"/>
        <w:textAlignment w:val="center"/>
        <w:rPr>
          <w:rFonts w:ascii="仿宋_GB2312" w:hAnsi="宋体" w:eastAsia="仿宋_GB2312" w:cs="Arial"/>
          <w:color w:val="000000"/>
          <w:kern w:val="0"/>
          <w:sz w:val="28"/>
          <w:szCs w:val="28"/>
        </w:rPr>
      </w:pPr>
      <w:r>
        <w:rPr>
          <w:rFonts w:ascii="仿宋_GB2312" w:hAnsi="宋体" w:eastAsia="仿宋_GB2312" w:cs="Arial"/>
          <w:color w:val="000000"/>
          <w:kern w:val="0"/>
          <w:sz w:val="28"/>
          <w:szCs w:val="28"/>
        </w:rPr>
        <w:t xml:space="preserve">  </w:t>
      </w:r>
      <w:r>
        <w:rPr>
          <w:rFonts w:hint="eastAsia" w:ascii="仿宋_GB2312" w:hAnsi="宋体" w:eastAsia="仿宋_GB2312" w:cs="Arial"/>
          <w:color w:val="000000"/>
          <w:kern w:val="0"/>
          <w:sz w:val="28"/>
          <w:szCs w:val="28"/>
        </w:rPr>
        <w:t>如果出现的故障中标人不能在指定的时间内修复的，</w:t>
      </w:r>
      <w:r>
        <w:rPr>
          <w:rFonts w:hint="eastAsia" w:ascii="仿宋_GB2312" w:hAnsi="宋体" w:eastAsia="仿宋_GB2312" w:cs="Times New Roman"/>
          <w:bCs/>
          <w:kern w:val="0"/>
          <w:sz w:val="28"/>
          <w:szCs w:val="28"/>
        </w:rPr>
        <w:t>招标人</w:t>
      </w:r>
      <w:r>
        <w:rPr>
          <w:rFonts w:hint="eastAsia" w:ascii="仿宋_GB2312" w:hAnsi="宋体" w:eastAsia="仿宋_GB2312" w:cs="Arial"/>
          <w:color w:val="000000"/>
          <w:kern w:val="0"/>
          <w:sz w:val="28"/>
          <w:szCs w:val="28"/>
        </w:rPr>
        <w:t>有权要求长期由原厂工程师现场处理，所产生的费用由中标人负责。</w:t>
      </w:r>
    </w:p>
    <w:bookmarkEnd w:id="1278"/>
    <w:bookmarkEnd w:id="1286"/>
    <w:bookmarkEnd w:id="1287"/>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293" w:name="_Toc17624943"/>
      <w:bookmarkStart w:id="1294" w:name="_Toc25651430"/>
      <w:r>
        <w:rPr>
          <w:rFonts w:hint="eastAsia" w:ascii="仿宋_GB2312" w:hAnsi="宋体" w:eastAsia="仿宋_GB2312" w:cs="Times New Roman"/>
          <w:b w:val="0"/>
          <w:bCs w:val="0"/>
          <w:color w:val="000000"/>
          <w:kern w:val="2"/>
          <w:sz w:val="28"/>
          <w:szCs w:val="28"/>
          <w:lang w:val="en-US" w:eastAsia="zh-CN" w:bidi="ar-SA"/>
        </w:rPr>
        <w:t>备品备件供应保障服务要求</w:t>
      </w:r>
      <w:bookmarkEnd w:id="1293"/>
      <w:bookmarkEnd w:id="1294"/>
    </w:p>
    <w:p>
      <w:pPr>
        <w:widowControl/>
        <w:numPr>
          <w:ilvl w:val="0"/>
          <w:numId w:val="31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要求中标人提供主要设备的供应商在项目地或区域有固定的备品、备件供应渠道，并提供主要产品的（按产品维保清单）易损易耗备品、备件的价格清单，要求在投标时一并进行报价。</w:t>
      </w:r>
    </w:p>
    <w:bookmarkEnd w:id="1022"/>
    <w:bookmarkEnd w:id="1023"/>
    <w:bookmarkEnd w:id="1024"/>
    <w:bookmarkEnd w:id="1025"/>
    <w:bookmarkEnd w:id="1026"/>
    <w:bookmarkEnd w:id="1027"/>
    <w:bookmarkEnd w:id="1028"/>
    <w:bookmarkEnd w:id="1163"/>
    <w:p>
      <w:pPr>
        <w:widowControl/>
        <w:numPr>
          <w:ilvl w:val="0"/>
          <w:numId w:val="31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本项目保修期满后，产品进行返修或更换的费用由招标人负责。免保期满，需提供保修期过后每年的维保费用，招标人有权要求以不高于设备单价8%的价格进行续保，中标人或厂商应做出承诺，其费用不计入总价，无条件保修期后的服务内容及报价，作为服务评分项之一。</w:t>
      </w:r>
    </w:p>
    <w:p>
      <w:pPr>
        <w:widowControl/>
        <w:numPr>
          <w:ilvl w:val="0"/>
          <w:numId w:val="31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维护期结束后，招标人如向中标人购买设备备品、备件，中标人提供的备品、备件需为原厂或原厂认可的产品。</w:t>
      </w:r>
    </w:p>
    <w:p>
      <w:pPr>
        <w:widowControl/>
        <w:numPr>
          <w:ilvl w:val="0"/>
          <w:numId w:val="31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在确认需更换备件时，备件须在2H内送达设备安装现场。</w:t>
      </w:r>
    </w:p>
    <w:p>
      <w:pPr>
        <w:widowControl/>
        <w:numPr>
          <w:ilvl w:val="0"/>
          <w:numId w:val="31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要求当获知某一备品、备件将停止生产时，中标人应及时向招标人通报，并提供解决方案。</w:t>
      </w:r>
      <w:bookmarkStart w:id="1295" w:name="_Toc438455677"/>
      <w:bookmarkStart w:id="1296" w:name="_Toc356977680"/>
      <w:bookmarkStart w:id="1297" w:name="_Toc354490590"/>
      <w:bookmarkStart w:id="1298" w:name="_Toc364422766"/>
      <w:r>
        <w:rPr>
          <w:rFonts w:hint="eastAsia" w:ascii="仿宋_GB2312" w:hAnsi="宋体" w:eastAsia="仿宋_GB2312" w:cs="Times New Roman"/>
          <w:color w:val="000000"/>
          <w:sz w:val="28"/>
          <w:szCs w:val="28"/>
        </w:rPr>
        <w:t xml:space="preserve"> </w:t>
      </w:r>
      <w:bookmarkEnd w:id="1295"/>
      <w:bookmarkEnd w:id="1296"/>
      <w:bookmarkEnd w:id="1297"/>
      <w:bookmarkEnd w:id="1298"/>
    </w:p>
    <w:p>
      <w:pPr>
        <w:widowControl/>
        <w:numPr>
          <w:ilvl w:val="0"/>
          <w:numId w:val="316"/>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保修期满后，因系统涉及技术、设备等问题而影响系统正常运行或出现招标人无法自行处理的问题，中标人必须提供及时的技术支持。</w:t>
      </w:r>
    </w:p>
    <w:p>
      <w:pPr>
        <w:widowControl/>
        <w:numPr>
          <w:ilvl w:val="0"/>
          <w:numId w:val="316"/>
        </w:numPr>
        <w:spacing w:line="600" w:lineRule="exact"/>
        <w:ind w:firstLine="560" w:firstLineChars="200"/>
        <w:jc w:val="left"/>
        <w:textAlignment w:val="baseline"/>
        <w:rPr>
          <w:rFonts w:hint="eastAsia" w:ascii="仿宋_GB2312" w:hAnsi="宋体" w:eastAsia="仿宋_GB2312" w:cs="Times New Roman"/>
          <w:color w:val="000000"/>
          <w:sz w:val="28"/>
          <w:szCs w:val="28"/>
        </w:rPr>
      </w:pPr>
      <w:bookmarkStart w:id="1299" w:name="_Toc438455682"/>
      <w:r>
        <w:rPr>
          <w:rFonts w:hint="eastAsia" w:ascii="仿宋_GB2312" w:hAnsi="宋体" w:eastAsia="仿宋_GB2312" w:cs="Times New Roman"/>
          <w:color w:val="000000"/>
          <w:sz w:val="28"/>
          <w:szCs w:val="28"/>
        </w:rPr>
        <w:t>设备维护及维修成本(保修期内、保修期</w:t>
      </w:r>
      <w:bookmarkEnd w:id="1299"/>
      <w:r>
        <w:rPr>
          <w:rFonts w:hint="eastAsia" w:ascii="仿宋_GB2312" w:hAnsi="宋体" w:eastAsia="仿宋_GB2312" w:cs="Times New Roman"/>
          <w:color w:val="000000"/>
          <w:sz w:val="28"/>
          <w:szCs w:val="28"/>
        </w:rPr>
        <w:t>外)</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07"/>
        <w:gridCol w:w="3687"/>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60" w:lineRule="exact"/>
              <w:jc w:val="center"/>
              <w:textAlignment w:val="center"/>
              <w:rPr>
                <w:rFonts w:hint="eastAsia" w:ascii="仿宋_GB2312" w:hAnsi="宋体" w:eastAsia="仿宋_GB2312" w:cs="宋体"/>
                <w:bCs/>
                <w:sz w:val="24"/>
                <w:szCs w:val="20"/>
              </w:rPr>
            </w:pPr>
            <w:r>
              <w:rPr>
                <w:rFonts w:hint="eastAsia" w:ascii="仿宋_GB2312" w:hAnsi="宋体" w:eastAsia="仿宋_GB2312" w:cs="Calibri"/>
                <w:bCs/>
                <w:sz w:val="24"/>
                <w:szCs w:val="20"/>
              </w:rPr>
              <w:t>序号</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60" w:lineRule="exact"/>
              <w:jc w:val="center"/>
              <w:textAlignment w:val="center"/>
              <w:rPr>
                <w:rFonts w:hint="eastAsia" w:ascii="仿宋_GB2312" w:hAnsi="宋体" w:eastAsia="仿宋_GB2312" w:cs="Calibri"/>
                <w:bCs/>
                <w:sz w:val="24"/>
                <w:szCs w:val="20"/>
              </w:rPr>
            </w:pPr>
            <w:r>
              <w:rPr>
                <w:rFonts w:hint="eastAsia" w:ascii="仿宋_GB2312" w:hAnsi="宋体" w:eastAsia="仿宋_GB2312" w:cs="Calibri"/>
                <w:bCs/>
                <w:sz w:val="24"/>
                <w:szCs w:val="20"/>
              </w:rPr>
              <w:t>维保阶段</w:t>
            </w:r>
          </w:p>
        </w:tc>
        <w:tc>
          <w:tcPr>
            <w:tcW w:w="368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60" w:lineRule="exact"/>
              <w:jc w:val="center"/>
              <w:textAlignment w:val="center"/>
              <w:rPr>
                <w:rFonts w:hint="eastAsia" w:ascii="仿宋_GB2312" w:hAnsi="宋体" w:eastAsia="仿宋_GB2312" w:cs="宋体"/>
                <w:bCs/>
                <w:sz w:val="24"/>
                <w:szCs w:val="20"/>
              </w:rPr>
            </w:pPr>
            <w:r>
              <w:rPr>
                <w:rFonts w:hint="eastAsia" w:ascii="仿宋_GB2312" w:hAnsi="宋体" w:eastAsia="仿宋_GB2312" w:cs="Calibri"/>
                <w:bCs/>
                <w:sz w:val="24"/>
                <w:szCs w:val="20"/>
              </w:rPr>
              <w:t>内容</w:t>
            </w:r>
          </w:p>
        </w:tc>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60" w:lineRule="exact"/>
              <w:jc w:val="center"/>
              <w:textAlignment w:val="center"/>
              <w:rPr>
                <w:rFonts w:hint="eastAsia" w:ascii="仿宋_GB2312" w:hAnsi="宋体" w:eastAsia="仿宋_GB2312" w:cs="宋体"/>
                <w:bCs/>
                <w:sz w:val="24"/>
                <w:szCs w:val="20"/>
              </w:rPr>
            </w:pPr>
            <w:r>
              <w:rPr>
                <w:rFonts w:hint="eastAsia" w:ascii="仿宋_GB2312" w:hAnsi="宋体" w:eastAsia="仿宋_GB2312" w:cs="Calibri"/>
                <w:bCs/>
                <w:sz w:val="24"/>
                <w:szCs w:val="20"/>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60" w:lineRule="exact"/>
              <w:jc w:val="center"/>
              <w:textAlignment w:val="center"/>
              <w:rPr>
                <w:rFonts w:hint="eastAsia" w:ascii="仿宋_GB2312" w:hAnsi="宋体" w:eastAsia="仿宋_GB2312" w:cs="宋体"/>
                <w:bCs/>
                <w:sz w:val="24"/>
                <w:szCs w:val="20"/>
              </w:rPr>
            </w:pPr>
            <w:r>
              <w:rPr>
                <w:rFonts w:hint="eastAsia" w:ascii="仿宋_GB2312" w:hAnsi="宋体" w:eastAsia="仿宋_GB2312" w:cs="Calibri"/>
                <w:bCs/>
                <w:sz w:val="24"/>
                <w:szCs w:val="20"/>
              </w:rPr>
              <w:t>1</w:t>
            </w:r>
          </w:p>
        </w:tc>
        <w:tc>
          <w:tcPr>
            <w:tcW w:w="707" w:type="dxa"/>
            <w:vMerge w:val="restart"/>
            <w:tcBorders>
              <w:top w:val="single" w:color="auto" w:sz="4" w:space="0"/>
              <w:left w:val="single" w:color="auto" w:sz="4" w:space="0"/>
              <w:right w:val="single" w:color="auto" w:sz="4" w:space="0"/>
            </w:tcBorders>
            <w:noWrap w:val="0"/>
            <w:vAlign w:val="center"/>
          </w:tcPr>
          <w:p>
            <w:pPr>
              <w:widowControl/>
              <w:snapToGrid w:val="0"/>
              <w:spacing w:before="60" w:beforeLines="25" w:line="660" w:lineRule="exact"/>
              <w:jc w:val="center"/>
              <w:textAlignment w:val="center"/>
              <w:rPr>
                <w:rFonts w:hint="eastAsia" w:ascii="仿宋_GB2312" w:hAnsi="宋体" w:eastAsia="仿宋_GB2312" w:cs="宋体"/>
                <w:bCs/>
                <w:sz w:val="24"/>
                <w:szCs w:val="20"/>
              </w:rPr>
            </w:pPr>
            <w:r>
              <w:rPr>
                <w:rFonts w:hint="eastAsia" w:ascii="仿宋_GB2312" w:hAnsi="宋体" w:eastAsia="仿宋_GB2312" w:cs="宋体"/>
                <w:bCs/>
                <w:sz w:val="24"/>
                <w:szCs w:val="20"/>
              </w:rPr>
              <w:t>保修期内</w:t>
            </w:r>
          </w:p>
        </w:tc>
        <w:tc>
          <w:tcPr>
            <w:tcW w:w="36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0" w:beforeLines="25" w:line="660" w:lineRule="exact"/>
              <w:textAlignment w:val="center"/>
              <w:rPr>
                <w:rFonts w:hint="eastAsia" w:ascii="仿宋_GB2312" w:hAnsi="宋体" w:eastAsia="仿宋_GB2312" w:cs="宋体"/>
                <w:bCs/>
                <w:sz w:val="24"/>
                <w:szCs w:val="20"/>
              </w:rPr>
            </w:pPr>
            <w:r>
              <w:rPr>
                <w:rFonts w:hint="eastAsia" w:ascii="仿宋_GB2312" w:hAnsi="宋体" w:eastAsia="仿宋_GB2312" w:cs="宋体"/>
                <w:bCs/>
                <w:sz w:val="24"/>
                <w:szCs w:val="20"/>
              </w:rPr>
              <w:t>由于设备本身质量问题，需要进行的维修或更换零部件</w:t>
            </w:r>
          </w:p>
        </w:tc>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0" w:beforeLines="25" w:line="660" w:lineRule="exact"/>
              <w:jc w:val="center"/>
              <w:textAlignment w:val="center"/>
              <w:rPr>
                <w:rFonts w:hint="eastAsia" w:ascii="仿宋_GB2312" w:hAnsi="宋体" w:eastAsia="仿宋_GB2312" w:cs="宋体"/>
                <w:bCs/>
                <w:sz w:val="24"/>
                <w:szCs w:val="20"/>
              </w:rPr>
            </w:pPr>
            <w:r>
              <w:rPr>
                <w:rFonts w:hint="eastAsia" w:ascii="仿宋_GB2312" w:hAnsi="宋体" w:eastAsia="仿宋_GB2312" w:cs="宋体"/>
                <w:bCs/>
                <w:sz w:val="24"/>
                <w:szCs w:val="20"/>
              </w:rPr>
              <w:t>维修材料、零件无条件更换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60" w:lineRule="exact"/>
              <w:jc w:val="center"/>
              <w:textAlignment w:val="center"/>
              <w:rPr>
                <w:rFonts w:hint="eastAsia" w:ascii="仿宋_GB2312" w:hAnsi="宋体" w:eastAsia="仿宋_GB2312" w:cs="宋体"/>
                <w:bCs/>
                <w:sz w:val="24"/>
                <w:szCs w:val="20"/>
              </w:rPr>
            </w:pPr>
          </w:p>
        </w:tc>
        <w:tc>
          <w:tcPr>
            <w:tcW w:w="707" w:type="dxa"/>
            <w:vMerge w:val="continue"/>
            <w:tcBorders>
              <w:left w:val="single" w:color="auto" w:sz="4" w:space="0"/>
              <w:right w:val="single" w:color="auto" w:sz="4" w:space="0"/>
            </w:tcBorders>
            <w:noWrap w:val="0"/>
            <w:vAlign w:val="center"/>
          </w:tcPr>
          <w:p>
            <w:pPr>
              <w:widowControl/>
              <w:spacing w:line="660" w:lineRule="exact"/>
              <w:jc w:val="left"/>
              <w:textAlignment w:val="center"/>
              <w:rPr>
                <w:rFonts w:hint="eastAsia" w:ascii="仿宋_GB2312" w:hAnsi="宋体" w:eastAsia="仿宋_GB2312" w:cs="宋体"/>
                <w:bCs/>
                <w:sz w:val="24"/>
                <w:szCs w:val="20"/>
              </w:rPr>
            </w:pPr>
          </w:p>
        </w:tc>
        <w:tc>
          <w:tcPr>
            <w:tcW w:w="36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60" w:lineRule="exact"/>
              <w:jc w:val="left"/>
              <w:textAlignment w:val="center"/>
              <w:rPr>
                <w:rFonts w:hint="eastAsia" w:ascii="仿宋_GB2312" w:hAnsi="宋体" w:eastAsia="仿宋_GB2312" w:cs="宋体"/>
                <w:bCs/>
                <w:sz w:val="24"/>
                <w:szCs w:val="20"/>
              </w:rPr>
            </w:pPr>
          </w:p>
        </w:tc>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0" w:beforeLines="25" w:line="660" w:lineRule="exact"/>
              <w:jc w:val="center"/>
              <w:textAlignment w:val="center"/>
              <w:rPr>
                <w:rFonts w:hint="eastAsia" w:ascii="仿宋_GB2312" w:hAnsi="宋体" w:eastAsia="仿宋_GB2312" w:cs="宋体"/>
                <w:bCs/>
                <w:sz w:val="24"/>
                <w:szCs w:val="20"/>
              </w:rPr>
            </w:pPr>
            <w:r>
              <w:rPr>
                <w:rFonts w:hint="eastAsia" w:ascii="仿宋_GB2312" w:hAnsi="宋体" w:eastAsia="仿宋_GB2312" w:cs="宋体"/>
                <w:bCs/>
                <w:sz w:val="24"/>
                <w:szCs w:val="20"/>
              </w:rPr>
              <w:t>人工不计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660" w:lineRule="exact"/>
              <w:jc w:val="center"/>
              <w:textAlignment w:val="center"/>
              <w:rPr>
                <w:rFonts w:hint="eastAsia" w:ascii="仿宋_GB2312" w:hAnsi="宋体" w:eastAsia="仿宋_GB2312" w:cs="宋体"/>
                <w:bCs/>
                <w:sz w:val="24"/>
                <w:szCs w:val="20"/>
              </w:rPr>
            </w:pPr>
            <w:r>
              <w:rPr>
                <w:rFonts w:hint="eastAsia" w:ascii="仿宋_GB2312" w:hAnsi="宋体" w:eastAsia="仿宋_GB2312" w:cs="宋体"/>
                <w:bCs/>
                <w:sz w:val="24"/>
                <w:szCs w:val="20"/>
              </w:rPr>
              <w:t>2</w:t>
            </w:r>
          </w:p>
        </w:tc>
        <w:tc>
          <w:tcPr>
            <w:tcW w:w="707" w:type="dxa"/>
            <w:vMerge w:val="continue"/>
            <w:tcBorders>
              <w:left w:val="single" w:color="auto" w:sz="4" w:space="0"/>
              <w:right w:val="single" w:color="auto" w:sz="4" w:space="0"/>
            </w:tcBorders>
            <w:noWrap w:val="0"/>
            <w:vAlign w:val="center"/>
          </w:tcPr>
          <w:p>
            <w:pPr>
              <w:widowControl/>
              <w:spacing w:line="660" w:lineRule="exact"/>
              <w:jc w:val="left"/>
              <w:textAlignment w:val="center"/>
              <w:rPr>
                <w:rFonts w:hint="eastAsia" w:ascii="仿宋_GB2312" w:hAnsi="宋体" w:eastAsia="仿宋_GB2312" w:cs="宋体"/>
                <w:bCs/>
                <w:sz w:val="24"/>
                <w:szCs w:val="20"/>
              </w:rPr>
            </w:pPr>
          </w:p>
        </w:tc>
        <w:tc>
          <w:tcPr>
            <w:tcW w:w="3687" w:type="dxa"/>
            <w:tcBorders>
              <w:top w:val="single" w:color="auto" w:sz="4" w:space="0"/>
              <w:left w:val="single" w:color="auto" w:sz="4" w:space="0"/>
              <w:bottom w:val="single" w:color="auto" w:sz="4" w:space="0"/>
              <w:right w:val="single" w:color="auto" w:sz="4" w:space="0"/>
            </w:tcBorders>
            <w:noWrap w:val="0"/>
            <w:vAlign w:val="center"/>
          </w:tcPr>
          <w:p>
            <w:pPr>
              <w:widowControl/>
              <w:spacing w:line="660" w:lineRule="exact"/>
              <w:jc w:val="left"/>
              <w:textAlignment w:val="center"/>
              <w:rPr>
                <w:rFonts w:hint="eastAsia" w:ascii="仿宋_GB2312" w:hAnsi="宋体" w:eastAsia="仿宋_GB2312" w:cs="宋体"/>
                <w:bCs/>
                <w:sz w:val="24"/>
                <w:szCs w:val="20"/>
              </w:rPr>
            </w:pPr>
            <w:r>
              <w:rPr>
                <w:rFonts w:hint="eastAsia" w:ascii="仿宋_GB2312" w:hAnsi="宋体" w:eastAsia="仿宋_GB2312" w:cs="宋体"/>
                <w:bCs/>
                <w:sz w:val="24"/>
                <w:szCs w:val="20"/>
              </w:rPr>
              <w:t>由于设备本身质量问题，当设备更换材料、零件等累计两次不能从根本解决同一问题的，需重新更换该设备。</w:t>
            </w:r>
          </w:p>
        </w:tc>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0" w:beforeLines="25" w:line="660" w:lineRule="exact"/>
              <w:jc w:val="center"/>
              <w:textAlignment w:val="center"/>
              <w:rPr>
                <w:rFonts w:hint="eastAsia" w:ascii="仿宋_GB2312" w:hAnsi="宋体" w:eastAsia="仿宋_GB2312" w:cs="宋体"/>
                <w:bCs/>
                <w:sz w:val="24"/>
                <w:szCs w:val="20"/>
              </w:rPr>
            </w:pPr>
            <w:r>
              <w:rPr>
                <w:rFonts w:hint="eastAsia" w:ascii="仿宋_GB2312" w:hAnsi="宋体" w:eastAsia="仿宋_GB2312" w:cs="宋体"/>
                <w:bCs/>
                <w:sz w:val="24"/>
                <w:szCs w:val="20"/>
              </w:rPr>
              <w:t>所涉费用全免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60" w:lineRule="exact"/>
              <w:jc w:val="center"/>
              <w:textAlignment w:val="center"/>
              <w:rPr>
                <w:rFonts w:hint="eastAsia" w:ascii="仿宋_GB2312" w:hAnsi="宋体" w:eastAsia="仿宋_GB2312" w:cs="宋体"/>
                <w:bCs/>
                <w:sz w:val="24"/>
                <w:szCs w:val="20"/>
              </w:rPr>
            </w:pPr>
            <w:r>
              <w:rPr>
                <w:rFonts w:hint="eastAsia" w:ascii="仿宋_GB2312" w:hAnsi="宋体" w:eastAsia="仿宋_GB2312" w:cs="Calibri"/>
                <w:bCs/>
                <w:sz w:val="24"/>
                <w:szCs w:val="20"/>
              </w:rPr>
              <w:t>3</w:t>
            </w:r>
          </w:p>
        </w:tc>
        <w:tc>
          <w:tcPr>
            <w:tcW w:w="707" w:type="dxa"/>
            <w:vMerge w:val="continue"/>
            <w:tcBorders>
              <w:left w:val="single" w:color="auto" w:sz="4" w:space="0"/>
              <w:right w:val="single" w:color="auto" w:sz="4" w:space="0"/>
            </w:tcBorders>
            <w:noWrap w:val="0"/>
            <w:vAlign w:val="center"/>
          </w:tcPr>
          <w:p>
            <w:pPr>
              <w:widowControl/>
              <w:snapToGrid w:val="0"/>
              <w:spacing w:before="60" w:beforeLines="25" w:line="660" w:lineRule="exact"/>
              <w:jc w:val="center"/>
              <w:textAlignment w:val="center"/>
              <w:rPr>
                <w:rFonts w:hint="eastAsia" w:ascii="仿宋_GB2312" w:hAnsi="宋体" w:eastAsia="仿宋_GB2312" w:cs="宋体"/>
                <w:bCs/>
                <w:sz w:val="24"/>
                <w:szCs w:val="20"/>
              </w:rPr>
            </w:pPr>
          </w:p>
        </w:tc>
        <w:tc>
          <w:tcPr>
            <w:tcW w:w="36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0" w:beforeLines="25" w:line="660" w:lineRule="exact"/>
              <w:textAlignment w:val="center"/>
              <w:rPr>
                <w:rFonts w:hint="eastAsia" w:ascii="仿宋_GB2312" w:hAnsi="宋体" w:eastAsia="仿宋_GB2312" w:cs="宋体"/>
                <w:bCs/>
                <w:sz w:val="24"/>
                <w:szCs w:val="20"/>
              </w:rPr>
            </w:pPr>
            <w:r>
              <w:rPr>
                <w:rFonts w:hint="eastAsia" w:ascii="仿宋_GB2312" w:hAnsi="宋体" w:eastAsia="仿宋_GB2312" w:cs="宋体"/>
                <w:bCs/>
                <w:sz w:val="24"/>
                <w:szCs w:val="20"/>
              </w:rPr>
              <w:t>由于招标人或自然灾害发生故障，需要进行的维修或更换零部件</w:t>
            </w:r>
          </w:p>
        </w:tc>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0" w:beforeLines="25" w:line="660" w:lineRule="exact"/>
              <w:jc w:val="center"/>
              <w:textAlignment w:val="center"/>
              <w:rPr>
                <w:rFonts w:hint="eastAsia" w:ascii="仿宋_GB2312" w:hAnsi="宋体" w:eastAsia="仿宋_GB2312" w:cs="宋体"/>
                <w:bCs/>
                <w:sz w:val="24"/>
                <w:szCs w:val="20"/>
              </w:rPr>
            </w:pPr>
            <w:r>
              <w:rPr>
                <w:rFonts w:hint="eastAsia" w:ascii="仿宋_GB2312" w:hAnsi="宋体" w:eastAsia="仿宋_GB2312" w:cs="宋体"/>
                <w:bCs/>
                <w:sz w:val="24"/>
                <w:szCs w:val="20"/>
              </w:rPr>
              <w:t>维修材料、零件按当时市场成本价格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60" w:lineRule="exact"/>
              <w:jc w:val="center"/>
              <w:textAlignment w:val="center"/>
              <w:rPr>
                <w:rFonts w:hint="eastAsia" w:ascii="仿宋_GB2312" w:hAnsi="宋体" w:eastAsia="仿宋_GB2312" w:cs="宋体"/>
                <w:bCs/>
                <w:sz w:val="24"/>
                <w:szCs w:val="20"/>
              </w:rPr>
            </w:pPr>
          </w:p>
        </w:tc>
        <w:tc>
          <w:tcPr>
            <w:tcW w:w="707" w:type="dxa"/>
            <w:vMerge w:val="continue"/>
            <w:tcBorders>
              <w:left w:val="single" w:color="auto" w:sz="4" w:space="0"/>
              <w:bottom w:val="single" w:color="auto" w:sz="4" w:space="0"/>
              <w:right w:val="single" w:color="auto" w:sz="4" w:space="0"/>
            </w:tcBorders>
            <w:noWrap w:val="0"/>
            <w:vAlign w:val="center"/>
          </w:tcPr>
          <w:p>
            <w:pPr>
              <w:widowControl/>
              <w:spacing w:line="660" w:lineRule="exact"/>
              <w:jc w:val="left"/>
              <w:textAlignment w:val="center"/>
              <w:rPr>
                <w:rFonts w:hint="eastAsia" w:ascii="仿宋_GB2312" w:hAnsi="宋体" w:eastAsia="仿宋_GB2312" w:cs="宋体"/>
                <w:bCs/>
                <w:sz w:val="24"/>
                <w:szCs w:val="20"/>
              </w:rPr>
            </w:pPr>
          </w:p>
        </w:tc>
        <w:tc>
          <w:tcPr>
            <w:tcW w:w="36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60" w:lineRule="exact"/>
              <w:jc w:val="left"/>
              <w:textAlignment w:val="center"/>
              <w:rPr>
                <w:rFonts w:hint="eastAsia" w:ascii="仿宋_GB2312" w:hAnsi="宋体" w:eastAsia="仿宋_GB2312" w:cs="宋体"/>
                <w:bCs/>
                <w:sz w:val="24"/>
                <w:szCs w:val="20"/>
              </w:rPr>
            </w:pPr>
          </w:p>
        </w:tc>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0" w:beforeLines="25" w:line="660" w:lineRule="exact"/>
              <w:jc w:val="center"/>
              <w:textAlignment w:val="center"/>
              <w:rPr>
                <w:rFonts w:hint="eastAsia" w:ascii="仿宋_GB2312" w:hAnsi="宋体" w:eastAsia="仿宋_GB2312" w:cs="宋体"/>
                <w:bCs/>
                <w:sz w:val="24"/>
                <w:szCs w:val="20"/>
              </w:rPr>
            </w:pPr>
            <w:r>
              <w:rPr>
                <w:rFonts w:hint="eastAsia" w:ascii="仿宋_GB2312" w:hAnsi="宋体" w:eastAsia="仿宋_GB2312" w:cs="宋体"/>
                <w:bCs/>
                <w:sz w:val="24"/>
                <w:szCs w:val="20"/>
              </w:rPr>
              <w:t>人工不计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60" w:lineRule="exact"/>
              <w:jc w:val="center"/>
              <w:textAlignment w:val="center"/>
              <w:rPr>
                <w:rFonts w:hint="eastAsia" w:ascii="仿宋_GB2312" w:hAnsi="宋体" w:eastAsia="仿宋_GB2312" w:cs="宋体"/>
                <w:bCs/>
                <w:sz w:val="24"/>
                <w:szCs w:val="20"/>
              </w:rPr>
            </w:pPr>
            <w:r>
              <w:rPr>
                <w:rFonts w:hint="eastAsia" w:ascii="仿宋_GB2312" w:hAnsi="宋体" w:eastAsia="仿宋_GB2312" w:cs="Calibri"/>
                <w:bCs/>
                <w:sz w:val="24"/>
                <w:szCs w:val="20"/>
              </w:rPr>
              <w:t>4</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0" w:beforeLines="25" w:line="660" w:lineRule="exact"/>
              <w:jc w:val="center"/>
              <w:textAlignment w:val="center"/>
              <w:rPr>
                <w:rFonts w:hint="eastAsia" w:ascii="仿宋_GB2312" w:hAnsi="宋体" w:eastAsia="仿宋_GB2312" w:cs="宋体"/>
                <w:bCs/>
                <w:sz w:val="24"/>
                <w:szCs w:val="20"/>
              </w:rPr>
            </w:pPr>
            <w:r>
              <w:rPr>
                <w:rFonts w:hint="eastAsia" w:ascii="仿宋_GB2312" w:hAnsi="宋体" w:eastAsia="仿宋_GB2312" w:cs="宋体"/>
                <w:bCs/>
                <w:sz w:val="24"/>
                <w:szCs w:val="20"/>
              </w:rPr>
              <w:t>保修期外</w:t>
            </w:r>
          </w:p>
        </w:tc>
        <w:tc>
          <w:tcPr>
            <w:tcW w:w="368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0" w:beforeLines="25" w:line="660" w:lineRule="exact"/>
              <w:textAlignment w:val="center"/>
              <w:rPr>
                <w:rFonts w:hint="eastAsia" w:ascii="仿宋_GB2312" w:hAnsi="宋体" w:eastAsia="仿宋_GB2312" w:cs="宋体"/>
                <w:bCs/>
                <w:sz w:val="24"/>
                <w:szCs w:val="20"/>
              </w:rPr>
            </w:pPr>
            <w:r>
              <w:rPr>
                <w:rFonts w:hint="eastAsia" w:ascii="仿宋_GB2312" w:hAnsi="宋体" w:eastAsia="仿宋_GB2312" w:cs="宋体"/>
                <w:bCs/>
                <w:sz w:val="24"/>
                <w:szCs w:val="20"/>
              </w:rPr>
              <w:t>出现设备故障，需要进行的维修或更换零部件</w:t>
            </w:r>
          </w:p>
        </w:tc>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0" w:beforeLines="25" w:line="660" w:lineRule="exact"/>
              <w:jc w:val="left"/>
              <w:textAlignment w:val="center"/>
              <w:rPr>
                <w:rFonts w:hint="eastAsia" w:ascii="仿宋_GB2312" w:hAnsi="宋体" w:eastAsia="仿宋_GB2312" w:cs="宋体"/>
                <w:bCs/>
                <w:sz w:val="24"/>
                <w:szCs w:val="20"/>
              </w:rPr>
            </w:pPr>
            <w:r>
              <w:rPr>
                <w:rFonts w:hint="eastAsia" w:ascii="仿宋_GB2312" w:hAnsi="宋体" w:eastAsia="仿宋_GB2312" w:cs="宋体"/>
                <w:bCs/>
                <w:sz w:val="24"/>
                <w:szCs w:val="20"/>
              </w:rPr>
              <w:t>维修材料、零件按当时市场成本价格，人工按当时市场成本价格</w:t>
            </w:r>
          </w:p>
        </w:tc>
      </w:tr>
    </w:tbl>
    <w:p>
      <w:pPr>
        <w:numPr>
          <w:ilvl w:val="1"/>
          <w:numId w:val="267"/>
        </w:numPr>
        <w:spacing w:before="0" w:after="0" w:line="600" w:lineRule="exact"/>
        <w:ind w:left="11" w:firstLine="283"/>
        <w:jc w:val="left"/>
        <w:outlineLvl w:val="2"/>
        <w:rPr>
          <w:rFonts w:hint="eastAsia" w:ascii="仿宋_GB2312" w:hAnsi="宋体" w:eastAsia="仿宋_GB2312" w:cs="Times New Roman"/>
          <w:b w:val="0"/>
          <w:bCs w:val="0"/>
          <w:color w:val="000000"/>
          <w:kern w:val="2"/>
          <w:sz w:val="28"/>
          <w:szCs w:val="28"/>
          <w:lang w:val="en-US" w:eastAsia="zh-CN" w:bidi="ar-SA"/>
        </w:rPr>
      </w:pPr>
      <w:bookmarkStart w:id="1300" w:name="_Toc17624942"/>
      <w:bookmarkStart w:id="1301" w:name="_Toc25651431"/>
      <w:r>
        <w:rPr>
          <w:rFonts w:hint="eastAsia" w:ascii="仿宋_GB2312" w:hAnsi="宋体" w:eastAsia="仿宋_GB2312" w:cs="Times New Roman"/>
          <w:b w:val="0"/>
          <w:bCs w:val="0"/>
          <w:color w:val="000000"/>
          <w:kern w:val="2"/>
          <w:sz w:val="28"/>
          <w:szCs w:val="28"/>
          <w:lang w:val="en-US" w:eastAsia="zh-CN" w:bidi="ar-SA"/>
        </w:rPr>
        <w:t>保修期文件要求</w:t>
      </w:r>
      <w:bookmarkEnd w:id="1300"/>
      <w:bookmarkEnd w:id="1301"/>
    </w:p>
    <w:p>
      <w:pPr>
        <w:widowControl/>
        <w:spacing w:line="660" w:lineRule="exact"/>
        <w:ind w:firstLine="560" w:firstLineChars="200"/>
        <w:textAlignment w:val="center"/>
        <w:rPr>
          <w:rFonts w:hint="eastAsia"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保修期内，中标人需提供但不限于以下文档资料：</w:t>
      </w:r>
    </w:p>
    <w:p>
      <w:pPr>
        <w:widowControl/>
        <w:numPr>
          <w:ilvl w:val="0"/>
          <w:numId w:val="31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现场工作报告：包括维护记录、故障分析和解决报告。</w:t>
      </w:r>
    </w:p>
    <w:p>
      <w:pPr>
        <w:widowControl/>
        <w:numPr>
          <w:ilvl w:val="0"/>
          <w:numId w:val="31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要求在每次报修结束后的8H内送交招标人一份维修报告，标明招标人报修时间、维修工程师到场时间、故障原因、采取的维修措施及系统恢复时间。</w:t>
      </w:r>
    </w:p>
    <w:p>
      <w:pPr>
        <w:widowControl/>
        <w:numPr>
          <w:ilvl w:val="0"/>
          <w:numId w:val="31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要求提供定期工作报告：包括按月度执行的巡检维护工作报告、总结建议以及运行状况分析文档。</w:t>
      </w:r>
    </w:p>
    <w:p>
      <w:pPr>
        <w:widowControl/>
        <w:numPr>
          <w:ilvl w:val="0"/>
          <w:numId w:val="317"/>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要求提供季度、年度工作总结报告：包括服务年度内维护总结报告和建议。</w:t>
      </w:r>
    </w:p>
    <w:p>
      <w:pPr>
        <w:widowControl/>
        <w:numPr>
          <w:ilvl w:val="0"/>
          <w:numId w:val="0"/>
        </w:numPr>
        <w:spacing w:after="180" w:line="660" w:lineRule="exact"/>
        <w:ind w:leftChars="0"/>
        <w:jc w:val="left"/>
        <w:textAlignment w:val="center"/>
        <w:outlineLvl w:val="0"/>
        <w:rPr>
          <w:rFonts w:hint="eastAsia"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lang w:eastAsia="zh-CN"/>
        </w:rPr>
        <w:t>第五部分</w:t>
      </w:r>
      <w:r>
        <w:rPr>
          <w:rFonts w:hint="eastAsia" w:ascii="仿宋_GB2312" w:hAnsi="宋体" w:eastAsia="仿宋_GB2312" w:cs="Times New Roman"/>
          <w:b/>
          <w:color w:val="000000"/>
          <w:sz w:val="28"/>
          <w:szCs w:val="28"/>
          <w:lang w:val="en-US" w:eastAsia="zh-CN"/>
        </w:rPr>
        <w:t xml:space="preserve"> </w:t>
      </w:r>
      <w:r>
        <w:rPr>
          <w:rFonts w:hint="eastAsia" w:ascii="仿宋_GB2312" w:hAnsi="宋体" w:eastAsia="仿宋_GB2312" w:cs="Times New Roman"/>
          <w:b/>
          <w:color w:val="000000"/>
          <w:sz w:val="28"/>
          <w:szCs w:val="28"/>
        </w:rPr>
        <w:t>主要材料/设备品牌要求</w:t>
      </w:r>
    </w:p>
    <w:p>
      <w:pPr>
        <w:numPr>
          <w:ilvl w:val="0"/>
          <w:numId w:val="318"/>
        </w:numPr>
        <w:spacing w:before="0" w:after="0" w:line="600" w:lineRule="exact"/>
        <w:ind w:left="2268" w:hanging="425"/>
        <w:jc w:val="left"/>
        <w:outlineLvl w:val="1"/>
        <w:rPr>
          <w:rFonts w:hint="eastAsia" w:ascii="仿宋_GB2312" w:hAnsi="宋体" w:eastAsia="仿宋_GB2312" w:cs="Times New Roman"/>
          <w:b/>
          <w:bCs w:val="0"/>
          <w:color w:val="000000"/>
          <w:kern w:val="2"/>
          <w:sz w:val="28"/>
          <w:szCs w:val="28"/>
          <w:lang w:val="en-US" w:eastAsia="zh-CN" w:bidi="ar-SA"/>
        </w:rPr>
      </w:pPr>
      <w:bookmarkStart w:id="1302" w:name="_Toc131307745"/>
      <w:bookmarkStart w:id="1303" w:name="_Toc136079662"/>
      <w:bookmarkStart w:id="1304" w:name="_Toc17624945"/>
      <w:bookmarkStart w:id="1305" w:name="_Toc25651433"/>
      <w:bookmarkStart w:id="1306" w:name="_Hlk511150249"/>
      <w:r>
        <w:rPr>
          <w:rFonts w:hint="eastAsia" w:ascii="仿宋_GB2312" w:hAnsi="宋体" w:eastAsia="仿宋_GB2312" w:cs="Times New Roman"/>
          <w:b/>
          <w:bCs w:val="0"/>
          <w:color w:val="000000"/>
          <w:kern w:val="2"/>
          <w:sz w:val="28"/>
          <w:szCs w:val="28"/>
          <w:lang w:val="en-US" w:eastAsia="zh-CN" w:bidi="ar-SA"/>
        </w:rPr>
        <w:t>一般要求</w:t>
      </w:r>
      <w:bookmarkEnd w:id="1302"/>
      <w:bookmarkEnd w:id="1303"/>
      <w:bookmarkEnd w:id="1304"/>
      <w:bookmarkEnd w:id="1305"/>
    </w:p>
    <w:bookmarkEnd w:id="1306"/>
    <w:p>
      <w:pPr>
        <w:widowControl/>
        <w:numPr>
          <w:ilvl w:val="0"/>
          <w:numId w:val="319"/>
        </w:numPr>
        <w:spacing w:line="600" w:lineRule="exact"/>
        <w:ind w:firstLine="562" w:firstLineChars="200"/>
        <w:jc w:val="left"/>
        <w:textAlignment w:val="baseline"/>
        <w:rPr>
          <w:rFonts w:hint="eastAsia" w:ascii="仿宋_GB2312" w:hAnsi="宋体" w:eastAsia="仿宋_GB2312" w:cs="Times New Roman"/>
          <w:b/>
          <w:bCs/>
          <w:color w:val="000000"/>
          <w:sz w:val="28"/>
          <w:szCs w:val="28"/>
        </w:rPr>
      </w:pPr>
      <w:r>
        <w:rPr>
          <w:rFonts w:hint="eastAsia" w:ascii="仿宋_GB2312" w:hAnsi="宋体" w:eastAsia="仿宋_GB2312" w:cs="Times New Roman"/>
          <w:b/>
          <w:bCs/>
          <w:color w:val="000000"/>
          <w:sz w:val="28"/>
          <w:szCs w:val="28"/>
        </w:rPr>
        <w:t>在符合并满足技术需求书或招标需求书的前提下，投标人投标阶段需按品牌范围表中“主要产品”提供：厂商授权函或厂商授权给代理商的授权函、质保承诺函、售后承诺函，对于“次要产品”可在中标后提供。除特殊说明，中标后资料呈报申请阶段还应提供原厂或厂商授权代理商出具的原产地证明(如为进口产品，需报关单，以上要求需盖章原件）；以及各设备材料的检测，检验报告，应用业绩证明材料，认证证书等。其他尚未说明或可能遗漏的材料及设备所需的品牌，且日后必须应用于本项目时，要求所选品牌必须遵循以下原则：按照国产优质或招标人提供的范围内选择，且应用案例网络和市场均可以调研取证。</w:t>
      </w:r>
    </w:p>
    <w:p>
      <w:pPr>
        <w:widowControl/>
        <w:numPr>
          <w:ilvl w:val="0"/>
          <w:numId w:val="31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投标人在投标文件中所有设备材料需参照招标人提供的品牌范围表和技术要求选择。招标人有权对有关产品进行调整，中标人在收到招标人指示后根据技术规格要求选择适当的产品，并对其技术性能负完全责任。若招标人指定品牌在本文件品牌范围表之内，则中标人将不能以此品牌指定为由不予变更；若招标人指定品牌不在本文件品牌范围表内，则将视具体状况予以供应价格调整，原则上品牌调整不会涉及安装价格调整。</w:t>
      </w:r>
    </w:p>
    <w:p>
      <w:pPr>
        <w:widowControl/>
        <w:numPr>
          <w:ilvl w:val="0"/>
          <w:numId w:val="31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中标人应特别注意，所有OEM和ODM的产品均不被接受。</w:t>
      </w:r>
    </w:p>
    <w:p>
      <w:pPr>
        <w:widowControl/>
        <w:numPr>
          <w:ilvl w:val="0"/>
          <w:numId w:val="31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所有设备及材料等必须是满足本技术需求及有关国家或地区标准，并满足本项目所规定的技术、参数等要求。</w:t>
      </w:r>
    </w:p>
    <w:p>
      <w:pPr>
        <w:widowControl/>
        <w:numPr>
          <w:ilvl w:val="0"/>
          <w:numId w:val="319"/>
        </w:numPr>
        <w:spacing w:line="600" w:lineRule="exact"/>
        <w:ind w:firstLine="560" w:firstLineChars="200"/>
        <w:jc w:val="left"/>
        <w:textAlignment w:val="baseline"/>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在中标通知书发出后，中标人应按本文件提交送审设备及材料。中标人需注意，被初步评审为可接受品牌设备仍须提交详细的送审文件，包括型号、计算、满足规范及其他相关要求、符合本项目系统要求等。若最终在品牌范围表中未能选出符合本项目要求的设备，中标人需从招标人认可的品牌中选择并重新提交送审，且不能对造价、工期等做出变动。</w:t>
      </w:r>
    </w:p>
    <w:p>
      <w:pPr>
        <w:numPr>
          <w:ilvl w:val="0"/>
          <w:numId w:val="318"/>
        </w:numPr>
        <w:spacing w:before="0" w:after="0" w:line="600" w:lineRule="exact"/>
        <w:ind w:left="2268" w:hanging="425"/>
        <w:jc w:val="left"/>
        <w:outlineLvl w:val="1"/>
        <w:rPr>
          <w:rFonts w:hint="eastAsia" w:ascii="仿宋_GB2312" w:hAnsi="宋体" w:eastAsia="仿宋_GB2312" w:cs="Times New Roman"/>
          <w:b/>
          <w:bCs w:val="0"/>
          <w:color w:val="000000"/>
          <w:kern w:val="2"/>
          <w:sz w:val="28"/>
          <w:szCs w:val="28"/>
          <w:lang w:val="en-US" w:eastAsia="zh-CN" w:bidi="ar-SA"/>
        </w:rPr>
      </w:pPr>
      <w:bookmarkStart w:id="1307" w:name="_Toc25651434"/>
      <w:r>
        <w:rPr>
          <w:rFonts w:hint="eastAsia" w:ascii="仿宋_GB2312" w:hAnsi="宋体" w:eastAsia="仿宋_GB2312" w:cs="Times New Roman"/>
          <w:b/>
          <w:bCs w:val="0"/>
          <w:color w:val="000000"/>
          <w:kern w:val="2"/>
          <w:sz w:val="28"/>
          <w:szCs w:val="28"/>
          <w:lang w:val="en-US" w:eastAsia="zh-CN" w:bidi="ar-SA"/>
        </w:rPr>
        <w:t>工程主要材料/设备品牌范围列表</w:t>
      </w:r>
      <w:bookmarkEnd w:id="1307"/>
    </w:p>
    <w:p>
      <w:pPr>
        <w:widowControl/>
        <w:jc w:val="center"/>
        <w:rPr>
          <w:rFonts w:ascii="仿宋_GB2312" w:hAnsi="宋体" w:eastAsia="仿宋_GB2312" w:cs="仿宋_GB2312"/>
          <w:b/>
          <w:color w:val="000000"/>
          <w:sz w:val="28"/>
          <w:szCs w:val="28"/>
          <w:shd w:val="clear" w:color="auto" w:fill="FFFFFF"/>
        </w:rPr>
      </w:pPr>
      <w:r>
        <w:rPr>
          <w:rFonts w:ascii="仿宋_GB2312" w:hAnsi="宋体" w:eastAsia="仿宋_GB2312" w:cs="仿宋_GB2312"/>
          <w:b/>
          <w:color w:val="000000"/>
          <w:sz w:val="28"/>
          <w:szCs w:val="28"/>
          <w:shd w:val="clear" w:color="auto" w:fill="FFFFFF"/>
        </w:rPr>
        <w:t>工程主要设备/材料品牌范围表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118"/>
        <w:gridCol w:w="2876"/>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34" w:type="dxa"/>
            <w:noWrap w:val="0"/>
            <w:vAlign w:val="center"/>
          </w:tcPr>
          <w:p>
            <w:pPr>
              <w:widowControl/>
              <w:jc w:val="center"/>
              <w:rPr>
                <w:rFonts w:hint="eastAsia" w:ascii="Calibri" w:hAnsi="Calibri" w:eastAsia="仿宋" w:cs="Times New Roman"/>
                <w:b/>
                <w:bCs/>
                <w:color w:val="auto"/>
                <w:sz w:val="24"/>
                <w:szCs w:val="20"/>
              </w:rPr>
            </w:pPr>
            <w:r>
              <w:rPr>
                <w:rFonts w:hint="eastAsia" w:ascii="Calibri" w:hAnsi="Calibri" w:eastAsia="仿宋" w:cs="Times New Roman"/>
                <w:b/>
                <w:bCs/>
                <w:color w:val="auto"/>
                <w:sz w:val="24"/>
                <w:szCs w:val="20"/>
              </w:rPr>
              <w:t>序号</w:t>
            </w:r>
          </w:p>
        </w:tc>
        <w:tc>
          <w:tcPr>
            <w:tcW w:w="3118" w:type="dxa"/>
            <w:noWrap w:val="0"/>
            <w:vAlign w:val="center"/>
          </w:tcPr>
          <w:p>
            <w:pPr>
              <w:widowControl/>
              <w:jc w:val="center"/>
              <w:rPr>
                <w:rFonts w:ascii="Calibri" w:hAnsi="Calibri" w:eastAsia="仿宋" w:cs="Times New Roman"/>
                <w:b/>
                <w:bCs/>
                <w:color w:val="auto"/>
                <w:sz w:val="24"/>
                <w:szCs w:val="20"/>
              </w:rPr>
            </w:pPr>
            <w:r>
              <w:rPr>
                <w:rFonts w:hint="eastAsia" w:ascii="Calibri" w:hAnsi="Calibri" w:eastAsia="仿宋" w:cs="Times New Roman"/>
                <w:b/>
                <w:bCs/>
                <w:color w:val="auto"/>
                <w:sz w:val="24"/>
                <w:szCs w:val="20"/>
              </w:rPr>
              <w:t>设备及材料名称</w:t>
            </w:r>
          </w:p>
        </w:tc>
        <w:tc>
          <w:tcPr>
            <w:tcW w:w="2876" w:type="dxa"/>
            <w:noWrap w:val="0"/>
            <w:vAlign w:val="center"/>
          </w:tcPr>
          <w:p>
            <w:pPr>
              <w:widowControl/>
              <w:jc w:val="center"/>
              <w:rPr>
                <w:rFonts w:hint="eastAsia" w:ascii="Calibri" w:hAnsi="Calibri" w:eastAsia="仿宋" w:cs="Times New Roman"/>
                <w:b/>
                <w:bCs/>
                <w:color w:val="auto"/>
                <w:sz w:val="24"/>
                <w:szCs w:val="20"/>
              </w:rPr>
            </w:pPr>
            <w:r>
              <w:rPr>
                <w:rFonts w:hint="eastAsia" w:ascii="Calibri" w:hAnsi="Calibri" w:eastAsia="仿宋" w:cs="Times New Roman"/>
                <w:b/>
                <w:bCs/>
                <w:color w:val="auto"/>
                <w:sz w:val="24"/>
                <w:szCs w:val="20"/>
                <w:lang w:eastAsia="zh-CN"/>
              </w:rPr>
              <w:t>推荐</w:t>
            </w:r>
            <w:r>
              <w:rPr>
                <w:rFonts w:hint="eastAsia" w:ascii="Calibri" w:hAnsi="Calibri" w:eastAsia="仿宋" w:cs="Times New Roman"/>
                <w:b/>
                <w:bCs/>
                <w:color w:val="auto"/>
                <w:sz w:val="24"/>
                <w:szCs w:val="20"/>
              </w:rPr>
              <w:t>品牌</w:t>
            </w:r>
          </w:p>
        </w:tc>
        <w:tc>
          <w:tcPr>
            <w:tcW w:w="1994" w:type="dxa"/>
            <w:noWrap w:val="0"/>
            <w:vAlign w:val="center"/>
          </w:tcPr>
          <w:p>
            <w:pPr>
              <w:widowControl/>
              <w:jc w:val="center"/>
              <w:rPr>
                <w:rFonts w:hint="eastAsia" w:ascii="Calibri" w:hAnsi="Calibri" w:eastAsia="仿宋" w:cs="Times New Roman"/>
                <w:b/>
                <w:bCs/>
                <w:color w:val="auto"/>
                <w:sz w:val="24"/>
                <w:szCs w:val="20"/>
              </w:rPr>
            </w:pPr>
            <w:r>
              <w:rPr>
                <w:rFonts w:hint="eastAsia" w:ascii="Calibri" w:hAnsi="Calibri" w:eastAsia="仿宋" w:cs="Times New Roman"/>
                <w:b/>
                <w:bCs/>
                <w:color w:val="auto"/>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center"/>
          </w:tcPr>
          <w:p>
            <w:pPr>
              <w:widowControl/>
              <w:jc w:val="left"/>
              <w:rPr>
                <w:rFonts w:ascii="仿宋_GB2312" w:hAnsi="宋体" w:eastAsia="仿宋_GB2312" w:cs="仿宋_GB2312"/>
                <w:b/>
                <w:color w:val="auto"/>
                <w:sz w:val="24"/>
                <w:szCs w:val="20"/>
                <w:shd w:val="clear" w:color="auto" w:fill="FFFFFF"/>
              </w:rPr>
            </w:pPr>
            <w:r>
              <w:rPr>
                <w:rFonts w:hint="eastAsia" w:ascii="仿宋_GB2312" w:hAnsi="宋体" w:eastAsia="仿宋_GB2312" w:cs="仿宋_GB2312"/>
                <w:b/>
                <w:color w:val="auto"/>
                <w:sz w:val="24"/>
                <w:szCs w:val="20"/>
                <w:shd w:val="clear" w:color="auto" w:fill="FFFFFF"/>
              </w:rPr>
              <w:t>装饰装修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1</w:t>
            </w:r>
          </w:p>
        </w:tc>
        <w:tc>
          <w:tcPr>
            <w:tcW w:w="3118" w:type="dxa"/>
            <w:noWrap w:val="0"/>
            <w:vAlign w:val="center"/>
          </w:tcPr>
          <w:p>
            <w:pPr>
              <w:widowControl/>
              <w:jc w:val="left"/>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防静电地板（含支架及附件）</w:t>
            </w:r>
          </w:p>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原装进口</w:t>
            </w:r>
          </w:p>
        </w:tc>
        <w:tc>
          <w:tcPr>
            <w:tcW w:w="2876" w:type="dxa"/>
            <w:noWrap w:val="0"/>
            <w:vAlign w:val="center"/>
          </w:tcPr>
          <w:p>
            <w:pPr>
              <w:pStyle w:val="9"/>
              <w:rPr>
                <w:rFonts w:hint="default" w:eastAsia="宋体"/>
                <w:color w:val="auto"/>
                <w:lang w:val="en-US" w:eastAsia="zh-CN"/>
              </w:rPr>
            </w:pPr>
            <w:r>
              <w:rPr>
                <w:rFonts w:hint="eastAsia" w:ascii="仿宋_GB2312" w:hAnsi="宋体" w:eastAsia="仿宋_GB2312" w:cs="仿宋_GB2312"/>
                <w:bCs/>
                <w:color w:val="auto"/>
                <w:sz w:val="24"/>
                <w:shd w:val="clear" w:color="auto" w:fill="FFFFFF"/>
              </w:rPr>
              <w:t>伟士、林德纳</w:t>
            </w:r>
            <w:r>
              <w:rPr>
                <w:rFonts w:hint="eastAsia" w:ascii="仿宋_GB2312" w:hAnsi="宋体" w:eastAsia="仿宋_GB2312" w:cs="仿宋_GB2312"/>
                <w:bCs/>
                <w:color w:val="auto"/>
                <w:sz w:val="24"/>
                <w:shd w:val="clear" w:color="auto" w:fill="FFFFFF"/>
                <w:lang w:eastAsia="zh-CN"/>
              </w:rPr>
              <w:t>、向利</w:t>
            </w:r>
          </w:p>
          <w:p>
            <w:pPr>
              <w:jc w:val="left"/>
              <w:rPr>
                <w:rFonts w:hint="eastAsia" w:ascii="仿宋_GB2312" w:hAnsi="宋体" w:eastAsia="仿宋_GB2312" w:cs="仿宋_GB2312"/>
                <w:bCs/>
                <w:color w:val="auto"/>
                <w:sz w:val="24"/>
                <w:szCs w:val="20"/>
                <w:shd w:val="clear" w:color="auto" w:fill="FFFFFF"/>
                <w:lang w:val="en-US" w:eastAsia="zh-CN"/>
              </w:rPr>
            </w:pP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2</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可调节通风地板</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与硫酸钙活动地板原厂配套</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3</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网络地板</w:t>
            </w:r>
          </w:p>
        </w:tc>
        <w:tc>
          <w:tcPr>
            <w:tcW w:w="2876" w:type="dxa"/>
            <w:noWrap w:val="0"/>
            <w:vAlign w:val="bottom"/>
          </w:tcPr>
          <w:p>
            <w:pPr>
              <w:pStyle w:val="9"/>
              <w:rPr>
                <w:rFonts w:hint="eastAsia" w:ascii="仿宋_GB2312" w:hAnsi="宋体" w:eastAsia="仿宋_GB2312" w:cs="仿宋_GB2312"/>
                <w:bCs/>
                <w:color w:val="auto"/>
                <w:kern w:val="2"/>
                <w:sz w:val="24"/>
                <w:shd w:val="clear" w:color="auto" w:fill="FFFFFF"/>
                <w:lang w:val="en-US" w:eastAsia="zh-CN" w:bidi="ar-SA"/>
              </w:rPr>
            </w:pPr>
            <w:r>
              <w:rPr>
                <w:rFonts w:hint="eastAsia" w:ascii="仿宋_GB2312" w:hAnsi="宋体" w:eastAsia="仿宋_GB2312" w:cs="仿宋_GB2312"/>
                <w:bCs/>
                <w:color w:val="auto"/>
                <w:sz w:val="24"/>
                <w:shd w:val="clear" w:color="auto" w:fill="FFFFFF"/>
              </w:rPr>
              <w:t>伟士、美露、林德纳</w:t>
            </w:r>
            <w:r>
              <w:rPr>
                <w:rFonts w:hint="eastAsia" w:ascii="仿宋_GB2312" w:hAnsi="宋体" w:eastAsia="仿宋_GB2312" w:cs="仿宋_GB2312"/>
                <w:bCs/>
                <w:color w:val="auto"/>
                <w:sz w:val="24"/>
                <w:shd w:val="clear" w:color="auto" w:fill="FFFFFF"/>
                <w:lang w:eastAsia="zh-CN"/>
              </w:rPr>
              <w:t>、向利</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4</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彩钢板</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格满林、林德纳、捷林格</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5</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钢质防火门</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国产优质</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6</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环氧防静电树脂自流平</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阳森、秀珀、华燕</w:t>
            </w:r>
          </w:p>
        </w:tc>
        <w:tc>
          <w:tcPr>
            <w:tcW w:w="1994" w:type="dxa"/>
            <w:noWrap w:val="0"/>
            <w:vAlign w:val="center"/>
          </w:tcPr>
          <w:p>
            <w:pPr>
              <w:widowControl/>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7</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防尘漆及防水涂料</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东方雨虹、德高、西卡</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11</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轻钢龙骨、硅酸钙板、防火石膏板类</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龙牌、可耐福、拉法基</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12</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成品防火玻璃隔断与防火玻璃门（满足招标人当地规范要求）</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金刚、</w:t>
            </w:r>
            <w:r>
              <w:rPr>
                <w:rFonts w:ascii="仿宋_GB2312" w:hAnsi="宋体" w:eastAsia="仿宋_GB2312" w:cs="仿宋_GB2312"/>
                <w:bCs/>
                <w:color w:val="auto"/>
                <w:sz w:val="24"/>
                <w:shd w:val="clear" w:color="auto" w:fill="FFFFFF"/>
              </w:rPr>
              <w:t>PDA</w:t>
            </w:r>
            <w:r>
              <w:rPr>
                <w:rFonts w:hint="eastAsia" w:ascii="仿宋_GB2312" w:hAnsi="宋体" w:eastAsia="仿宋_GB2312" w:cs="仿宋_GB2312"/>
                <w:bCs/>
                <w:color w:val="auto"/>
                <w:sz w:val="24"/>
                <w:shd w:val="clear" w:color="auto" w:fill="FFFFFF"/>
              </w:rPr>
              <w:t>、金诺格、林德纳</w:t>
            </w:r>
          </w:p>
        </w:tc>
        <w:tc>
          <w:tcPr>
            <w:tcW w:w="1994" w:type="dxa"/>
            <w:noWrap w:val="0"/>
            <w:vAlign w:val="center"/>
          </w:tcPr>
          <w:p>
            <w:pPr>
              <w:widowControl/>
              <w:jc w:val="center"/>
              <w:rPr>
                <w:rFonts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13</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监控操作台</w:t>
            </w:r>
          </w:p>
        </w:tc>
        <w:tc>
          <w:tcPr>
            <w:tcW w:w="2876" w:type="dxa"/>
            <w:noWrap w:val="0"/>
            <w:vAlign w:val="bottom"/>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宜闻斯、铁力山、博信</w:t>
            </w:r>
            <w:r>
              <w:rPr>
                <w:rFonts w:hint="eastAsia" w:ascii="仿宋_GB2312" w:hAnsi="宋体" w:eastAsia="仿宋_GB2312" w:cs="仿宋_GB2312"/>
                <w:bCs/>
                <w:color w:val="auto"/>
                <w:sz w:val="24"/>
                <w:shd w:val="clear" w:color="auto" w:fill="FFFFFF"/>
                <w:lang w:eastAsia="zh-CN"/>
              </w:rPr>
              <w:t>，昭彰</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14</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地砖</w:t>
            </w:r>
          </w:p>
        </w:tc>
        <w:tc>
          <w:tcPr>
            <w:tcW w:w="2876" w:type="dxa"/>
            <w:noWrap w:val="0"/>
            <w:vAlign w:val="bottom"/>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斯米克、诺贝尔、东鹏</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center"/>
          </w:tcPr>
          <w:p>
            <w:pPr>
              <w:widowControl/>
              <w:jc w:val="left"/>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
                <w:color w:val="auto"/>
                <w:sz w:val="24"/>
                <w:szCs w:val="20"/>
                <w:shd w:val="clear" w:color="auto" w:fill="FFFFFF"/>
              </w:rPr>
              <w:t>电气系统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1</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U</w:t>
            </w:r>
            <w:r>
              <w:rPr>
                <w:rFonts w:ascii="仿宋_GB2312" w:hAnsi="宋体" w:eastAsia="仿宋_GB2312" w:cs="仿宋_GB2312"/>
                <w:bCs/>
                <w:color w:val="auto"/>
                <w:sz w:val="24"/>
                <w:szCs w:val="20"/>
                <w:shd w:val="clear" w:color="auto" w:fill="FFFFFF"/>
              </w:rPr>
              <w:t>PS</w:t>
            </w:r>
          </w:p>
        </w:tc>
        <w:tc>
          <w:tcPr>
            <w:tcW w:w="2876" w:type="dxa"/>
            <w:noWrap w:val="0"/>
            <w:vAlign w:val="center"/>
          </w:tcPr>
          <w:p>
            <w:pPr>
              <w:pStyle w:val="9"/>
              <w:rPr>
                <w:rFonts w:hint="eastAsia" w:ascii="仿宋" w:hAnsi="仿宋" w:eastAsia="仿宋" w:cs="仿宋"/>
                <w:bCs/>
                <w:color w:val="auto"/>
                <w:kern w:val="2"/>
                <w:sz w:val="24"/>
                <w:szCs w:val="24"/>
                <w:shd w:val="clear" w:color="auto" w:fill="FFFFFF"/>
                <w:lang w:val="en-US" w:eastAsia="zh-CN" w:bidi="ar-SA"/>
              </w:rPr>
            </w:pPr>
            <w:r>
              <w:rPr>
                <w:rFonts w:hint="eastAsia" w:ascii="仿宋" w:hAnsi="仿宋" w:eastAsia="仿宋" w:cs="仿宋"/>
                <w:color w:val="auto"/>
                <w:sz w:val="24"/>
                <w:szCs w:val="24"/>
                <w:lang w:eastAsia="zh-CN"/>
              </w:rPr>
              <w:t>维谛、</w:t>
            </w:r>
            <w:r>
              <w:rPr>
                <w:rFonts w:hint="eastAsia" w:ascii="仿宋" w:hAnsi="仿宋" w:eastAsia="仿宋" w:cs="仿宋"/>
                <w:color w:val="auto"/>
                <w:sz w:val="24"/>
                <w:szCs w:val="24"/>
                <w:lang w:val="en-US" w:eastAsia="zh-CN"/>
              </w:rPr>
              <w:t>GUTOR、ABB</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lang w:eastAsia="zh-CN"/>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2</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蓄电池</w:t>
            </w:r>
          </w:p>
        </w:tc>
        <w:tc>
          <w:tcPr>
            <w:tcW w:w="2876" w:type="dxa"/>
            <w:noWrap w:val="0"/>
            <w:vAlign w:val="center"/>
          </w:tcPr>
          <w:p>
            <w:pPr>
              <w:pStyle w:val="9"/>
              <w:rPr>
                <w:rFonts w:hint="eastAsia" w:ascii="仿宋" w:hAnsi="仿宋" w:eastAsia="仿宋" w:cs="仿宋"/>
                <w:bCs/>
                <w:color w:val="auto"/>
                <w:kern w:val="2"/>
                <w:sz w:val="24"/>
                <w:szCs w:val="24"/>
                <w:shd w:val="clear" w:color="auto" w:fill="FFFFFF"/>
                <w:lang w:val="en-US" w:eastAsia="zh-CN" w:bidi="ar-SA"/>
              </w:rPr>
            </w:pPr>
            <w:r>
              <w:rPr>
                <w:rFonts w:hint="eastAsia" w:ascii="仿宋" w:hAnsi="仿宋" w:eastAsia="仿宋" w:cs="仿宋"/>
                <w:color w:val="auto"/>
                <w:sz w:val="24"/>
                <w:szCs w:val="24"/>
                <w:lang w:eastAsia="zh-CN"/>
              </w:rPr>
              <w:t>沈阳松下、汤浅、阳光</w:t>
            </w:r>
          </w:p>
        </w:tc>
        <w:tc>
          <w:tcPr>
            <w:tcW w:w="1994" w:type="dxa"/>
            <w:noWrap w:val="0"/>
            <w:vAlign w:val="center"/>
          </w:tcPr>
          <w:p>
            <w:pPr>
              <w:widowControl/>
              <w:jc w:val="center"/>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3</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低压配电柜（原厂授权柜）</w:t>
            </w:r>
          </w:p>
        </w:tc>
        <w:tc>
          <w:tcPr>
            <w:tcW w:w="2876" w:type="dxa"/>
            <w:noWrap w:val="0"/>
            <w:vAlign w:val="center"/>
          </w:tcPr>
          <w:p>
            <w:pPr>
              <w:jc w:val="left"/>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施耐德、西门子</w:t>
            </w:r>
            <w:r>
              <w:rPr>
                <w:rFonts w:hint="eastAsia" w:ascii="仿宋" w:hAnsi="仿宋" w:eastAsia="仿宋" w:cs="仿宋"/>
                <w:bCs/>
                <w:color w:val="auto"/>
                <w:sz w:val="24"/>
                <w:szCs w:val="24"/>
                <w:shd w:val="clear" w:color="auto" w:fill="FFFFFF"/>
                <w:lang w:eastAsia="zh-CN"/>
              </w:rPr>
              <w:t>、丰兰</w:t>
            </w:r>
          </w:p>
        </w:tc>
        <w:tc>
          <w:tcPr>
            <w:tcW w:w="1994" w:type="dxa"/>
            <w:noWrap w:val="0"/>
            <w:vAlign w:val="center"/>
          </w:tcPr>
          <w:p>
            <w:pPr>
              <w:widowControl/>
              <w:jc w:val="center"/>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4</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低压配电箱（授权柜）</w:t>
            </w:r>
          </w:p>
        </w:tc>
        <w:tc>
          <w:tcPr>
            <w:tcW w:w="2876" w:type="dxa"/>
            <w:noWrap w:val="0"/>
            <w:vAlign w:val="center"/>
          </w:tcPr>
          <w:p>
            <w:pPr>
              <w:jc w:val="left"/>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施耐德、西门子、</w:t>
            </w:r>
            <w:r>
              <w:rPr>
                <w:rFonts w:hint="eastAsia" w:ascii="仿宋" w:hAnsi="仿宋" w:eastAsia="仿宋" w:cs="仿宋"/>
                <w:bCs/>
                <w:color w:val="auto"/>
                <w:sz w:val="24"/>
                <w:szCs w:val="24"/>
                <w:shd w:val="clear" w:color="auto" w:fill="FFFFFF"/>
                <w:lang w:eastAsia="zh-CN"/>
              </w:rPr>
              <w:t>丰兰</w:t>
            </w:r>
          </w:p>
        </w:tc>
        <w:tc>
          <w:tcPr>
            <w:tcW w:w="1994" w:type="dxa"/>
            <w:noWrap w:val="0"/>
            <w:vAlign w:val="center"/>
          </w:tcPr>
          <w:p>
            <w:pPr>
              <w:widowControl/>
              <w:jc w:val="center"/>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kern w:val="2"/>
                <w:sz w:val="24"/>
                <w:szCs w:val="24"/>
                <w:shd w:val="clear" w:color="auto" w:fill="FFFFFF"/>
                <w:lang w:val="en-US" w:eastAsia="zh-CN" w:bidi="ar-SA"/>
              </w:rPr>
            </w:pPr>
            <w:r>
              <w:rPr>
                <w:rFonts w:hint="eastAsia" w:ascii="仿宋_GB2312" w:hAnsi="宋体" w:eastAsia="仿宋_GB2312" w:cs="仿宋_GB2312"/>
                <w:bCs/>
                <w:color w:val="auto"/>
                <w:sz w:val="24"/>
                <w:szCs w:val="20"/>
                <w:shd w:val="clear" w:color="auto" w:fill="FFFFFF"/>
              </w:rPr>
              <w:t>5</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lang w:eastAsia="zh-CN"/>
              </w:rPr>
            </w:pPr>
            <w:r>
              <w:rPr>
                <w:rFonts w:hint="eastAsia" w:ascii="仿宋_GB2312" w:hAnsi="宋体" w:eastAsia="仿宋_GB2312" w:cs="仿宋_GB2312"/>
                <w:bCs/>
                <w:color w:val="auto"/>
                <w:sz w:val="24"/>
                <w:szCs w:val="20"/>
                <w:shd w:val="clear" w:color="auto" w:fill="FFFFFF"/>
                <w:lang w:eastAsia="zh-CN"/>
              </w:rPr>
              <w:t>空开、断路器、防雷器</w:t>
            </w:r>
          </w:p>
        </w:tc>
        <w:tc>
          <w:tcPr>
            <w:tcW w:w="2876" w:type="dxa"/>
            <w:noWrap w:val="0"/>
            <w:vAlign w:val="center"/>
          </w:tcPr>
          <w:p>
            <w:pPr>
              <w:jc w:val="left"/>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施耐德、西门子、ABB</w:t>
            </w:r>
          </w:p>
        </w:tc>
        <w:tc>
          <w:tcPr>
            <w:tcW w:w="1994" w:type="dxa"/>
            <w:noWrap w:val="0"/>
            <w:vAlign w:val="center"/>
          </w:tcPr>
          <w:p>
            <w:pPr>
              <w:widowControl/>
              <w:jc w:val="center"/>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ascii="仿宋_GB2312" w:hAnsi="宋体" w:eastAsia="仿宋_GB2312" w:cs="仿宋_GB2312"/>
                <w:bCs/>
                <w:color w:val="auto"/>
                <w:kern w:val="2"/>
                <w:sz w:val="24"/>
                <w:szCs w:val="24"/>
                <w:shd w:val="clear" w:color="auto" w:fill="FFFFFF"/>
                <w:lang w:val="en-US" w:eastAsia="zh-CN" w:bidi="ar-SA"/>
              </w:rPr>
            </w:pPr>
            <w:r>
              <w:rPr>
                <w:rFonts w:hint="eastAsia" w:ascii="仿宋_GB2312" w:hAnsi="宋体" w:eastAsia="仿宋_GB2312" w:cs="仿宋_GB2312"/>
                <w:bCs/>
                <w:color w:val="auto"/>
                <w:sz w:val="24"/>
                <w:szCs w:val="20"/>
                <w:shd w:val="clear" w:color="auto" w:fill="FFFFFF"/>
              </w:rPr>
              <w:t>6</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ATS</w:t>
            </w:r>
          </w:p>
        </w:tc>
        <w:tc>
          <w:tcPr>
            <w:tcW w:w="2876" w:type="dxa"/>
            <w:noWrap w:val="0"/>
            <w:vAlign w:val="center"/>
          </w:tcPr>
          <w:p>
            <w:pPr>
              <w:jc w:val="left"/>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ASCO、GE、ABB、施耐德</w:t>
            </w:r>
          </w:p>
        </w:tc>
        <w:tc>
          <w:tcPr>
            <w:tcW w:w="1994" w:type="dxa"/>
            <w:noWrap w:val="0"/>
            <w:vAlign w:val="center"/>
          </w:tcPr>
          <w:p>
            <w:pPr>
              <w:widowControl/>
              <w:jc w:val="center"/>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ascii="仿宋_GB2312" w:hAnsi="宋体" w:eastAsia="仿宋_GB2312" w:cs="仿宋_GB2312"/>
                <w:bCs/>
                <w:color w:val="auto"/>
                <w:kern w:val="2"/>
                <w:sz w:val="24"/>
                <w:szCs w:val="24"/>
                <w:shd w:val="clear" w:color="auto" w:fill="FFFFFF"/>
                <w:lang w:val="en-US" w:eastAsia="zh-CN" w:bidi="ar-SA"/>
              </w:rPr>
            </w:pPr>
            <w:r>
              <w:rPr>
                <w:rFonts w:hint="eastAsia" w:ascii="仿宋_GB2312" w:hAnsi="宋体" w:eastAsia="仿宋_GB2312" w:cs="仿宋_GB2312"/>
                <w:bCs/>
                <w:color w:val="auto"/>
                <w:sz w:val="24"/>
                <w:szCs w:val="20"/>
                <w:shd w:val="clear" w:color="auto" w:fill="FFFFFF"/>
              </w:rPr>
              <w:t>7</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配电箱</w:t>
            </w:r>
          </w:p>
        </w:tc>
        <w:tc>
          <w:tcPr>
            <w:tcW w:w="2876" w:type="dxa"/>
            <w:noWrap w:val="0"/>
            <w:vAlign w:val="center"/>
          </w:tcPr>
          <w:p>
            <w:pPr>
              <w:jc w:val="left"/>
              <w:rPr>
                <w:rFonts w:hint="eastAsia" w:ascii="仿宋" w:hAnsi="仿宋" w:eastAsia="仿宋" w:cs="仿宋"/>
                <w:bCs/>
                <w:color w:val="auto"/>
                <w:sz w:val="24"/>
                <w:szCs w:val="24"/>
                <w:shd w:val="clear" w:color="auto" w:fill="FFFFFF"/>
                <w:lang w:eastAsia="zh-CN"/>
              </w:rPr>
            </w:pPr>
            <w:r>
              <w:rPr>
                <w:rFonts w:hint="eastAsia" w:ascii="仿宋" w:hAnsi="仿宋" w:eastAsia="仿宋" w:cs="仿宋"/>
                <w:bCs/>
                <w:color w:val="auto"/>
                <w:sz w:val="24"/>
                <w:szCs w:val="24"/>
                <w:shd w:val="clear" w:color="auto" w:fill="FFFFFF"/>
              </w:rPr>
              <w:t>施耐德、西门子、</w:t>
            </w:r>
            <w:r>
              <w:rPr>
                <w:rFonts w:hint="eastAsia" w:ascii="仿宋" w:hAnsi="仿宋" w:eastAsia="仿宋" w:cs="仿宋"/>
                <w:bCs/>
                <w:color w:val="auto"/>
                <w:sz w:val="24"/>
                <w:szCs w:val="24"/>
                <w:shd w:val="clear" w:color="auto" w:fill="FFFFFF"/>
                <w:lang w:eastAsia="zh-CN"/>
              </w:rPr>
              <w:t>丰兰</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kern w:val="2"/>
                <w:sz w:val="24"/>
                <w:szCs w:val="24"/>
                <w:shd w:val="clear" w:color="auto" w:fill="FFFFFF"/>
                <w:lang w:val="en-US" w:eastAsia="zh-CN" w:bidi="ar-SA"/>
              </w:rPr>
            </w:pPr>
            <w:r>
              <w:rPr>
                <w:rFonts w:hint="eastAsia" w:ascii="仿宋_GB2312" w:hAnsi="宋体" w:eastAsia="仿宋_GB2312" w:cs="仿宋_GB2312"/>
                <w:bCs/>
                <w:color w:val="auto"/>
                <w:sz w:val="24"/>
                <w:szCs w:val="20"/>
                <w:shd w:val="clear" w:color="auto" w:fill="FFFFFF"/>
              </w:rPr>
              <w:t>8</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lang w:val="en-US" w:eastAsia="zh-CN"/>
              </w:rPr>
            </w:pPr>
            <w:r>
              <w:rPr>
                <w:rFonts w:hint="eastAsia" w:ascii="仿宋_GB2312" w:hAnsi="宋体" w:eastAsia="仿宋_GB2312" w:cs="仿宋_GB2312"/>
                <w:bCs/>
                <w:color w:val="auto"/>
                <w:sz w:val="24"/>
                <w:szCs w:val="20"/>
                <w:shd w:val="clear" w:color="auto" w:fill="FFFFFF"/>
                <w:lang w:val="en-US" w:eastAsia="zh-CN"/>
              </w:rPr>
              <w:t>STS静态切换开关</w:t>
            </w:r>
          </w:p>
        </w:tc>
        <w:tc>
          <w:tcPr>
            <w:tcW w:w="2876" w:type="dxa"/>
            <w:noWrap w:val="0"/>
            <w:vAlign w:val="center"/>
          </w:tcPr>
          <w:p>
            <w:pPr>
              <w:jc w:val="left"/>
              <w:rPr>
                <w:rFonts w:hint="eastAsia" w:ascii="仿宋" w:hAnsi="仿宋" w:eastAsia="仿宋" w:cs="仿宋"/>
                <w:bCs/>
                <w:color w:val="auto"/>
                <w:sz w:val="24"/>
                <w:szCs w:val="24"/>
                <w:shd w:val="clear" w:color="auto" w:fill="FFFFFF"/>
                <w:lang w:val="en-US" w:eastAsia="zh-CN"/>
              </w:rPr>
            </w:pPr>
            <w:r>
              <w:rPr>
                <w:rFonts w:hint="eastAsia" w:ascii="仿宋" w:hAnsi="仿宋" w:eastAsia="仿宋" w:cs="仿宋"/>
                <w:bCs/>
                <w:color w:val="auto"/>
                <w:sz w:val="24"/>
                <w:szCs w:val="24"/>
                <w:shd w:val="clear" w:color="auto" w:fill="FFFFFF"/>
              </w:rPr>
              <w:t>施耐德</w:t>
            </w:r>
            <w:r>
              <w:rPr>
                <w:rFonts w:hint="eastAsia" w:ascii="仿宋" w:hAnsi="仿宋" w:eastAsia="仿宋" w:cs="仿宋"/>
                <w:bCs/>
                <w:color w:val="auto"/>
                <w:sz w:val="24"/>
                <w:szCs w:val="24"/>
                <w:shd w:val="clear" w:color="auto" w:fill="FFFFFF"/>
                <w:lang w:eastAsia="zh-CN"/>
              </w:rPr>
              <w:t>、维谛、</w:t>
            </w:r>
            <w:r>
              <w:rPr>
                <w:rFonts w:hint="eastAsia" w:ascii="仿宋" w:hAnsi="仿宋" w:eastAsia="仿宋" w:cs="仿宋"/>
                <w:bCs/>
                <w:color w:val="auto"/>
                <w:sz w:val="24"/>
                <w:szCs w:val="24"/>
                <w:shd w:val="clear" w:color="auto" w:fill="FFFFFF"/>
                <w:lang w:val="en-US" w:eastAsia="zh-CN"/>
              </w:rPr>
              <w:t>ABB</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ascii="仿宋_GB2312" w:hAnsi="宋体" w:eastAsia="仿宋_GB2312" w:cs="仿宋_GB2312"/>
                <w:bCs/>
                <w:color w:val="auto"/>
                <w:kern w:val="2"/>
                <w:sz w:val="24"/>
                <w:szCs w:val="24"/>
                <w:shd w:val="clear" w:color="auto" w:fill="FFFFFF"/>
                <w:lang w:val="en-US" w:eastAsia="zh-CN" w:bidi="ar-SA"/>
              </w:rPr>
            </w:pPr>
            <w:r>
              <w:rPr>
                <w:rFonts w:hint="eastAsia" w:ascii="仿宋_GB2312" w:hAnsi="宋体" w:eastAsia="仿宋_GB2312" w:cs="仿宋_GB2312"/>
                <w:bCs/>
                <w:color w:val="auto"/>
                <w:sz w:val="24"/>
                <w:szCs w:val="20"/>
                <w:shd w:val="clear" w:color="auto" w:fill="FFFFFF"/>
              </w:rPr>
              <w:t>9</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插座、照明开关</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施耐德、松下、西门子、西蒙</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ascii="仿宋_GB2312" w:hAnsi="宋体" w:eastAsia="仿宋_GB2312" w:cs="仿宋_GB2312"/>
                <w:bCs/>
                <w:color w:val="auto"/>
                <w:kern w:val="2"/>
                <w:sz w:val="24"/>
                <w:szCs w:val="24"/>
                <w:shd w:val="clear" w:color="auto" w:fill="FFFFFF"/>
                <w:lang w:val="en-US" w:eastAsia="zh-CN" w:bidi="ar-SA"/>
              </w:rPr>
            </w:pPr>
            <w:r>
              <w:rPr>
                <w:rFonts w:hint="eastAsia" w:ascii="仿宋_GB2312" w:hAnsi="宋体" w:eastAsia="仿宋_GB2312" w:cs="仿宋_GB2312"/>
                <w:bCs/>
                <w:color w:val="auto"/>
                <w:sz w:val="24"/>
                <w:szCs w:val="20"/>
                <w:shd w:val="clear" w:color="auto" w:fill="FFFFFF"/>
              </w:rPr>
              <w:t>10</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 xml:space="preserve">工业连接器 </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曼奈柯斯、盖维斯、PCE（必胜易）</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ascii="仿宋_GB2312" w:hAnsi="宋体" w:eastAsia="仿宋_GB2312" w:cs="仿宋_GB2312"/>
                <w:bCs/>
                <w:color w:val="auto"/>
                <w:kern w:val="2"/>
                <w:sz w:val="24"/>
                <w:szCs w:val="24"/>
                <w:shd w:val="clear" w:color="auto" w:fill="FFFFFF"/>
                <w:lang w:val="en-US" w:eastAsia="zh-CN" w:bidi="ar-SA"/>
              </w:rPr>
            </w:pPr>
            <w:r>
              <w:rPr>
                <w:rFonts w:hint="eastAsia" w:ascii="仿宋_GB2312" w:hAnsi="宋体" w:eastAsia="仿宋_GB2312" w:cs="仿宋_GB2312"/>
                <w:bCs/>
                <w:color w:val="auto"/>
                <w:sz w:val="24"/>
                <w:szCs w:val="20"/>
                <w:shd w:val="clear" w:color="auto" w:fill="FFFFFF"/>
              </w:rPr>
              <w:t>11</w:t>
            </w:r>
          </w:p>
        </w:tc>
        <w:tc>
          <w:tcPr>
            <w:tcW w:w="3118" w:type="dxa"/>
            <w:noWrap w:val="0"/>
            <w:vAlign w:val="center"/>
          </w:tcPr>
          <w:p>
            <w:pPr>
              <w:widowControl/>
              <w:jc w:val="left"/>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封闭式母线槽</w:t>
            </w:r>
          </w:p>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（原厂，非OEM)</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施耐德lineC系列、GE、西门子XLC二代、西屋电气Weline-V系列</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noWrap w:val="0"/>
            <w:vAlign w:val="center"/>
          </w:tcPr>
          <w:p>
            <w:pPr>
              <w:widowControl/>
              <w:jc w:val="center"/>
              <w:rPr>
                <w:rFonts w:ascii="仿宋_GB2312" w:hAnsi="宋体" w:eastAsia="仿宋_GB2312" w:cs="仿宋_GB2312"/>
                <w:bCs/>
                <w:color w:val="auto"/>
                <w:kern w:val="2"/>
                <w:sz w:val="24"/>
                <w:szCs w:val="24"/>
                <w:shd w:val="clear" w:color="auto" w:fill="FFFFFF"/>
                <w:lang w:val="en-US" w:eastAsia="zh-CN" w:bidi="ar-SA"/>
              </w:rPr>
            </w:pPr>
            <w:r>
              <w:rPr>
                <w:rFonts w:hint="eastAsia" w:ascii="仿宋_GB2312" w:hAnsi="宋体" w:eastAsia="仿宋_GB2312" w:cs="仿宋_GB2312"/>
                <w:bCs/>
                <w:color w:val="auto"/>
                <w:sz w:val="24"/>
                <w:szCs w:val="20"/>
                <w:shd w:val="clear" w:color="auto" w:fill="FFFFFF"/>
              </w:rPr>
              <w:t>12</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智能小母排</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lang w:val="en-US" w:eastAsia="zh-CN"/>
              </w:rPr>
            </w:pPr>
            <w:r>
              <w:rPr>
                <w:rFonts w:hint="eastAsia" w:ascii="仿宋_GB2312" w:hAnsi="宋体" w:eastAsia="仿宋_GB2312" w:cs="仿宋_GB2312"/>
                <w:bCs/>
                <w:color w:val="auto"/>
                <w:sz w:val="24"/>
                <w:shd w:val="clear" w:color="auto" w:fill="FFFFFF"/>
                <w:lang w:val="en-US" w:eastAsia="zh-CN"/>
              </w:rPr>
              <w:t>海德森、振勤、</w:t>
            </w:r>
            <w:r>
              <w:rPr>
                <w:rFonts w:hint="eastAsia" w:ascii="仿宋_GB2312" w:hAnsi="宋体" w:eastAsia="仿宋_GB2312" w:cs="仿宋_GB2312"/>
                <w:bCs/>
                <w:color w:val="auto"/>
                <w:sz w:val="24"/>
                <w:shd w:val="clear" w:color="auto" w:fill="FFFFFF"/>
              </w:rPr>
              <w:t>STARLINE</w:t>
            </w:r>
            <w:r>
              <w:rPr>
                <w:rFonts w:hint="eastAsia" w:ascii="仿宋_GB2312" w:hAnsi="宋体" w:eastAsia="仿宋_GB2312" w:cs="仿宋_GB2312"/>
                <w:bCs/>
                <w:color w:val="auto"/>
                <w:sz w:val="24"/>
                <w:shd w:val="clear" w:color="auto" w:fill="FFFFFF"/>
                <w:lang w:eastAsia="zh-CN"/>
              </w:rPr>
              <w:t>、</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ascii="仿宋_GB2312" w:hAnsi="宋体" w:eastAsia="仿宋_GB2312" w:cs="仿宋_GB2312"/>
                <w:bCs/>
                <w:color w:val="auto"/>
                <w:kern w:val="2"/>
                <w:sz w:val="24"/>
                <w:szCs w:val="24"/>
                <w:shd w:val="clear" w:color="auto" w:fill="FFFFFF"/>
                <w:lang w:val="en-US" w:eastAsia="zh-CN" w:bidi="ar-SA"/>
              </w:rPr>
            </w:pPr>
            <w:r>
              <w:rPr>
                <w:rFonts w:hint="eastAsia" w:ascii="仿宋_GB2312" w:hAnsi="宋体" w:eastAsia="仿宋_GB2312" w:cs="仿宋_GB2312"/>
                <w:bCs/>
                <w:color w:val="auto"/>
                <w:sz w:val="24"/>
                <w:szCs w:val="20"/>
                <w:shd w:val="clear" w:color="auto" w:fill="FFFFFF"/>
              </w:rPr>
              <w:t>1</w:t>
            </w:r>
            <w:r>
              <w:rPr>
                <w:rFonts w:ascii="仿宋_GB2312" w:hAnsi="宋体" w:eastAsia="仿宋_GB2312" w:cs="仿宋_GB2312"/>
                <w:bCs/>
                <w:color w:val="auto"/>
                <w:sz w:val="24"/>
                <w:szCs w:val="20"/>
                <w:shd w:val="clear" w:color="auto" w:fill="FFFFFF"/>
              </w:rPr>
              <w:t>3</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电力电缆</w:t>
            </w:r>
          </w:p>
        </w:tc>
        <w:tc>
          <w:tcPr>
            <w:tcW w:w="2876" w:type="dxa"/>
            <w:noWrap w:val="0"/>
            <w:vAlign w:val="center"/>
          </w:tcPr>
          <w:p>
            <w:pPr>
              <w:jc w:val="left"/>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国产优质</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ascii="仿宋_GB2312" w:hAnsi="宋体" w:eastAsia="仿宋_GB2312" w:cs="仿宋_GB2312"/>
                <w:bCs/>
                <w:color w:val="auto"/>
                <w:kern w:val="2"/>
                <w:sz w:val="24"/>
                <w:szCs w:val="24"/>
                <w:shd w:val="clear" w:color="auto" w:fill="FFFFFF"/>
                <w:lang w:val="en-US" w:eastAsia="zh-CN" w:bidi="ar-SA"/>
              </w:rPr>
            </w:pPr>
            <w:r>
              <w:rPr>
                <w:rFonts w:hint="eastAsia" w:ascii="仿宋_GB2312" w:hAnsi="宋体" w:eastAsia="仿宋_GB2312" w:cs="仿宋_GB2312"/>
                <w:bCs/>
                <w:color w:val="auto"/>
                <w:sz w:val="24"/>
                <w:szCs w:val="20"/>
                <w:shd w:val="clear" w:color="auto" w:fill="FFFFFF"/>
              </w:rPr>
              <w:t>1</w:t>
            </w:r>
            <w:r>
              <w:rPr>
                <w:rFonts w:ascii="仿宋_GB2312" w:hAnsi="宋体" w:eastAsia="仿宋_GB2312" w:cs="仿宋_GB2312"/>
                <w:bCs/>
                <w:color w:val="auto"/>
                <w:sz w:val="24"/>
                <w:szCs w:val="20"/>
                <w:shd w:val="clear" w:color="auto" w:fill="FFFFFF"/>
              </w:rPr>
              <w:t>4</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照明灯具</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飞利浦、欧司朗、欧普</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default" w:ascii="仿宋_GB2312" w:hAnsi="宋体" w:eastAsia="仿宋_GB2312" w:cs="仿宋_GB2312"/>
                <w:bCs/>
                <w:color w:val="auto"/>
                <w:kern w:val="2"/>
                <w:sz w:val="24"/>
                <w:szCs w:val="24"/>
                <w:shd w:val="clear" w:color="auto" w:fill="FFFFFF"/>
                <w:lang w:val="en-US" w:eastAsia="zh-CN" w:bidi="ar-SA"/>
              </w:rPr>
            </w:pPr>
            <w:r>
              <w:rPr>
                <w:rFonts w:hint="eastAsia" w:ascii="仿宋_GB2312" w:hAnsi="宋体" w:eastAsia="仿宋_GB2312" w:cs="仿宋_GB2312"/>
                <w:bCs/>
                <w:color w:val="auto"/>
                <w:sz w:val="24"/>
                <w:szCs w:val="20"/>
                <w:shd w:val="clear" w:color="auto" w:fill="FFFFFF"/>
                <w:lang w:val="en-US" w:eastAsia="zh-CN"/>
              </w:rPr>
              <w:t>15</w:t>
            </w:r>
          </w:p>
        </w:tc>
        <w:tc>
          <w:tcPr>
            <w:tcW w:w="3118" w:type="dxa"/>
            <w:noWrap w:val="0"/>
            <w:vAlign w:val="center"/>
          </w:tcPr>
          <w:p>
            <w:pPr>
              <w:widowControl/>
              <w:jc w:val="left"/>
              <w:rPr>
                <w:rFonts w:hint="default" w:ascii="仿宋_GB2312" w:hAnsi="宋体" w:eastAsia="仿宋_GB2312" w:cs="仿宋_GB2312"/>
                <w:bCs/>
                <w:color w:val="auto"/>
                <w:sz w:val="24"/>
                <w:szCs w:val="20"/>
                <w:shd w:val="clear" w:color="auto" w:fill="FFFFFF"/>
                <w:lang w:val="en-US" w:eastAsia="zh-CN"/>
              </w:rPr>
            </w:pPr>
            <w:r>
              <w:rPr>
                <w:rFonts w:hint="eastAsia" w:ascii="仿宋_GB2312" w:hAnsi="宋体" w:eastAsia="仿宋_GB2312" w:cs="仿宋_GB2312"/>
                <w:bCs/>
                <w:color w:val="auto"/>
                <w:sz w:val="24"/>
                <w:szCs w:val="20"/>
                <w:shd w:val="clear" w:color="auto" w:fill="FFFFFF"/>
                <w:lang w:eastAsia="zh-CN"/>
              </w:rPr>
              <w:t>应急</w:t>
            </w:r>
            <w:r>
              <w:rPr>
                <w:rFonts w:hint="eastAsia" w:ascii="仿宋_GB2312" w:hAnsi="宋体" w:eastAsia="仿宋_GB2312" w:cs="仿宋_GB2312"/>
                <w:bCs/>
                <w:color w:val="auto"/>
                <w:sz w:val="24"/>
                <w:szCs w:val="20"/>
                <w:shd w:val="clear" w:color="auto" w:fill="FFFFFF"/>
              </w:rPr>
              <w:t>照明</w:t>
            </w:r>
            <w:r>
              <w:rPr>
                <w:rFonts w:hint="eastAsia" w:ascii="仿宋_GB2312" w:hAnsi="宋体" w:eastAsia="仿宋_GB2312" w:cs="仿宋_GB2312"/>
                <w:bCs/>
                <w:color w:val="auto"/>
                <w:sz w:val="24"/>
                <w:szCs w:val="20"/>
                <w:shd w:val="clear" w:color="auto" w:fill="FFFFFF"/>
                <w:lang w:val="en-US" w:eastAsia="zh-CN"/>
              </w:rPr>
              <w:t>EPS</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国产优质</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default" w:ascii="仿宋_GB2312" w:hAnsi="宋体" w:eastAsia="仿宋_GB2312" w:cs="仿宋_GB2312"/>
                <w:bCs/>
                <w:color w:val="auto"/>
                <w:sz w:val="24"/>
                <w:szCs w:val="20"/>
                <w:shd w:val="clear" w:color="auto" w:fill="FFFFFF"/>
                <w:lang w:val="en-US" w:eastAsia="zh-CN"/>
              </w:rPr>
            </w:pPr>
            <w:r>
              <w:rPr>
                <w:rFonts w:hint="eastAsia" w:ascii="仿宋_GB2312" w:hAnsi="宋体" w:eastAsia="仿宋_GB2312" w:cs="仿宋_GB2312"/>
                <w:bCs/>
                <w:color w:val="auto"/>
                <w:sz w:val="24"/>
                <w:szCs w:val="20"/>
                <w:shd w:val="clear" w:color="auto" w:fill="FFFFFF"/>
                <w:lang w:val="en-US" w:eastAsia="zh-CN"/>
              </w:rPr>
              <w:t>16</w:t>
            </w:r>
          </w:p>
        </w:tc>
        <w:tc>
          <w:tcPr>
            <w:tcW w:w="3118" w:type="dxa"/>
            <w:noWrap w:val="0"/>
            <w:vAlign w:val="center"/>
          </w:tcPr>
          <w:p>
            <w:pPr>
              <w:widowControl/>
              <w:jc w:val="left"/>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金属线槽</w:t>
            </w:r>
          </w:p>
          <w:p>
            <w:pPr>
              <w:widowControl/>
              <w:jc w:val="left"/>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（带盖板，热镀锌）</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泰丰、京运、双龙盛</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center"/>
          </w:tcPr>
          <w:p>
            <w:pPr>
              <w:widowControl/>
              <w:jc w:val="left"/>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
                <w:color w:val="auto"/>
                <w:sz w:val="24"/>
                <w:szCs w:val="20"/>
                <w:shd w:val="clear" w:color="auto" w:fill="FFFFFF"/>
              </w:rPr>
              <w:t>暖通系统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1</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精密空调</w:t>
            </w:r>
          </w:p>
        </w:tc>
        <w:tc>
          <w:tcPr>
            <w:tcW w:w="2876" w:type="dxa"/>
            <w:noWrap w:val="0"/>
            <w:vAlign w:val="center"/>
          </w:tcPr>
          <w:p>
            <w:pPr>
              <w:pStyle w:val="9"/>
              <w:rPr>
                <w:rFonts w:hint="eastAsia" w:ascii="仿宋_GB2312" w:hAnsi="宋体" w:eastAsia="仿宋_GB2312" w:cs="仿宋_GB2312"/>
                <w:bCs/>
                <w:color w:val="auto"/>
                <w:sz w:val="24"/>
                <w:shd w:val="clear" w:color="auto" w:fill="FFFFFF"/>
                <w:lang w:val="en-US" w:eastAsia="zh-CN"/>
              </w:rPr>
            </w:pPr>
            <w:r>
              <w:rPr>
                <w:rFonts w:hint="eastAsia" w:ascii="仿宋_GB2312" w:hAnsi="宋体" w:eastAsia="仿宋_GB2312" w:cs="仿宋_GB2312"/>
                <w:bCs/>
                <w:color w:val="auto"/>
                <w:kern w:val="2"/>
                <w:sz w:val="24"/>
                <w:szCs w:val="24"/>
                <w:shd w:val="clear" w:color="auto" w:fill="FFFFFF"/>
                <w:lang w:val="en-US" w:eastAsia="zh-CN" w:bidi="ar-SA"/>
              </w:rPr>
              <w:t>维谛Liebert.PEX4系列、</w:t>
            </w:r>
          </w:p>
          <w:p>
            <w:pPr>
              <w:pStyle w:val="9"/>
              <w:rPr>
                <w:rFonts w:hint="default" w:ascii="仿宋_GB2312" w:hAnsi="宋体" w:eastAsia="仿宋_GB2312" w:cs="仿宋_GB2312"/>
                <w:bCs/>
                <w:color w:val="auto"/>
                <w:kern w:val="2"/>
                <w:sz w:val="24"/>
                <w:shd w:val="clear" w:color="auto" w:fill="FFFFFF"/>
                <w:lang w:val="en-US" w:eastAsia="zh-CN" w:bidi="ar-SA"/>
              </w:rPr>
            </w:pPr>
            <w:r>
              <w:rPr>
                <w:rFonts w:hint="eastAsia" w:ascii="仿宋_GB2312" w:hAnsi="宋体" w:eastAsia="仿宋_GB2312" w:cs="仿宋_GB2312"/>
                <w:bCs/>
                <w:color w:val="auto"/>
                <w:sz w:val="24"/>
                <w:shd w:val="clear" w:color="auto" w:fill="FFFFFF"/>
                <w:lang w:val="en-US" w:eastAsia="zh-CN"/>
              </w:rPr>
              <w:t>阿特拉斯、海洛斯</w:t>
            </w:r>
          </w:p>
        </w:tc>
        <w:tc>
          <w:tcPr>
            <w:tcW w:w="1994" w:type="dxa"/>
            <w:noWrap w:val="0"/>
            <w:vAlign w:val="center"/>
          </w:tcPr>
          <w:p>
            <w:pPr>
              <w:widowControl/>
              <w:jc w:val="center"/>
              <w:textAlignment w:val="center"/>
              <w:rPr>
                <w:rFonts w:ascii="宋体" w:hAnsi="宋体" w:eastAsia="仿宋" w:cs="宋体"/>
                <w:b/>
                <w:color w:val="auto"/>
                <w:kern w:val="0"/>
                <w:sz w:val="28"/>
                <w:szCs w:val="21"/>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lang w:eastAsia="zh-CN"/>
              </w:rPr>
            </w:pPr>
            <w:r>
              <w:rPr>
                <w:rFonts w:hint="eastAsia" w:ascii="仿宋_GB2312" w:hAnsi="宋体" w:eastAsia="仿宋_GB2312" w:cs="仿宋_GB2312"/>
                <w:bCs/>
                <w:color w:val="auto"/>
                <w:sz w:val="24"/>
                <w:szCs w:val="20"/>
                <w:shd w:val="clear" w:color="auto" w:fill="FFFFFF"/>
                <w:lang w:val="en-US" w:eastAsia="zh-CN"/>
              </w:rPr>
              <w:t>2</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新风处理机</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麦克维尔、天方</w:t>
            </w:r>
            <w:r>
              <w:rPr>
                <w:rFonts w:hint="eastAsia" w:ascii="仿宋_GB2312" w:hAnsi="宋体" w:eastAsia="仿宋_GB2312" w:cs="仿宋_GB2312"/>
                <w:bCs/>
                <w:color w:val="auto"/>
                <w:sz w:val="24"/>
                <w:shd w:val="clear" w:color="auto" w:fill="FFFFFF"/>
                <w:lang w:eastAsia="zh-CN"/>
              </w:rPr>
              <w:t>、吉龙</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lang w:eastAsia="zh-CN"/>
              </w:rPr>
            </w:pPr>
            <w:r>
              <w:rPr>
                <w:rFonts w:hint="eastAsia" w:ascii="仿宋_GB2312" w:hAnsi="宋体" w:eastAsia="仿宋_GB2312" w:cs="仿宋_GB2312"/>
                <w:bCs/>
                <w:color w:val="auto"/>
                <w:sz w:val="24"/>
                <w:szCs w:val="20"/>
                <w:shd w:val="clear" w:color="auto" w:fill="FFFFFF"/>
                <w:lang w:val="en-US" w:eastAsia="zh-CN"/>
              </w:rPr>
              <w:t>3</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湿膜加湿器</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日本湿王、加拿大NEP、法国德瓦泰克</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lang w:eastAsia="zh-CN"/>
              </w:rPr>
            </w:pPr>
            <w:r>
              <w:rPr>
                <w:rFonts w:hint="eastAsia" w:ascii="仿宋_GB2312" w:hAnsi="宋体" w:eastAsia="仿宋_GB2312" w:cs="仿宋_GB2312"/>
                <w:bCs/>
                <w:color w:val="auto"/>
                <w:sz w:val="24"/>
                <w:szCs w:val="20"/>
                <w:shd w:val="clear" w:color="auto" w:fill="FFFFFF"/>
                <w:lang w:val="en-US" w:eastAsia="zh-CN"/>
              </w:rPr>
              <w:t>4</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lang w:eastAsia="zh-CN"/>
              </w:rPr>
            </w:pPr>
            <w:r>
              <w:rPr>
                <w:rFonts w:hint="eastAsia" w:ascii="仿宋_GB2312" w:hAnsi="宋体" w:eastAsia="仿宋_GB2312" w:cs="仿宋_GB2312"/>
                <w:bCs/>
                <w:color w:val="auto"/>
                <w:sz w:val="24"/>
                <w:szCs w:val="20"/>
                <w:shd w:val="clear" w:color="auto" w:fill="FFFFFF"/>
                <w:lang w:eastAsia="zh-CN"/>
              </w:rPr>
              <w:t>舒适性空调（</w:t>
            </w:r>
            <w:r>
              <w:rPr>
                <w:rFonts w:hint="eastAsia" w:ascii="仿宋_GB2312" w:hAnsi="宋体" w:eastAsia="仿宋_GB2312" w:cs="仿宋_GB2312"/>
                <w:bCs/>
                <w:color w:val="auto"/>
                <w:sz w:val="24"/>
                <w:szCs w:val="20"/>
                <w:shd w:val="clear" w:color="auto" w:fill="FFFFFF"/>
              </w:rPr>
              <w:t>VRV</w:t>
            </w:r>
            <w:r>
              <w:rPr>
                <w:rFonts w:hint="eastAsia" w:ascii="仿宋_GB2312" w:hAnsi="宋体" w:eastAsia="仿宋_GB2312" w:cs="仿宋_GB2312"/>
                <w:bCs/>
                <w:color w:val="auto"/>
                <w:sz w:val="24"/>
                <w:szCs w:val="20"/>
                <w:shd w:val="clear" w:color="auto" w:fill="FFFFFF"/>
                <w:lang w:eastAsia="zh-CN"/>
              </w:rPr>
              <w:t>）</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lang w:eastAsia="zh-CN"/>
              </w:rPr>
            </w:pPr>
            <w:r>
              <w:rPr>
                <w:rFonts w:hint="eastAsia" w:ascii="仿宋_GB2312" w:hAnsi="宋体" w:eastAsia="仿宋_GB2312" w:cs="仿宋_GB2312"/>
                <w:bCs/>
                <w:color w:val="auto"/>
                <w:kern w:val="2"/>
                <w:sz w:val="24"/>
                <w:szCs w:val="24"/>
                <w:shd w:val="clear" w:color="auto" w:fill="FFFFFF"/>
                <w:lang w:val="en-US" w:eastAsia="zh-CN" w:bidi="ar-SA"/>
              </w:rPr>
              <w:t>维谛、</w:t>
            </w:r>
            <w:r>
              <w:rPr>
                <w:rFonts w:hint="eastAsia" w:ascii="仿宋_GB2312" w:hAnsi="宋体" w:eastAsia="仿宋_GB2312" w:cs="仿宋_GB2312"/>
                <w:bCs/>
                <w:color w:val="auto"/>
                <w:sz w:val="24"/>
                <w:shd w:val="clear" w:color="auto" w:fill="FFFFFF"/>
              </w:rPr>
              <w:t>格力、</w:t>
            </w:r>
            <w:r>
              <w:rPr>
                <w:rFonts w:hint="eastAsia" w:ascii="仿宋_GB2312" w:hAnsi="宋体" w:eastAsia="仿宋_GB2312" w:cs="仿宋_GB2312"/>
                <w:bCs/>
                <w:color w:val="auto"/>
                <w:sz w:val="24"/>
                <w:shd w:val="clear" w:color="auto" w:fill="FFFFFF"/>
                <w:lang w:eastAsia="zh-CN"/>
              </w:rPr>
              <w:t>大金</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lang w:eastAsia="zh-CN"/>
              </w:rPr>
            </w:pPr>
            <w:r>
              <w:rPr>
                <w:rFonts w:hint="eastAsia" w:ascii="仿宋_GB2312" w:hAnsi="宋体" w:eastAsia="仿宋_GB2312" w:cs="仿宋_GB2312"/>
                <w:bCs/>
                <w:color w:val="auto"/>
                <w:sz w:val="24"/>
                <w:szCs w:val="20"/>
                <w:shd w:val="clear" w:color="auto" w:fill="FFFFFF"/>
                <w:lang w:val="en-US" w:eastAsia="zh-CN"/>
              </w:rPr>
              <w:t>5</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橡塑保温材料</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福乐斯、阿姆斯壮、华美</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lang w:eastAsia="zh-CN"/>
              </w:rPr>
            </w:pPr>
            <w:r>
              <w:rPr>
                <w:rFonts w:hint="eastAsia" w:ascii="仿宋_GB2312" w:hAnsi="宋体" w:eastAsia="仿宋_GB2312" w:cs="仿宋_GB2312"/>
                <w:bCs/>
                <w:color w:val="auto"/>
                <w:sz w:val="24"/>
                <w:szCs w:val="20"/>
                <w:shd w:val="clear" w:color="auto" w:fill="FFFFFF"/>
                <w:lang w:val="en-US" w:eastAsia="zh-CN"/>
              </w:rPr>
              <w:t>6</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洗手盆</w:t>
            </w:r>
            <w:r>
              <w:rPr>
                <w:rFonts w:hint="eastAsia" w:ascii="仿宋_GB2312" w:hAnsi="宋体" w:eastAsia="仿宋_GB2312" w:cs="仿宋_GB2312"/>
                <w:bCs/>
                <w:color w:val="auto"/>
                <w:sz w:val="24"/>
                <w:szCs w:val="20"/>
                <w:shd w:val="clear" w:color="auto" w:fill="FFFFFF"/>
                <w:lang w:eastAsia="zh-CN"/>
              </w:rPr>
              <w:t>、</w:t>
            </w:r>
            <w:r>
              <w:rPr>
                <w:rFonts w:hint="eastAsia" w:ascii="仿宋_GB2312" w:hAnsi="宋体" w:eastAsia="仿宋_GB2312" w:cs="仿宋_GB2312"/>
                <w:bCs/>
                <w:color w:val="auto"/>
                <w:sz w:val="24"/>
                <w:szCs w:val="20"/>
                <w:shd w:val="clear" w:color="auto" w:fill="FFFFFF"/>
              </w:rPr>
              <w:t>龙头</w:t>
            </w:r>
            <w:r>
              <w:rPr>
                <w:rFonts w:hint="eastAsia" w:ascii="仿宋_GB2312" w:hAnsi="宋体" w:eastAsia="仿宋_GB2312" w:cs="仿宋_GB2312"/>
                <w:bCs/>
                <w:color w:val="auto"/>
                <w:sz w:val="24"/>
                <w:szCs w:val="20"/>
                <w:shd w:val="clear" w:color="auto" w:fill="FFFFFF"/>
                <w:lang w:eastAsia="zh-CN"/>
              </w:rPr>
              <w:t>、</w:t>
            </w:r>
            <w:r>
              <w:rPr>
                <w:rFonts w:hint="eastAsia" w:ascii="仿宋_GB2312" w:hAnsi="宋体" w:eastAsia="仿宋_GB2312" w:cs="仿宋_GB2312"/>
                <w:bCs/>
                <w:color w:val="auto"/>
                <w:sz w:val="24"/>
                <w:szCs w:val="20"/>
                <w:shd w:val="clear" w:color="auto" w:fill="FFFFFF"/>
              </w:rPr>
              <w:t>感应龙头</w:t>
            </w:r>
            <w:r>
              <w:rPr>
                <w:rFonts w:hint="eastAsia" w:ascii="仿宋_GB2312" w:hAnsi="宋体" w:eastAsia="仿宋_GB2312" w:cs="仿宋_GB2312"/>
                <w:bCs/>
                <w:color w:val="auto"/>
                <w:sz w:val="24"/>
                <w:szCs w:val="20"/>
                <w:shd w:val="clear" w:color="auto" w:fill="FFFFFF"/>
                <w:lang w:eastAsia="zh-CN"/>
              </w:rPr>
              <w:t>、</w:t>
            </w:r>
            <w:r>
              <w:rPr>
                <w:rFonts w:hint="eastAsia" w:ascii="仿宋_GB2312" w:hAnsi="宋体" w:eastAsia="仿宋_GB2312" w:cs="仿宋_GB2312"/>
                <w:bCs/>
                <w:color w:val="auto"/>
                <w:sz w:val="24"/>
                <w:szCs w:val="20"/>
                <w:shd w:val="clear" w:color="auto" w:fill="FFFFFF"/>
              </w:rPr>
              <w:t>小便器（含感应器）</w:t>
            </w:r>
            <w:r>
              <w:rPr>
                <w:rFonts w:hint="eastAsia" w:ascii="仿宋_GB2312" w:hAnsi="宋体" w:eastAsia="仿宋_GB2312" w:cs="仿宋_GB2312"/>
                <w:bCs/>
                <w:color w:val="auto"/>
                <w:sz w:val="24"/>
                <w:szCs w:val="20"/>
                <w:shd w:val="clear" w:color="auto" w:fill="FFFFFF"/>
                <w:lang w:eastAsia="zh-CN"/>
              </w:rPr>
              <w:t>、</w:t>
            </w:r>
            <w:r>
              <w:rPr>
                <w:rFonts w:hint="eastAsia" w:ascii="仿宋_GB2312" w:hAnsi="宋体" w:eastAsia="仿宋_GB2312" w:cs="仿宋_GB2312"/>
                <w:bCs/>
                <w:color w:val="auto"/>
                <w:sz w:val="24"/>
                <w:szCs w:val="20"/>
                <w:shd w:val="clear" w:color="auto" w:fill="FFFFFF"/>
              </w:rPr>
              <w:t>蹲厕</w:t>
            </w:r>
            <w:r>
              <w:rPr>
                <w:rFonts w:hint="eastAsia" w:ascii="仿宋_GB2312" w:hAnsi="宋体" w:eastAsia="仿宋_GB2312" w:cs="仿宋_GB2312"/>
                <w:bCs/>
                <w:color w:val="auto"/>
                <w:sz w:val="24"/>
                <w:szCs w:val="20"/>
                <w:shd w:val="clear" w:color="auto" w:fill="FFFFFF"/>
                <w:lang w:eastAsia="zh-CN"/>
              </w:rPr>
              <w:t>、</w:t>
            </w:r>
            <w:r>
              <w:rPr>
                <w:rFonts w:hint="eastAsia" w:ascii="仿宋_GB2312" w:hAnsi="宋体" w:eastAsia="仿宋_GB2312" w:cs="仿宋_GB2312"/>
                <w:bCs/>
                <w:color w:val="auto"/>
                <w:sz w:val="24"/>
                <w:szCs w:val="20"/>
                <w:shd w:val="clear" w:color="auto" w:fill="FFFFFF"/>
              </w:rPr>
              <w:t>坐便器</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ascii="仿宋_GB2312" w:hAnsi="宋体" w:eastAsia="仿宋_GB2312" w:cs="仿宋_GB2312"/>
                <w:bCs/>
                <w:color w:val="auto"/>
                <w:sz w:val="24"/>
                <w:shd w:val="clear" w:color="auto" w:fill="FFFFFF"/>
              </w:rPr>
              <w:t>TOTO</w:t>
            </w:r>
            <w:r>
              <w:rPr>
                <w:rFonts w:hint="eastAsia" w:ascii="仿宋_GB2312" w:hAnsi="宋体" w:eastAsia="仿宋_GB2312" w:cs="仿宋_GB2312"/>
                <w:bCs/>
                <w:color w:val="auto"/>
                <w:sz w:val="24"/>
                <w:shd w:val="clear" w:color="auto" w:fill="FFFFFF"/>
              </w:rPr>
              <w:t>、科勒、箭牌</w:t>
            </w:r>
          </w:p>
        </w:tc>
        <w:tc>
          <w:tcPr>
            <w:tcW w:w="1994" w:type="dxa"/>
            <w:noWrap w:val="0"/>
            <w:vAlign w:val="center"/>
          </w:tcPr>
          <w:p>
            <w:pPr>
              <w:widowControl/>
              <w:jc w:val="center"/>
              <w:rPr>
                <w:rFonts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center"/>
          </w:tcPr>
          <w:p>
            <w:pPr>
              <w:widowControl/>
              <w:jc w:val="left"/>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
                <w:color w:val="auto"/>
                <w:sz w:val="24"/>
                <w:szCs w:val="20"/>
                <w:shd w:val="clear" w:color="auto" w:fill="FFFFFF"/>
              </w:rPr>
              <w:t>智能化系统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1</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机柜</w:t>
            </w:r>
            <w:r>
              <w:rPr>
                <w:rFonts w:hint="eastAsia" w:ascii="仿宋_GB2312" w:hAnsi="宋体" w:eastAsia="仿宋_GB2312" w:cs="仿宋_GB2312"/>
                <w:bCs/>
                <w:color w:val="auto"/>
                <w:sz w:val="24"/>
                <w:szCs w:val="20"/>
                <w:shd w:val="clear" w:color="auto" w:fill="FFFFFF"/>
                <w:lang w:eastAsia="zh-CN"/>
              </w:rPr>
              <w:t>和封闭冷通道（预装</w:t>
            </w:r>
            <w:r>
              <w:rPr>
                <w:rFonts w:hint="eastAsia" w:ascii="仿宋_GB2312" w:hAnsi="宋体" w:eastAsia="仿宋_GB2312" w:cs="仿宋_GB2312"/>
                <w:bCs/>
                <w:color w:val="auto"/>
                <w:sz w:val="24"/>
                <w:szCs w:val="20"/>
                <w:shd w:val="clear" w:color="auto" w:fill="FFFFFF"/>
                <w:lang w:val="en-US" w:eastAsia="zh-CN"/>
              </w:rPr>
              <w:t>PDU)</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lang w:eastAsia="zh-CN"/>
              </w:rPr>
              <w:t>海德森、</w:t>
            </w:r>
            <w:r>
              <w:rPr>
                <w:rFonts w:hint="eastAsia" w:ascii="仿宋_GB2312" w:hAnsi="宋体" w:eastAsia="仿宋_GB2312" w:cs="仿宋_GB2312"/>
                <w:bCs/>
                <w:color w:val="auto"/>
                <w:sz w:val="24"/>
                <w:shd w:val="clear" w:color="auto" w:fill="FFFFFF"/>
              </w:rPr>
              <w:t>金盾、</w:t>
            </w:r>
            <w:r>
              <w:rPr>
                <w:rFonts w:hint="eastAsia" w:ascii="仿宋_GB2312" w:hAnsi="宋体" w:eastAsia="仿宋_GB2312" w:cs="仿宋_GB2312"/>
                <w:bCs/>
                <w:color w:val="auto"/>
                <w:sz w:val="24"/>
                <w:shd w:val="clear" w:color="auto" w:fill="FFFFFF"/>
                <w:lang w:eastAsia="zh-CN"/>
              </w:rPr>
              <w:t>杜尔瑞克、华为</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lang w:val="en-US" w:eastAsia="zh-CN"/>
              </w:rPr>
            </w:pPr>
            <w:r>
              <w:rPr>
                <w:rFonts w:hint="eastAsia" w:ascii="仿宋_GB2312" w:hAnsi="宋体" w:eastAsia="仿宋_GB2312" w:cs="仿宋_GB2312"/>
                <w:bCs/>
                <w:color w:val="auto"/>
                <w:sz w:val="24"/>
                <w:szCs w:val="20"/>
                <w:shd w:val="clear" w:color="auto" w:fill="FFFFFF"/>
                <w:lang w:val="en-US" w:eastAsia="zh-CN"/>
              </w:rPr>
              <w:t>2</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开放式网格桥架</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卡博菲、OBO、阿克诺德</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4</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光纤线槽含下线器</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卡博菲、OBO、阿克诺德</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lang w:val="en-US" w:eastAsia="zh-CN"/>
              </w:rPr>
            </w:pPr>
            <w:r>
              <w:rPr>
                <w:rFonts w:hint="eastAsia" w:ascii="仿宋_GB2312" w:hAnsi="宋体" w:eastAsia="仿宋_GB2312" w:cs="仿宋_GB2312"/>
                <w:bCs/>
                <w:color w:val="auto"/>
                <w:sz w:val="24"/>
                <w:szCs w:val="20"/>
                <w:shd w:val="clear" w:color="auto" w:fill="FFFFFF"/>
                <w:lang w:val="en-US" w:eastAsia="zh-CN"/>
              </w:rPr>
              <w:t>5</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ascii="仿宋_GB2312" w:hAnsi="宋体" w:eastAsia="仿宋_GB2312" w:cs="仿宋_GB2312"/>
                <w:bCs/>
                <w:color w:val="auto"/>
                <w:sz w:val="24"/>
                <w:szCs w:val="20"/>
                <w:shd w:val="clear" w:color="auto" w:fill="FFFFFF"/>
              </w:rPr>
              <w:t>综合布线</w:t>
            </w:r>
          </w:p>
        </w:tc>
        <w:tc>
          <w:tcPr>
            <w:tcW w:w="2876" w:type="dxa"/>
            <w:noWrap w:val="0"/>
            <w:vAlign w:val="center"/>
          </w:tcPr>
          <w:p>
            <w:pPr>
              <w:jc w:val="left"/>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康普、康宁</w:t>
            </w:r>
            <w:r>
              <w:rPr>
                <w:rFonts w:hint="eastAsia" w:ascii="仿宋_GB2312" w:hAnsi="宋体" w:eastAsia="仿宋_GB2312" w:cs="仿宋_GB2312"/>
                <w:bCs/>
                <w:color w:val="auto"/>
                <w:sz w:val="24"/>
                <w:shd w:val="clear" w:color="auto" w:fill="FFFFFF"/>
                <w:lang w:eastAsia="zh-CN"/>
              </w:rPr>
              <w:t>、美国西蒙</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lang w:val="en-US" w:eastAsia="zh-CN"/>
              </w:rPr>
            </w:pPr>
            <w:r>
              <w:rPr>
                <w:rFonts w:hint="eastAsia" w:ascii="仿宋_GB2312" w:hAnsi="宋体" w:eastAsia="仿宋_GB2312" w:cs="仿宋_GB2312"/>
                <w:bCs/>
                <w:color w:val="auto"/>
                <w:sz w:val="24"/>
                <w:szCs w:val="20"/>
                <w:shd w:val="clear" w:color="auto" w:fill="FFFFFF"/>
                <w:lang w:val="en-US" w:eastAsia="zh-CN"/>
              </w:rPr>
              <w:t>6</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电池监控系统</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lang w:eastAsia="zh-CN"/>
              </w:rPr>
              <w:t>海德森、</w:t>
            </w:r>
            <w:r>
              <w:rPr>
                <w:rFonts w:hint="eastAsia" w:ascii="仿宋_GB2312" w:hAnsi="宋体" w:eastAsia="仿宋_GB2312" w:cs="仿宋_GB2312"/>
                <w:bCs/>
                <w:color w:val="auto"/>
                <w:sz w:val="24"/>
                <w:shd w:val="clear" w:color="auto" w:fill="FFFFFF"/>
              </w:rPr>
              <w:t>维谛</w:t>
            </w:r>
            <w:r>
              <w:rPr>
                <w:rFonts w:hint="eastAsia" w:ascii="仿宋_GB2312" w:hAnsi="宋体" w:eastAsia="仿宋_GB2312" w:cs="仿宋_GB2312"/>
                <w:bCs/>
                <w:color w:val="auto"/>
                <w:sz w:val="24"/>
                <w:shd w:val="clear" w:color="auto" w:fill="FFFFFF"/>
                <w:lang w:eastAsia="zh-CN"/>
              </w:rPr>
              <w:t>、</w:t>
            </w:r>
            <w:r>
              <w:rPr>
                <w:rFonts w:hint="eastAsia" w:ascii="仿宋_GB2312" w:hAnsi="宋体" w:eastAsia="仿宋_GB2312" w:cs="仿宋_GB2312"/>
                <w:bCs/>
                <w:color w:val="auto"/>
                <w:sz w:val="24"/>
                <w:shd w:val="clear" w:color="auto" w:fill="FFFFFF"/>
              </w:rPr>
              <w:t>施耐德</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lang w:val="en-US" w:eastAsia="zh-CN"/>
              </w:rPr>
            </w:pPr>
            <w:r>
              <w:rPr>
                <w:rFonts w:hint="eastAsia" w:ascii="仿宋_GB2312" w:hAnsi="宋体" w:eastAsia="仿宋_GB2312" w:cs="仿宋_GB2312"/>
                <w:bCs/>
                <w:color w:val="auto"/>
                <w:sz w:val="24"/>
                <w:szCs w:val="20"/>
                <w:shd w:val="clear" w:color="auto" w:fill="FFFFFF"/>
                <w:lang w:val="en-US" w:eastAsia="zh-CN"/>
              </w:rPr>
              <w:t>7</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极早期烟气探测系统</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ICAM、VESDA、AVA</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lang w:eastAsia="zh-CN"/>
              </w:rPr>
              <w:t>需原厂验收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lang w:val="en-US" w:eastAsia="zh-CN"/>
              </w:rPr>
            </w:pPr>
            <w:r>
              <w:rPr>
                <w:rFonts w:hint="eastAsia" w:ascii="仿宋_GB2312" w:hAnsi="宋体" w:eastAsia="仿宋_GB2312" w:cs="仿宋_GB2312"/>
                <w:bCs/>
                <w:color w:val="auto"/>
                <w:sz w:val="24"/>
                <w:szCs w:val="20"/>
                <w:shd w:val="clear" w:color="auto" w:fill="FFFFFF"/>
                <w:lang w:val="en-US" w:eastAsia="zh-CN"/>
              </w:rPr>
              <w:t>8</w:t>
            </w:r>
          </w:p>
        </w:tc>
        <w:tc>
          <w:tcPr>
            <w:tcW w:w="3118" w:type="dxa"/>
            <w:noWrap w:val="0"/>
            <w:vAlign w:val="center"/>
          </w:tcPr>
          <w:p>
            <w:pPr>
              <w:widowControl/>
              <w:jc w:val="left"/>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DCIM系统</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维谛、</w:t>
            </w:r>
            <w:r>
              <w:rPr>
                <w:rFonts w:hint="eastAsia" w:ascii="仿宋_GB2312" w:hAnsi="宋体" w:eastAsia="仿宋_GB2312" w:cs="仿宋_GB2312"/>
                <w:bCs/>
                <w:color w:val="auto"/>
                <w:sz w:val="24"/>
                <w:shd w:val="clear" w:color="auto" w:fill="FFFFFF"/>
                <w:lang w:eastAsia="zh-CN"/>
              </w:rPr>
              <w:t>科华</w:t>
            </w:r>
            <w:r>
              <w:rPr>
                <w:rFonts w:hint="eastAsia" w:ascii="仿宋_GB2312" w:hAnsi="宋体" w:eastAsia="仿宋_GB2312" w:cs="仿宋_GB2312"/>
                <w:bCs/>
                <w:color w:val="auto"/>
                <w:sz w:val="24"/>
                <w:shd w:val="clear" w:color="auto" w:fill="FFFFFF"/>
                <w:lang w:val="en-US" w:eastAsia="zh-CN"/>
              </w:rPr>
              <w:t>、霍尼韦尔</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lang w:val="en-US" w:eastAsia="zh-CN"/>
              </w:rPr>
            </w:pPr>
            <w:r>
              <w:rPr>
                <w:rFonts w:hint="eastAsia" w:ascii="仿宋_GB2312" w:hAnsi="宋体" w:eastAsia="仿宋_GB2312" w:cs="仿宋_GB2312"/>
                <w:bCs/>
                <w:color w:val="auto"/>
                <w:sz w:val="24"/>
                <w:szCs w:val="20"/>
                <w:shd w:val="clear" w:color="auto" w:fill="FFFFFF"/>
                <w:lang w:val="en-US" w:eastAsia="zh-CN"/>
              </w:rPr>
              <w:t>9</w:t>
            </w:r>
          </w:p>
        </w:tc>
        <w:tc>
          <w:tcPr>
            <w:tcW w:w="3118" w:type="dxa"/>
            <w:noWrap w:val="0"/>
            <w:vAlign w:val="center"/>
          </w:tcPr>
          <w:p>
            <w:pPr>
              <w:widowControl/>
              <w:jc w:val="left"/>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视频监控系统</w:t>
            </w:r>
          </w:p>
        </w:tc>
        <w:tc>
          <w:tcPr>
            <w:tcW w:w="2876" w:type="dxa"/>
            <w:noWrap w:val="0"/>
            <w:vAlign w:val="center"/>
          </w:tcPr>
          <w:p>
            <w:pPr>
              <w:jc w:val="left"/>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海康威视、大华、博世、宇视</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34" w:type="dxa"/>
            <w:noWrap w:val="0"/>
            <w:vAlign w:val="center"/>
          </w:tcPr>
          <w:p>
            <w:pPr>
              <w:widowControl/>
              <w:jc w:val="center"/>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1</w:t>
            </w:r>
            <w:r>
              <w:rPr>
                <w:rFonts w:hint="eastAsia" w:ascii="仿宋_GB2312" w:hAnsi="宋体" w:eastAsia="仿宋_GB2312" w:cs="仿宋_GB2312"/>
                <w:bCs/>
                <w:color w:val="auto"/>
                <w:sz w:val="24"/>
                <w:szCs w:val="20"/>
                <w:shd w:val="clear" w:color="auto" w:fill="FFFFFF"/>
                <w:lang w:val="en-US" w:eastAsia="zh-CN"/>
              </w:rPr>
              <w:t>0</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门禁管理系统</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lang w:eastAsia="zh-CN"/>
              </w:rPr>
            </w:pPr>
            <w:r>
              <w:rPr>
                <w:rFonts w:hint="eastAsia" w:ascii="仿宋_GB2312" w:hAnsi="宋体" w:eastAsia="仿宋_GB2312" w:cs="仿宋_GB2312"/>
                <w:bCs/>
                <w:color w:val="auto"/>
                <w:sz w:val="24"/>
                <w:shd w:val="clear" w:color="auto" w:fill="FFFFFF"/>
                <w:lang w:eastAsia="zh-CN"/>
              </w:rPr>
              <w:t>海康威视，汉王、</w:t>
            </w:r>
            <w:r>
              <w:rPr>
                <w:rFonts w:hint="eastAsia" w:ascii="仿宋_GB2312" w:hAnsi="宋体" w:eastAsia="仿宋_GB2312" w:cs="仿宋_GB2312"/>
                <w:bCs/>
                <w:color w:val="auto"/>
                <w:sz w:val="24"/>
                <w:shd w:val="clear" w:color="auto" w:fill="FFFFFF"/>
              </w:rPr>
              <w:t>霍尼韦尔</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1</w:t>
            </w:r>
            <w:r>
              <w:rPr>
                <w:rFonts w:hint="eastAsia" w:ascii="仿宋_GB2312" w:hAnsi="宋体" w:eastAsia="仿宋_GB2312" w:cs="仿宋_GB2312"/>
                <w:bCs/>
                <w:color w:val="auto"/>
                <w:sz w:val="24"/>
                <w:szCs w:val="20"/>
                <w:shd w:val="clear" w:color="auto" w:fill="FFFFFF"/>
                <w:lang w:val="en-US" w:eastAsia="zh-CN"/>
              </w:rPr>
              <w:t>1</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入侵报警系统</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rPr>
              <w:t>泰科、霍尼韦尔、博世</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34" w:type="dxa"/>
            <w:noWrap w:val="0"/>
            <w:vAlign w:val="center"/>
          </w:tcPr>
          <w:p>
            <w:pPr>
              <w:widowControl/>
              <w:jc w:val="center"/>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1</w:t>
            </w:r>
            <w:r>
              <w:rPr>
                <w:rFonts w:hint="eastAsia" w:ascii="仿宋_GB2312" w:hAnsi="宋体" w:eastAsia="仿宋_GB2312" w:cs="仿宋_GB2312"/>
                <w:bCs/>
                <w:color w:val="auto"/>
                <w:sz w:val="24"/>
                <w:szCs w:val="20"/>
                <w:shd w:val="clear" w:color="auto" w:fill="FFFFFF"/>
                <w:lang w:val="en-US" w:eastAsia="zh-CN"/>
              </w:rPr>
              <w:t>2</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大屏显示单元及大屏控制器</w:t>
            </w:r>
          </w:p>
        </w:tc>
        <w:tc>
          <w:tcPr>
            <w:tcW w:w="2876" w:type="dxa"/>
            <w:noWrap w:val="0"/>
            <w:vAlign w:val="center"/>
          </w:tcPr>
          <w:p>
            <w:pPr>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hd w:val="clear" w:color="auto" w:fill="FFFFFF"/>
                <w:lang w:eastAsia="zh-CN"/>
              </w:rPr>
              <w:t>海康威视、三星、大华</w:t>
            </w:r>
            <w:r>
              <w:rPr>
                <w:rFonts w:hint="eastAsia" w:ascii="仿宋_GB2312" w:hAnsi="宋体" w:eastAsia="仿宋_GB2312" w:cs="仿宋_GB2312"/>
                <w:bCs/>
                <w:color w:val="auto"/>
                <w:sz w:val="24"/>
                <w:shd w:val="clear" w:color="auto" w:fill="FFFFFF"/>
                <w:lang w:val="en-US" w:eastAsia="zh-CN"/>
              </w:rPr>
              <w:t>(要求所有推荐品牌全部使用</w:t>
            </w:r>
            <w:r>
              <w:rPr>
                <w:rFonts w:hint="eastAsia" w:ascii="仿宋_GB2312" w:hAnsi="宋体" w:eastAsia="仿宋_GB2312" w:cs="仿宋_GB2312"/>
                <w:bCs/>
                <w:color w:val="auto"/>
                <w:sz w:val="24"/>
                <w:shd w:val="clear" w:color="auto" w:fill="FFFFFF"/>
              </w:rPr>
              <w:t>三星</w:t>
            </w:r>
            <w:r>
              <w:rPr>
                <w:rFonts w:hint="eastAsia" w:ascii="仿宋_GB2312" w:hAnsi="宋体" w:eastAsia="仿宋_GB2312" w:cs="仿宋_GB2312"/>
                <w:bCs/>
                <w:color w:val="auto"/>
                <w:sz w:val="24"/>
                <w:shd w:val="clear" w:color="auto" w:fill="FFFFFF"/>
                <w:lang w:eastAsia="zh-CN"/>
              </w:rPr>
              <w:t>屏体</w:t>
            </w:r>
            <w:r>
              <w:rPr>
                <w:rFonts w:hint="eastAsia" w:ascii="仿宋_GB2312" w:hAnsi="宋体" w:eastAsia="仿宋_GB2312" w:cs="仿宋_GB2312"/>
                <w:bCs/>
                <w:color w:val="auto"/>
                <w:sz w:val="24"/>
                <w:shd w:val="clear" w:color="auto" w:fill="FFFFFF"/>
                <w:lang w:val="en-US" w:eastAsia="zh-CN"/>
              </w:rPr>
              <w:t>)</w:t>
            </w:r>
          </w:p>
        </w:tc>
        <w:tc>
          <w:tcPr>
            <w:tcW w:w="199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center"/>
          </w:tcPr>
          <w:p>
            <w:pPr>
              <w:widowControl/>
              <w:jc w:val="left"/>
              <w:rPr>
                <w:rFonts w:ascii="仿宋_GB2312" w:hAnsi="宋体" w:eastAsia="仿宋_GB2312" w:cs="仿宋_GB2312"/>
                <w:bCs/>
                <w:color w:val="auto"/>
                <w:sz w:val="24"/>
                <w:szCs w:val="20"/>
                <w:shd w:val="clear" w:color="auto" w:fill="FFFFFF"/>
              </w:rPr>
            </w:pPr>
            <w:r>
              <w:rPr>
                <w:rFonts w:hint="eastAsia" w:ascii="仿宋_GB2312" w:hAnsi="宋体" w:eastAsia="仿宋_GB2312" w:cs="仿宋_GB2312"/>
                <w:b/>
                <w:color w:val="auto"/>
                <w:sz w:val="24"/>
                <w:szCs w:val="20"/>
                <w:shd w:val="clear" w:color="auto" w:fill="FFFFFF"/>
              </w:rPr>
              <w:t>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1</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火灾自动报警系统</w:t>
            </w:r>
          </w:p>
        </w:tc>
        <w:tc>
          <w:tcPr>
            <w:tcW w:w="2876"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国产优质</w:t>
            </w:r>
          </w:p>
        </w:tc>
        <w:tc>
          <w:tcPr>
            <w:tcW w:w="1994" w:type="dxa"/>
            <w:noWrap w:val="0"/>
            <w:vAlign w:val="center"/>
          </w:tcPr>
          <w:p>
            <w:pPr>
              <w:widowControl/>
              <w:jc w:val="center"/>
              <w:rPr>
                <w:rFonts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2</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气体灭火系统</w:t>
            </w:r>
          </w:p>
        </w:tc>
        <w:tc>
          <w:tcPr>
            <w:tcW w:w="2876"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国产优质</w:t>
            </w:r>
          </w:p>
        </w:tc>
        <w:tc>
          <w:tcPr>
            <w:tcW w:w="1994" w:type="dxa"/>
            <w:noWrap w:val="0"/>
            <w:vAlign w:val="center"/>
          </w:tcPr>
          <w:p>
            <w:pPr>
              <w:widowControl/>
              <w:jc w:val="center"/>
              <w:rPr>
                <w:rFonts w:ascii="仿宋_GB2312" w:hAnsi="宋体" w:eastAsia="仿宋_GB2312" w:cs="仿宋_GB2312"/>
                <w:bCs/>
                <w:color w:val="auto"/>
                <w:sz w:val="24"/>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widowControl/>
              <w:jc w:val="center"/>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3</w:t>
            </w:r>
          </w:p>
        </w:tc>
        <w:tc>
          <w:tcPr>
            <w:tcW w:w="3118"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水喷淋系统（改造）</w:t>
            </w:r>
          </w:p>
        </w:tc>
        <w:tc>
          <w:tcPr>
            <w:tcW w:w="2876" w:type="dxa"/>
            <w:noWrap w:val="0"/>
            <w:vAlign w:val="center"/>
          </w:tcPr>
          <w:p>
            <w:pPr>
              <w:widowControl/>
              <w:jc w:val="left"/>
              <w:rPr>
                <w:rFonts w:hint="eastAsia" w:ascii="仿宋_GB2312" w:hAnsi="宋体" w:eastAsia="仿宋_GB2312" w:cs="仿宋_GB2312"/>
                <w:bCs/>
                <w:color w:val="auto"/>
                <w:sz w:val="24"/>
                <w:szCs w:val="20"/>
                <w:shd w:val="clear" w:color="auto" w:fill="FFFFFF"/>
              </w:rPr>
            </w:pPr>
            <w:r>
              <w:rPr>
                <w:rFonts w:hint="eastAsia" w:ascii="仿宋_GB2312" w:hAnsi="宋体" w:eastAsia="仿宋_GB2312" w:cs="仿宋_GB2312"/>
                <w:bCs/>
                <w:color w:val="auto"/>
                <w:sz w:val="24"/>
                <w:szCs w:val="20"/>
                <w:shd w:val="clear" w:color="auto" w:fill="FFFFFF"/>
              </w:rPr>
              <w:t>同大楼一致</w:t>
            </w:r>
          </w:p>
        </w:tc>
        <w:tc>
          <w:tcPr>
            <w:tcW w:w="1994" w:type="dxa"/>
            <w:noWrap w:val="0"/>
            <w:vAlign w:val="center"/>
          </w:tcPr>
          <w:p>
            <w:pPr>
              <w:widowControl/>
              <w:jc w:val="center"/>
              <w:rPr>
                <w:rFonts w:ascii="仿宋_GB2312" w:hAnsi="宋体" w:eastAsia="仿宋_GB2312" w:cs="仿宋_GB2312"/>
                <w:bCs/>
                <w:color w:val="auto"/>
                <w:sz w:val="24"/>
                <w:szCs w:val="20"/>
                <w:shd w:val="clear" w:color="auto" w:fill="FFFFFF"/>
              </w:rPr>
            </w:pPr>
          </w:p>
        </w:tc>
      </w:tr>
    </w:tbl>
    <w:p>
      <w:pPr>
        <w:widowControl/>
        <w:rPr>
          <w:rFonts w:hint="eastAsia" w:ascii="仿宋_GB2312" w:hAnsi="宋体" w:eastAsia="仿宋_GB2312" w:cs="仿宋_GB2312"/>
          <w:b/>
          <w:color w:val="000000"/>
          <w:sz w:val="28"/>
          <w:szCs w:val="28"/>
          <w:shd w:val="clear" w:color="auto" w:fill="FFFFFF"/>
        </w:rPr>
      </w:pPr>
    </w:p>
    <w:p>
      <w:pPr>
        <w:widowControl/>
        <w:jc w:val="center"/>
        <w:rPr>
          <w:rFonts w:hint="default" w:ascii="Calibri" w:hAnsi="Calibri" w:eastAsia="仿宋" w:cs="Times New Roman"/>
          <w:sz w:val="28"/>
          <w:szCs w:val="20"/>
          <w:lang w:val="en-US" w:eastAsia="zh-CN"/>
        </w:rPr>
      </w:pPr>
    </w:p>
    <w:p>
      <w:pPr>
        <w:numPr>
          <w:ilvl w:val="0"/>
          <w:numId w:val="0"/>
        </w:numPr>
        <w:jc w:val="both"/>
        <w:rPr>
          <w:rFonts w:hint="default" w:ascii="宋体" w:hAnsi="宋体" w:eastAsia="宋体" w:cs="宋体"/>
          <w:sz w:val="30"/>
          <w:szCs w:val="30"/>
          <w:lang w:val="en-US" w:eastAsia="zh-CN"/>
        </w:rPr>
      </w:pPr>
    </w:p>
    <w:p>
      <w:pPr>
        <w:pageBreakBefore/>
        <w:jc w:val="center"/>
        <w:rPr>
          <w:rFonts w:ascii="黑体" w:hAnsi="黑体" w:eastAsia="黑体"/>
          <w:bCs/>
          <w:color w:val="000000" w:themeColor="text1"/>
          <w:spacing w:val="10"/>
          <w:sz w:val="44"/>
          <w:szCs w:val="44"/>
          <w14:textFill>
            <w14:solidFill>
              <w14:schemeClr w14:val="tx1"/>
            </w14:solidFill>
          </w14:textFill>
        </w:rPr>
      </w:pPr>
      <w:r>
        <w:rPr>
          <w:rFonts w:hint="eastAsia" w:ascii="黑体" w:hAnsi="黑体" w:eastAsia="黑体"/>
          <w:bCs/>
          <w:color w:val="000000" w:themeColor="text1"/>
          <w:spacing w:val="10"/>
          <w:sz w:val="44"/>
          <w:szCs w:val="44"/>
          <w14:textFill>
            <w14:solidFill>
              <w14:schemeClr w14:val="tx1"/>
            </w14:solidFill>
          </w14:textFill>
        </w:rPr>
        <w:t>第四章  合同主要条款</w:t>
      </w:r>
    </w:p>
    <w:p>
      <w:pPr>
        <w:widowControl w:val="0"/>
        <w:spacing w:line="360" w:lineRule="exact"/>
        <w:ind w:firstLine="268" w:firstLineChars="112"/>
        <w:jc w:val="right"/>
        <w:rPr>
          <w:rFonts w:ascii="宋体" w:hAnsi="宋体" w:cs="宋体" w:eastAsiaTheme="minorEastAsia"/>
          <w:bCs/>
          <w:color w:val="000000" w:themeColor="text1"/>
          <w:kern w:val="2"/>
          <w:sz w:val="24"/>
          <w:szCs w:val="24"/>
          <w:lang w:val="en-US" w:eastAsia="zh-CN" w:bidi="ar-SA"/>
          <w14:textFill>
            <w14:solidFill>
              <w14:schemeClr w14:val="tx1"/>
            </w14:solidFill>
          </w14:textFill>
        </w:rPr>
      </w:pPr>
    </w:p>
    <w:p>
      <w:pPr>
        <w:widowControl w:val="0"/>
        <w:jc w:val="both"/>
        <w:rPr>
          <w:rFonts w:ascii="宋体" w:hAnsi="宋体" w:cs="宋体" w:eastAsiaTheme="minorEastAsia"/>
          <w:bCs/>
          <w:color w:val="000000" w:themeColor="text1"/>
          <w:kern w:val="2"/>
          <w:sz w:val="24"/>
          <w:szCs w:val="24"/>
          <w:lang w:val="en-US" w:eastAsia="zh-CN" w:bidi="ar-SA"/>
          <w14:textFill>
            <w14:solidFill>
              <w14:schemeClr w14:val="tx1"/>
            </w14:solidFill>
          </w14:textFill>
        </w:rPr>
      </w:pPr>
      <w:r>
        <w:rPr>
          <w:rFonts w:hint="eastAsia" w:ascii="宋体" w:hAnsi="宋体" w:cs="宋体" w:eastAsiaTheme="minorEastAsia"/>
          <w:bCs/>
          <w:color w:val="000000" w:themeColor="text1"/>
          <w:kern w:val="2"/>
          <w:sz w:val="24"/>
          <w:szCs w:val="24"/>
          <w:lang w:val="en-US" w:eastAsia="zh-CN" w:bidi="ar-SA"/>
          <w14:textFill>
            <w14:solidFill>
              <w14:schemeClr w14:val="tx1"/>
            </w14:solidFill>
          </w14:textFill>
        </w:rPr>
        <w:t>甲方（采购人）：赣州银行股份有限公司</w:t>
      </w:r>
    </w:p>
    <w:p>
      <w:pPr>
        <w:widowControl w:val="0"/>
        <w:spacing w:line="560" w:lineRule="exact"/>
        <w:jc w:val="both"/>
        <w:rPr>
          <w:rFonts w:ascii="宋体" w:hAnsi="宋体" w:cs="宋体" w:eastAsiaTheme="minorEastAsia"/>
          <w:bCs/>
          <w:color w:val="000000" w:themeColor="text1"/>
          <w:kern w:val="2"/>
          <w:sz w:val="24"/>
          <w:szCs w:val="24"/>
          <w:lang w:val="en-US" w:eastAsia="zh-CN" w:bidi="ar-SA"/>
          <w14:textFill>
            <w14:solidFill>
              <w14:schemeClr w14:val="tx1"/>
            </w14:solidFill>
          </w14:textFill>
        </w:rPr>
      </w:pPr>
      <w:r>
        <w:rPr>
          <w:rFonts w:hint="eastAsia" w:ascii="宋体" w:hAnsi="宋体" w:cs="宋体" w:eastAsiaTheme="minorEastAsia"/>
          <w:bCs/>
          <w:color w:val="000000" w:themeColor="text1"/>
          <w:kern w:val="2"/>
          <w:sz w:val="24"/>
          <w:szCs w:val="24"/>
          <w:lang w:val="en-US" w:eastAsia="zh-CN" w:bidi="ar-SA"/>
          <w14:textFill>
            <w14:solidFill>
              <w14:schemeClr w14:val="tx1"/>
            </w14:solidFill>
          </w14:textFill>
        </w:rPr>
        <w:t>乙方（中标人）：</w:t>
      </w:r>
    </w:p>
    <w:p>
      <w:pPr>
        <w:pStyle w:val="10"/>
        <w:spacing w:line="360" w:lineRule="auto"/>
        <w:ind w:left="2" w:leftChars="1" w:firstLine="520" w:firstLineChars="200"/>
        <w:jc w:val="both"/>
        <w:rPr>
          <w:rFonts w:ascii="宋体" w:hAnsi="宋体" w:eastAsia="宋体" w:cs="宋体"/>
          <w:bCs/>
          <w:color w:val="000000" w:themeColor="text1"/>
          <w:spacing w:val="10"/>
          <w:kern w:val="0"/>
          <w:sz w:val="24"/>
          <w:szCs w:val="24"/>
          <w14:textFill>
            <w14:solidFill>
              <w14:schemeClr w14:val="tx1"/>
            </w14:solidFill>
          </w14:textFill>
        </w:rPr>
      </w:pPr>
      <w:r>
        <w:rPr>
          <w:rFonts w:hint="eastAsia" w:ascii="宋体" w:hAnsi="宋体" w:eastAsia="宋体" w:cs="宋体"/>
          <w:bCs/>
          <w:color w:val="000000" w:themeColor="text1"/>
          <w:spacing w:val="10"/>
          <w:kern w:val="0"/>
          <w:sz w:val="24"/>
          <w:szCs w:val="24"/>
          <w14:textFill>
            <w14:solidFill>
              <w14:schemeClr w14:val="tx1"/>
            </w14:solidFill>
          </w14:textFill>
        </w:rPr>
        <w:t>甲、乙</w:t>
      </w:r>
      <w:r>
        <w:rPr>
          <w:rFonts w:hint="eastAsia" w:ascii="宋体" w:hAnsi="宋体" w:eastAsia="宋体" w:cs="宋体"/>
          <w:bCs/>
          <w:color w:val="000000" w:themeColor="text1"/>
          <w:spacing w:val="10"/>
          <w:kern w:val="0"/>
          <w:sz w:val="24"/>
          <w:szCs w:val="24"/>
          <w:lang w:eastAsia="zh-CN"/>
          <w14:textFill>
            <w14:solidFill>
              <w14:schemeClr w14:val="tx1"/>
            </w14:solidFill>
          </w14:textFill>
        </w:rPr>
        <w:t>两</w:t>
      </w:r>
      <w:r>
        <w:rPr>
          <w:rFonts w:hint="eastAsia" w:ascii="宋体" w:hAnsi="宋体" w:eastAsia="宋体" w:cs="宋体"/>
          <w:bCs/>
          <w:color w:val="000000" w:themeColor="text1"/>
          <w:spacing w:val="10"/>
          <w:kern w:val="0"/>
          <w:sz w:val="24"/>
          <w:szCs w:val="24"/>
          <w14:textFill>
            <w14:solidFill>
              <w14:schemeClr w14:val="tx1"/>
            </w14:solidFill>
          </w14:textFill>
        </w:rPr>
        <w:t>方根据2020年  月  日举行的赣州银行股份有限公司赣州银行南康灾备</w:t>
      </w:r>
      <w:r>
        <w:rPr>
          <w:rFonts w:hint="eastAsia" w:ascii="宋体" w:hAnsi="宋体" w:eastAsia="宋体" w:cs="宋体"/>
          <w:bCs/>
          <w:color w:val="000000" w:themeColor="text1"/>
          <w:spacing w:val="10"/>
          <w:kern w:val="0"/>
          <w:sz w:val="24"/>
          <w:szCs w:val="24"/>
          <w:lang w:val="zh-CN"/>
          <w14:textFill>
            <w14:solidFill>
              <w14:schemeClr w14:val="tx1"/>
            </w14:solidFill>
          </w14:textFill>
        </w:rPr>
        <w:t>数据中心设计及施工一体化总承包工程</w:t>
      </w:r>
      <w:r>
        <w:rPr>
          <w:rFonts w:hint="eastAsia" w:ascii="宋体" w:hAnsi="宋体" w:eastAsia="宋体" w:cs="宋体"/>
          <w:bCs/>
          <w:color w:val="000000" w:themeColor="text1"/>
          <w:spacing w:val="10"/>
          <w:kern w:val="0"/>
          <w:sz w:val="24"/>
          <w:szCs w:val="24"/>
          <w14:textFill>
            <w14:solidFill>
              <w14:schemeClr w14:val="tx1"/>
            </w14:solidFill>
          </w14:textFill>
        </w:rPr>
        <w:t>招标项目(招标编号：JXJH2020-GZ-G007)公开招标开标结果，依据本项目招标文件、投标文件及中标通知书达成本合同。</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1.工程概况</w:t>
      </w:r>
    </w:p>
    <w:p>
      <w:pPr>
        <w:pStyle w:val="14"/>
        <w:adjustRightInd w:val="0"/>
        <w:snapToGrid w:val="0"/>
        <w:spacing w:line="360" w:lineRule="auto"/>
        <w:rPr>
          <w:rFonts w:hint="eastAsia" w:hAnsi="宋体" w:eastAsiaTheme="minorEastAsia"/>
          <w:color w:val="000000"/>
          <w:sz w:val="24"/>
          <w:szCs w:val="24"/>
          <w:u w:val="single"/>
          <w:lang w:eastAsia="zh-CN"/>
        </w:rPr>
      </w:pPr>
      <w:r>
        <w:rPr>
          <w:rFonts w:hint="eastAsia" w:hAnsi="宋体"/>
          <w:color w:val="000000"/>
          <w:sz w:val="24"/>
          <w:szCs w:val="24"/>
        </w:rPr>
        <w:t xml:space="preserve">    1.1工程名称：</w:t>
      </w:r>
      <w:r>
        <w:rPr>
          <w:rFonts w:hint="eastAsia" w:hAnsi="宋体"/>
          <w:color w:val="000000"/>
          <w:sz w:val="24"/>
          <w:szCs w:val="24"/>
          <w:lang w:eastAsia="zh-CN"/>
        </w:rPr>
        <w:t>赣州银行南康灾备数据中心设计及施工一体化总承包工程</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工程地点：赣州市</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工程内容：施工图纸、工程量清单、技术规格书所涵盖的所有内容</w:t>
      </w:r>
    </w:p>
    <w:p>
      <w:pPr>
        <w:pStyle w:val="14"/>
        <w:adjustRightInd w:val="0"/>
        <w:snapToGrid w:val="0"/>
        <w:spacing w:line="360" w:lineRule="auto"/>
        <w:rPr>
          <w:rFonts w:hint="eastAsia" w:hAnsi="宋体"/>
          <w:color w:val="000000"/>
          <w:sz w:val="24"/>
          <w:szCs w:val="24"/>
          <w:u w:val="single"/>
        </w:rPr>
      </w:pPr>
      <w:r>
        <w:rPr>
          <w:rFonts w:hint="eastAsia" w:hAnsi="宋体"/>
          <w:color w:val="000000"/>
          <w:sz w:val="24"/>
          <w:szCs w:val="24"/>
        </w:rPr>
        <w:t xml:space="preserve">        承包方式：包设备材料、包施工安装、包调试、包质量、包工期、包安全、包检测、包技术培训、包验收、包三年的免费维修保养，以固定总价包干的方式</w:t>
      </w:r>
      <w:r>
        <w:rPr>
          <w:rFonts w:ascii="Times New Roman" w:hAnsi="宋体"/>
          <w:color w:val="000000"/>
          <w:sz w:val="24"/>
          <w:szCs w:val="24"/>
        </w:rPr>
        <w:t>施工总承包</w:t>
      </w:r>
      <w:r>
        <w:rPr>
          <w:rFonts w:hint="eastAsia" w:ascii="Times New Roman" w:hAnsi="宋体"/>
          <w:color w:val="000000"/>
          <w:sz w:val="24"/>
          <w:szCs w:val="24"/>
        </w:rPr>
        <w:t>（其中暂估价项目价格以竣工后工程结算审核单位审核价格为准）</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1.2 资金来源：企业自筹</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2.承包范围：招标文件、施工图纸、工程量清单、技术规格书及投标文件承诺范围内的数据中心机房（土建、安装、装修、改造、维修）施工</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3.合同工期 定额工期总天数：120天。</w:t>
      </w:r>
    </w:p>
    <w:p>
      <w:pPr>
        <w:pStyle w:val="14"/>
        <w:adjustRightInd w:val="0"/>
        <w:snapToGrid w:val="0"/>
        <w:spacing w:line="360" w:lineRule="auto"/>
        <w:rPr>
          <w:rFonts w:hint="eastAsia" w:hAnsi="宋体" w:eastAsiaTheme="minorEastAsia"/>
          <w:color w:val="000000"/>
          <w:sz w:val="24"/>
          <w:szCs w:val="24"/>
          <w:lang w:eastAsia="zh-CN"/>
        </w:rPr>
      </w:pPr>
      <w:r>
        <w:rPr>
          <w:rFonts w:hint="eastAsia" w:hAnsi="宋体"/>
          <w:color w:val="000000"/>
          <w:sz w:val="24"/>
          <w:szCs w:val="24"/>
        </w:rPr>
        <w:t xml:space="preserve">    开工日期：</w:t>
      </w:r>
      <w:r>
        <w:rPr>
          <w:rFonts w:hint="eastAsia" w:hAnsi="宋体"/>
          <w:color w:val="000000"/>
          <w:sz w:val="24"/>
          <w:szCs w:val="24"/>
          <w:lang w:val="en-US" w:eastAsia="zh-CN"/>
        </w:rPr>
        <w:t xml:space="preserve"> </w:t>
      </w:r>
    </w:p>
    <w:p>
      <w:pPr>
        <w:pStyle w:val="14"/>
        <w:adjustRightInd w:val="0"/>
        <w:snapToGrid w:val="0"/>
        <w:spacing w:line="360" w:lineRule="auto"/>
        <w:rPr>
          <w:rFonts w:hint="eastAsia" w:hAnsi="宋体" w:eastAsiaTheme="minorEastAsia"/>
          <w:color w:val="000000"/>
          <w:sz w:val="24"/>
          <w:szCs w:val="24"/>
          <w:lang w:eastAsia="zh-CN"/>
        </w:rPr>
      </w:pPr>
      <w:r>
        <w:rPr>
          <w:rFonts w:hint="eastAsia" w:hAnsi="宋体"/>
          <w:color w:val="000000"/>
          <w:sz w:val="24"/>
          <w:szCs w:val="24"/>
        </w:rPr>
        <w:t xml:space="preserve">    竣工日期：</w:t>
      </w:r>
      <w:r>
        <w:rPr>
          <w:rFonts w:hint="eastAsia" w:hAnsi="宋体"/>
          <w:color w:val="000000"/>
          <w:sz w:val="24"/>
          <w:szCs w:val="24"/>
          <w:lang w:val="en-US" w:eastAsia="zh-CN"/>
        </w:rPr>
        <w:t xml:space="preserve"> </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4.质量等级：国家A级机房标准</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5.合同价款：本合同工程承包造价为</w:t>
      </w:r>
      <w:r>
        <w:rPr>
          <w:rFonts w:hint="eastAsia" w:hAnsi="宋体"/>
          <w:color w:val="000000"/>
          <w:sz w:val="24"/>
          <w:szCs w:val="24"/>
          <w:u w:val="single"/>
          <w:lang w:val="en-US" w:eastAsia="zh-CN"/>
        </w:rPr>
        <w:t xml:space="preserve">              </w:t>
      </w:r>
      <w:r>
        <w:rPr>
          <w:rFonts w:hint="eastAsia" w:hAnsi="宋体"/>
          <w:color w:val="000000"/>
          <w:sz w:val="24"/>
          <w:szCs w:val="24"/>
        </w:rPr>
        <w:t>元。</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金额大写：</w:t>
      </w:r>
      <w:r>
        <w:rPr>
          <w:rFonts w:hint="eastAsia" w:hAnsi="宋体"/>
          <w:color w:val="000000"/>
          <w:sz w:val="24"/>
          <w:szCs w:val="24"/>
          <w:u w:val="single"/>
          <w:lang w:val="en-US" w:eastAsia="zh-CN"/>
        </w:rPr>
        <w:t xml:space="preserve">                                                </w:t>
      </w:r>
      <w:r>
        <w:rPr>
          <w:rFonts w:hint="eastAsia" w:hAnsi="宋体"/>
          <w:color w:val="000000"/>
          <w:sz w:val="24"/>
          <w:szCs w:val="24"/>
        </w:rPr>
        <w:t>。</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6.合同组成及澄清顺序 </w:t>
      </w:r>
    </w:p>
    <w:p>
      <w:pPr>
        <w:pStyle w:val="12"/>
        <w:adjustRightInd w:val="0"/>
        <w:snapToGrid w:val="0"/>
        <w:spacing w:line="360" w:lineRule="auto"/>
        <w:ind w:firstLine="0"/>
        <w:rPr>
          <w:rFonts w:ascii="宋体" w:hAnsi="宋体"/>
          <w:color w:val="000000"/>
          <w:sz w:val="24"/>
          <w:szCs w:val="24"/>
        </w:rPr>
      </w:pPr>
      <w:r>
        <w:rPr>
          <w:rFonts w:hint="eastAsia" w:ascii="宋体" w:hAnsi="宋体"/>
          <w:color w:val="000000"/>
          <w:sz w:val="24"/>
          <w:szCs w:val="24"/>
        </w:rPr>
        <w:t xml:space="preserve">   (l）合同协议书；</w:t>
      </w:r>
    </w:p>
    <w:p>
      <w:pPr>
        <w:pStyle w:val="12"/>
        <w:adjustRightInd w:val="0"/>
        <w:snapToGrid w:val="0"/>
        <w:spacing w:line="360" w:lineRule="auto"/>
        <w:ind w:left="101" w:leftChars="48" w:firstLine="360" w:firstLineChars="150"/>
        <w:rPr>
          <w:rFonts w:hint="eastAsia" w:ascii="宋体" w:hAnsi="宋体"/>
          <w:color w:val="000000"/>
          <w:sz w:val="24"/>
          <w:szCs w:val="24"/>
        </w:rPr>
      </w:pPr>
      <w:r>
        <w:rPr>
          <w:rFonts w:hint="eastAsia" w:ascii="宋体" w:hAnsi="宋体"/>
          <w:color w:val="000000"/>
          <w:sz w:val="24"/>
          <w:szCs w:val="24"/>
        </w:rPr>
        <w:t>(2）中标通知书；</w:t>
      </w:r>
    </w:p>
    <w:p>
      <w:pPr>
        <w:pStyle w:val="12"/>
        <w:adjustRightInd w:val="0"/>
        <w:snapToGrid w:val="0"/>
        <w:spacing w:line="360" w:lineRule="auto"/>
        <w:ind w:left="197" w:leftChars="94" w:firstLine="120" w:firstLineChars="50"/>
        <w:rPr>
          <w:rFonts w:ascii="宋体" w:hAnsi="宋体"/>
          <w:color w:val="000000"/>
          <w:sz w:val="24"/>
          <w:szCs w:val="24"/>
        </w:rPr>
      </w:pPr>
      <w:r>
        <w:rPr>
          <w:rFonts w:hint="eastAsia" w:ascii="宋体" w:hAnsi="宋体"/>
          <w:color w:val="000000"/>
          <w:sz w:val="24"/>
          <w:szCs w:val="24"/>
        </w:rPr>
        <w:t>（3）招标文件；</w:t>
      </w:r>
    </w:p>
    <w:p>
      <w:pPr>
        <w:pStyle w:val="12"/>
        <w:adjustRightInd w:val="0"/>
        <w:snapToGrid w:val="0"/>
        <w:spacing w:line="360" w:lineRule="auto"/>
        <w:ind w:left="101" w:leftChars="48" w:firstLine="360" w:firstLineChars="150"/>
        <w:rPr>
          <w:rFonts w:hint="eastAsia" w:ascii="宋体" w:hAnsi="宋体"/>
          <w:color w:val="000000"/>
          <w:sz w:val="24"/>
          <w:szCs w:val="24"/>
        </w:rPr>
      </w:pPr>
      <w:r>
        <w:rPr>
          <w:rFonts w:hint="eastAsia" w:ascii="宋体" w:hAnsi="宋体"/>
          <w:color w:val="000000"/>
          <w:sz w:val="24"/>
          <w:szCs w:val="24"/>
        </w:rPr>
        <w:t>(4）投标文件；</w:t>
      </w:r>
    </w:p>
    <w:p>
      <w:pPr>
        <w:pStyle w:val="12"/>
        <w:adjustRightInd w:val="0"/>
        <w:snapToGrid w:val="0"/>
        <w:spacing w:line="360" w:lineRule="auto"/>
        <w:ind w:left="101" w:leftChars="48" w:firstLine="360" w:firstLineChars="150"/>
        <w:rPr>
          <w:rFonts w:ascii="宋体" w:hAnsi="宋体"/>
          <w:color w:val="000000"/>
          <w:sz w:val="24"/>
          <w:szCs w:val="24"/>
        </w:rPr>
      </w:pPr>
      <w:r>
        <w:rPr>
          <w:rFonts w:hint="eastAsia" w:ascii="宋体" w:hAnsi="宋体"/>
          <w:color w:val="000000"/>
          <w:sz w:val="24"/>
          <w:szCs w:val="24"/>
        </w:rPr>
        <w:t>(5）专用合同条款；</w:t>
      </w:r>
    </w:p>
    <w:p>
      <w:pPr>
        <w:pStyle w:val="12"/>
        <w:adjustRightInd w:val="0"/>
        <w:snapToGrid w:val="0"/>
        <w:spacing w:line="360" w:lineRule="auto"/>
        <w:ind w:left="101" w:leftChars="48" w:firstLine="360" w:firstLineChars="150"/>
        <w:rPr>
          <w:rFonts w:ascii="宋体" w:hAnsi="宋体"/>
          <w:color w:val="000000"/>
          <w:sz w:val="24"/>
          <w:szCs w:val="24"/>
        </w:rPr>
      </w:pPr>
      <w:r>
        <w:rPr>
          <w:rFonts w:hint="eastAsia" w:ascii="宋体" w:hAnsi="宋体"/>
          <w:color w:val="000000"/>
          <w:sz w:val="24"/>
          <w:szCs w:val="24"/>
        </w:rPr>
        <w:t>(6）通用合同条款；</w:t>
      </w:r>
    </w:p>
    <w:p>
      <w:pPr>
        <w:pStyle w:val="12"/>
        <w:adjustRightInd w:val="0"/>
        <w:snapToGrid w:val="0"/>
        <w:spacing w:line="360" w:lineRule="auto"/>
        <w:ind w:left="101" w:leftChars="48" w:firstLine="360" w:firstLineChars="150"/>
        <w:rPr>
          <w:rFonts w:ascii="宋体" w:hAnsi="宋体"/>
          <w:color w:val="000000"/>
          <w:sz w:val="24"/>
          <w:szCs w:val="24"/>
        </w:rPr>
      </w:pPr>
      <w:r>
        <w:rPr>
          <w:rFonts w:hint="eastAsia" w:ascii="宋体" w:hAnsi="宋体"/>
          <w:color w:val="000000"/>
          <w:sz w:val="24"/>
          <w:szCs w:val="24"/>
        </w:rPr>
        <w:t>(7）技术标准和要求；</w:t>
      </w:r>
    </w:p>
    <w:p>
      <w:pPr>
        <w:pStyle w:val="12"/>
        <w:adjustRightInd w:val="0"/>
        <w:snapToGrid w:val="0"/>
        <w:spacing w:line="360" w:lineRule="auto"/>
        <w:ind w:left="101" w:leftChars="48" w:firstLine="360" w:firstLineChars="150"/>
        <w:rPr>
          <w:rFonts w:ascii="宋体" w:hAnsi="宋体"/>
          <w:color w:val="000000"/>
          <w:sz w:val="24"/>
          <w:szCs w:val="24"/>
        </w:rPr>
      </w:pPr>
      <w:r>
        <w:rPr>
          <w:rFonts w:hint="eastAsia" w:ascii="宋体" w:hAnsi="宋体"/>
          <w:color w:val="000000"/>
          <w:sz w:val="24"/>
          <w:szCs w:val="24"/>
        </w:rPr>
        <w:t>(8）图纸；</w:t>
      </w:r>
    </w:p>
    <w:p>
      <w:pPr>
        <w:pStyle w:val="12"/>
        <w:adjustRightInd w:val="0"/>
        <w:snapToGrid w:val="0"/>
        <w:spacing w:line="360" w:lineRule="auto"/>
        <w:ind w:left="101" w:leftChars="48" w:firstLine="360" w:firstLineChars="150"/>
        <w:rPr>
          <w:rFonts w:ascii="宋体" w:hAnsi="宋体"/>
          <w:color w:val="000000"/>
          <w:sz w:val="24"/>
          <w:szCs w:val="24"/>
        </w:rPr>
      </w:pPr>
      <w:r>
        <w:rPr>
          <w:rFonts w:hint="eastAsia" w:ascii="宋体" w:hAnsi="宋体"/>
          <w:color w:val="000000"/>
          <w:sz w:val="24"/>
          <w:szCs w:val="24"/>
        </w:rPr>
        <w:t>(9）已标价工程量清单；</w:t>
      </w:r>
    </w:p>
    <w:p>
      <w:pPr>
        <w:pStyle w:val="12"/>
        <w:adjustRightInd w:val="0"/>
        <w:snapToGrid w:val="0"/>
        <w:spacing w:line="360" w:lineRule="auto"/>
        <w:ind w:left="101" w:leftChars="48" w:firstLine="360" w:firstLineChars="150"/>
        <w:rPr>
          <w:rFonts w:ascii="宋体" w:hAnsi="宋体"/>
          <w:color w:val="000000"/>
          <w:sz w:val="24"/>
          <w:szCs w:val="24"/>
        </w:rPr>
      </w:pPr>
      <w:r>
        <w:rPr>
          <w:rFonts w:hint="eastAsia" w:ascii="宋体" w:hAnsi="宋体"/>
          <w:color w:val="000000"/>
          <w:sz w:val="24"/>
          <w:szCs w:val="24"/>
        </w:rPr>
        <w:t>(10）其他合同文件；</w:t>
      </w:r>
    </w:p>
    <w:p>
      <w:pPr>
        <w:pStyle w:val="12"/>
        <w:adjustRightInd w:val="0"/>
        <w:snapToGrid w:val="0"/>
        <w:spacing w:line="360" w:lineRule="auto"/>
        <w:ind w:left="0" w:firstLine="0"/>
        <w:rPr>
          <w:rFonts w:hint="eastAsia"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w:t>
      </w:r>
      <w:r>
        <w:rPr>
          <w:rFonts w:hint="eastAsia" w:ascii="宋体" w:hAnsi="宋体"/>
          <w:color w:val="000000"/>
          <w:sz w:val="24"/>
          <w:szCs w:val="24"/>
        </w:rPr>
        <w:t>11</w:t>
      </w:r>
      <w:r>
        <w:rPr>
          <w:rFonts w:ascii="宋体" w:hAnsi="宋体"/>
          <w:color w:val="000000"/>
          <w:sz w:val="24"/>
          <w:szCs w:val="24"/>
        </w:rPr>
        <w:t xml:space="preserve">)  </w:t>
      </w:r>
      <w:r>
        <w:rPr>
          <w:rFonts w:hint="eastAsia"/>
          <w:color w:val="000000"/>
          <w:sz w:val="24"/>
          <w:szCs w:val="24"/>
        </w:rPr>
        <w:t>其它已纳入或将纳入本协议的具有合同约束力的信函、纪要、书面往来等文件</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7. 本协议书中的措辞和用语应和本合同通用条款中分别赋予他们的定义具有相同的含义。</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8. 考虑到上述合同文件中约定的甲方准备支付给乙方的各项款项，乙方特此立约向甲方保证，乙方将在各方面均遵照本合同的约定进行本工程的施工、工期、交付并修补其任何缺陷。</w:t>
      </w:r>
    </w:p>
    <w:p>
      <w:pPr>
        <w:pStyle w:val="14"/>
        <w:adjustRightInd w:val="0"/>
        <w:snapToGrid w:val="0"/>
        <w:spacing w:line="360" w:lineRule="auto"/>
        <w:rPr>
          <w:rFonts w:hint="eastAsia" w:hAnsi="宋体"/>
          <w:sz w:val="24"/>
          <w:szCs w:val="24"/>
        </w:rPr>
      </w:pPr>
      <w:r>
        <w:rPr>
          <w:rFonts w:hint="eastAsia" w:hAnsi="宋体"/>
          <w:color w:val="FF0000"/>
          <w:sz w:val="24"/>
          <w:szCs w:val="24"/>
        </w:rPr>
        <w:t xml:space="preserve">   </w:t>
      </w:r>
      <w:r>
        <w:rPr>
          <w:rFonts w:hint="eastAsia" w:hAnsi="宋体"/>
          <w:sz w:val="24"/>
          <w:szCs w:val="24"/>
        </w:rPr>
        <w:t xml:space="preserve"> 9. 甲方特此立约向乙方保证，甲方将在本合同约定的各项期限内和以本合同约定的方式，向乙方支付合同价格或本合同约定的乙方应得的其他款项，以作为对本工程的施工、工期、交付并修补其任何缺陷的报酬。</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10. 除非为本合同目的，本协议书双方不得向任何第三方出示或泄露本合同的内容。</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11. 本合同自订立之日起生效。</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12合同份数</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12.1本合同正本一式</w:t>
      </w:r>
      <w:r>
        <w:rPr>
          <w:rFonts w:hint="eastAsia" w:hAnsi="宋体"/>
          <w:color w:val="000000"/>
          <w:sz w:val="24"/>
          <w:szCs w:val="24"/>
          <w:lang w:eastAsia="zh-CN"/>
        </w:rPr>
        <w:t>肆</w:t>
      </w:r>
      <w:r>
        <w:rPr>
          <w:rFonts w:hint="eastAsia" w:hAnsi="宋体"/>
          <w:color w:val="000000"/>
          <w:sz w:val="24"/>
          <w:szCs w:val="24"/>
        </w:rPr>
        <w:t>份具有同等效力，由甲乙双方各执贰份。</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甲方(公章)                        乙方(公章)</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地址：  </w:t>
      </w:r>
      <w:r>
        <w:rPr>
          <w:rFonts w:hint="eastAsia" w:hAnsi="宋体"/>
          <w:color w:val="000000"/>
          <w:sz w:val="24"/>
          <w:szCs w:val="24"/>
        </w:rPr>
        <w:tab/>
      </w:r>
      <w:r>
        <w:rPr>
          <w:rFonts w:hint="eastAsia" w:hAnsi="宋体"/>
          <w:color w:val="000000"/>
          <w:sz w:val="24"/>
          <w:szCs w:val="24"/>
        </w:rPr>
        <w:tab/>
      </w:r>
      <w:r>
        <w:rPr>
          <w:rFonts w:hint="eastAsia" w:hAnsi="宋体"/>
          <w:color w:val="000000"/>
          <w:sz w:val="24"/>
          <w:szCs w:val="24"/>
        </w:rPr>
        <w:tab/>
      </w:r>
      <w:r>
        <w:rPr>
          <w:rFonts w:hint="eastAsia" w:hAnsi="宋体"/>
          <w:color w:val="000000"/>
          <w:sz w:val="24"/>
          <w:szCs w:val="24"/>
        </w:rPr>
        <w:tab/>
      </w:r>
      <w:r>
        <w:rPr>
          <w:rFonts w:hint="eastAsia" w:hAnsi="宋体"/>
          <w:color w:val="000000"/>
          <w:sz w:val="24"/>
          <w:szCs w:val="24"/>
        </w:rPr>
        <w:tab/>
      </w:r>
      <w:r>
        <w:rPr>
          <w:rFonts w:hint="eastAsia" w:hAnsi="宋体"/>
          <w:color w:val="000000"/>
          <w:sz w:val="24"/>
          <w:szCs w:val="24"/>
        </w:rPr>
        <w:t xml:space="preserve">     </w:t>
      </w:r>
      <w:r>
        <w:rPr>
          <w:rFonts w:hint="eastAsia" w:hAnsi="宋体"/>
          <w:color w:val="000000"/>
          <w:sz w:val="24"/>
          <w:szCs w:val="24"/>
          <w:lang w:val="en-US" w:eastAsia="zh-CN"/>
        </w:rPr>
        <w:t xml:space="preserve">    </w:t>
      </w:r>
      <w:r>
        <w:rPr>
          <w:rFonts w:hint="eastAsia" w:hAnsi="宋体"/>
          <w:color w:val="000000"/>
          <w:sz w:val="24"/>
          <w:szCs w:val="24"/>
        </w:rPr>
        <w:t xml:space="preserve"> 地址：</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法定代表人：                      法定代表人：</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委托代理人：                      委托代理人：</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开户银行：                        开户银行：</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帐号：                            帐号：</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电话：                            电话：</w:t>
      </w:r>
    </w:p>
    <w:p>
      <w:pPr>
        <w:pStyle w:val="14"/>
        <w:adjustRightInd w:val="0"/>
        <w:snapToGrid w:val="0"/>
        <w:spacing w:line="360" w:lineRule="auto"/>
        <w:rPr>
          <w:rFonts w:hint="eastAsia" w:hAnsi="宋体"/>
          <w:color w:val="000000"/>
          <w:sz w:val="24"/>
          <w:szCs w:val="24"/>
        </w:rPr>
      </w:pPr>
      <w:r>
        <w:rPr>
          <w:rFonts w:hint="eastAsia" w:hAnsi="宋体"/>
          <w:color w:val="000000"/>
          <w:sz w:val="24"/>
          <w:szCs w:val="24"/>
        </w:rPr>
        <w:t xml:space="preserve">    电传：                            电传：</w:t>
      </w:r>
    </w:p>
    <w:p>
      <w:pPr>
        <w:pStyle w:val="14"/>
        <w:adjustRightInd w:val="0"/>
        <w:snapToGrid w:val="0"/>
        <w:spacing w:line="360" w:lineRule="auto"/>
        <w:rPr>
          <w:b/>
          <w:sz w:val="24"/>
          <w:szCs w:val="24"/>
        </w:rPr>
      </w:pPr>
      <w:r>
        <w:rPr>
          <w:rFonts w:hint="eastAsia" w:hAnsi="宋体"/>
          <w:color w:val="000000"/>
          <w:sz w:val="24"/>
          <w:szCs w:val="24"/>
        </w:rPr>
        <w:t xml:space="preserve">    邮政编码：                        邮政编码：</w:t>
      </w:r>
    </w:p>
    <w:p>
      <w:pPr>
        <w:widowControl w:val="0"/>
        <w:spacing w:line="520" w:lineRule="exact"/>
        <w:ind w:right="420"/>
        <w:jc w:val="right"/>
        <w:rPr>
          <w:rFonts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2020年  月  日</w:t>
      </w:r>
    </w:p>
    <w:p>
      <w:pPr>
        <w:adjustRightInd w:val="0"/>
        <w:snapToGrid w:val="0"/>
        <w:spacing w:before="120" w:after="120" w:line="360" w:lineRule="auto"/>
        <w:jc w:val="left"/>
        <w:rPr>
          <w:rFonts w:hint="eastAsia" w:ascii="宋体" w:hAnsi="宋体"/>
          <w:b/>
          <w:color w:val="000000"/>
          <w:sz w:val="24"/>
          <w:szCs w:val="24"/>
        </w:rPr>
      </w:pPr>
      <w:r>
        <w:rPr>
          <w:b/>
          <w:sz w:val="24"/>
          <w:szCs w:val="24"/>
        </w:rPr>
        <w:br w:type="page"/>
      </w:r>
      <w:r>
        <w:rPr>
          <w:rFonts w:hint="eastAsia" w:ascii="宋体" w:hAnsi="宋体"/>
          <w:b/>
          <w:color w:val="000000"/>
          <w:sz w:val="24"/>
          <w:szCs w:val="24"/>
        </w:rPr>
        <w:t>第二部分、通用条款</w:t>
      </w:r>
    </w:p>
    <w:p>
      <w:pPr>
        <w:adjustRightInd w:val="0"/>
        <w:snapToGrid w:val="0"/>
        <w:spacing w:line="360" w:lineRule="auto"/>
        <w:rPr>
          <w:rFonts w:hint="eastAsia"/>
          <w:color w:val="000000"/>
          <w:sz w:val="24"/>
          <w:szCs w:val="24"/>
        </w:rPr>
      </w:pPr>
    </w:p>
    <w:p>
      <w:pPr>
        <w:adjustRightInd w:val="0"/>
        <w:snapToGrid w:val="0"/>
        <w:spacing w:line="360" w:lineRule="auto"/>
        <w:rPr>
          <w:color w:val="000000"/>
          <w:sz w:val="24"/>
          <w:szCs w:val="24"/>
        </w:rPr>
      </w:pPr>
      <w:r>
        <w:rPr>
          <w:rFonts w:hint="eastAsia"/>
          <w:color w:val="000000"/>
          <w:sz w:val="24"/>
          <w:szCs w:val="24"/>
        </w:rPr>
        <w:t>一、词语定义及合同文件</w:t>
      </w:r>
    </w:p>
    <w:p>
      <w:pPr>
        <w:adjustRightInd w:val="0"/>
        <w:snapToGrid w:val="0"/>
        <w:spacing w:line="360" w:lineRule="auto"/>
        <w:rPr>
          <w:color w:val="000000"/>
          <w:sz w:val="24"/>
          <w:szCs w:val="24"/>
        </w:rPr>
      </w:pPr>
      <w:r>
        <w:rPr>
          <w:rFonts w:hint="eastAsia"/>
          <w:color w:val="000000"/>
          <w:sz w:val="24"/>
          <w:szCs w:val="24"/>
        </w:rPr>
        <w:t>　　１、词语定义</w:t>
      </w:r>
    </w:p>
    <w:p>
      <w:pPr>
        <w:adjustRightInd w:val="0"/>
        <w:snapToGrid w:val="0"/>
        <w:spacing w:line="360" w:lineRule="auto"/>
        <w:rPr>
          <w:color w:val="000000"/>
          <w:sz w:val="24"/>
          <w:szCs w:val="24"/>
        </w:rPr>
      </w:pPr>
      <w:r>
        <w:rPr>
          <w:rFonts w:hint="eastAsia"/>
          <w:color w:val="000000"/>
          <w:sz w:val="24"/>
          <w:szCs w:val="24"/>
        </w:rPr>
        <w:t>　　下列词语除专用条款另有约定外，应具有本条所赋予的定义：</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1.1</w:t>
      </w:r>
      <w:r>
        <w:rPr>
          <w:rFonts w:hint="eastAsia"/>
          <w:color w:val="000000"/>
          <w:sz w:val="24"/>
          <w:szCs w:val="24"/>
        </w:rPr>
        <w:t>通用条款：</w:t>
      </w:r>
      <w:r>
        <w:rPr>
          <w:color w:val="000000"/>
          <w:sz w:val="24"/>
          <w:szCs w:val="24"/>
        </w:rPr>
        <w:t xml:space="preserve"> </w:t>
      </w:r>
      <w:r>
        <w:rPr>
          <w:rFonts w:hint="eastAsia"/>
          <w:color w:val="000000"/>
          <w:sz w:val="24"/>
          <w:szCs w:val="24"/>
        </w:rPr>
        <w:t>是根据法律、行政法规规定及建设工程施工的需要订立，通用于建设工程施工的条款。</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1.2</w:t>
      </w:r>
      <w:r>
        <w:rPr>
          <w:rFonts w:hint="eastAsia"/>
          <w:color w:val="000000"/>
          <w:sz w:val="24"/>
          <w:szCs w:val="24"/>
        </w:rPr>
        <w:t>专用条款：</w:t>
      </w:r>
      <w:r>
        <w:rPr>
          <w:color w:val="000000"/>
          <w:sz w:val="24"/>
          <w:szCs w:val="24"/>
        </w:rPr>
        <w:t xml:space="preserve"> </w:t>
      </w:r>
      <w:r>
        <w:rPr>
          <w:rFonts w:hint="eastAsia"/>
          <w:color w:val="000000"/>
          <w:sz w:val="24"/>
          <w:szCs w:val="24"/>
        </w:rPr>
        <w:t>是发包人与承包人根据法律、行政法规规定，结合具体工程实际，经协商达成一致意见的条款，是对通用条款的具体化、补充或修改。</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1.3</w:t>
      </w:r>
      <w:r>
        <w:rPr>
          <w:rFonts w:hint="eastAsia"/>
          <w:color w:val="000000"/>
          <w:sz w:val="24"/>
          <w:szCs w:val="24"/>
        </w:rPr>
        <w:t>发包人：</w:t>
      </w:r>
      <w:r>
        <w:rPr>
          <w:color w:val="000000"/>
          <w:sz w:val="24"/>
          <w:szCs w:val="24"/>
        </w:rPr>
        <w:t xml:space="preserve"> </w:t>
      </w:r>
      <w:r>
        <w:rPr>
          <w:rFonts w:hint="eastAsia"/>
          <w:color w:val="000000"/>
          <w:sz w:val="24"/>
          <w:szCs w:val="24"/>
        </w:rPr>
        <w:t>指在协议书中约定，具有工程发包主体资格和支付工程价款能力的当事人以及取得该当事人资格的合法继承人。</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1.4</w:t>
      </w:r>
      <w:r>
        <w:rPr>
          <w:rFonts w:hint="eastAsia"/>
          <w:color w:val="000000"/>
          <w:sz w:val="24"/>
          <w:szCs w:val="24"/>
        </w:rPr>
        <w:t>承包人：</w:t>
      </w:r>
      <w:r>
        <w:rPr>
          <w:color w:val="000000"/>
          <w:sz w:val="24"/>
          <w:szCs w:val="24"/>
        </w:rPr>
        <w:t xml:space="preserve"> </w:t>
      </w:r>
      <w:r>
        <w:rPr>
          <w:rFonts w:hint="eastAsia"/>
          <w:color w:val="000000"/>
          <w:sz w:val="24"/>
          <w:szCs w:val="24"/>
        </w:rPr>
        <w:t>指在协议书中约定，被发包人接受的具有工程施工承包主体资格的当事人以及取得该当事人资格的合法继承人。</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1.5</w:t>
      </w:r>
      <w:r>
        <w:rPr>
          <w:rFonts w:hint="eastAsia"/>
          <w:color w:val="000000"/>
          <w:sz w:val="24"/>
          <w:szCs w:val="24"/>
        </w:rPr>
        <w:t>项目经理：指承包人在专用条款中指定的负责施工管理和合同履行的代表。</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1.6</w:t>
      </w:r>
      <w:r>
        <w:rPr>
          <w:rFonts w:hint="eastAsia"/>
          <w:color w:val="000000"/>
          <w:sz w:val="24"/>
          <w:szCs w:val="24"/>
        </w:rPr>
        <w:t>设计单位：指发包人委托的负责本工程设计并取得相应工程设计资质等级证书的单位。</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1.7</w:t>
      </w:r>
      <w:r>
        <w:rPr>
          <w:rFonts w:hint="eastAsia"/>
          <w:color w:val="000000"/>
          <w:sz w:val="24"/>
          <w:szCs w:val="24"/>
        </w:rPr>
        <w:t>监理单位：指发包人委托的负责本工程监理并取得相应工程监理资质等级证书的单位。</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1.8</w:t>
      </w:r>
      <w:r>
        <w:rPr>
          <w:rFonts w:hint="eastAsia"/>
          <w:color w:val="000000"/>
          <w:sz w:val="24"/>
          <w:szCs w:val="24"/>
        </w:rPr>
        <w:t>工程师：</w:t>
      </w:r>
      <w:r>
        <w:rPr>
          <w:color w:val="000000"/>
          <w:sz w:val="24"/>
          <w:szCs w:val="24"/>
        </w:rPr>
        <w:t xml:space="preserve"> </w:t>
      </w:r>
      <w:r>
        <w:rPr>
          <w:rFonts w:hint="eastAsia"/>
          <w:color w:val="000000"/>
          <w:sz w:val="24"/>
          <w:szCs w:val="24"/>
        </w:rPr>
        <w:t>指本工程监理单位委派的总监理工程师或发包人指定的履行本合同的代表，其具体身份和职权由发包人承包人在专用条款中约定。</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1.9</w:t>
      </w:r>
      <w:r>
        <w:rPr>
          <w:rFonts w:hint="eastAsia"/>
          <w:color w:val="000000"/>
          <w:sz w:val="24"/>
          <w:szCs w:val="24"/>
        </w:rPr>
        <w:t>工程造价管理部门：</w:t>
      </w:r>
      <w:r>
        <w:rPr>
          <w:color w:val="000000"/>
          <w:sz w:val="24"/>
          <w:szCs w:val="24"/>
        </w:rPr>
        <w:t xml:space="preserve"> </w:t>
      </w:r>
      <w:r>
        <w:rPr>
          <w:rFonts w:hint="eastAsia"/>
          <w:color w:val="000000"/>
          <w:sz w:val="24"/>
          <w:szCs w:val="24"/>
        </w:rPr>
        <w:t>指国务院有关部门、县级以上人民政府建设行政主管部门或其委托的工程造价管理机构。</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1.10</w:t>
      </w:r>
      <w:r>
        <w:rPr>
          <w:rFonts w:hint="eastAsia"/>
          <w:color w:val="000000"/>
          <w:sz w:val="24"/>
          <w:szCs w:val="24"/>
        </w:rPr>
        <w:t>工程：指发包人承包人在协议书中约定的承包范围内的工程。</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1.11</w:t>
      </w:r>
      <w:r>
        <w:rPr>
          <w:rFonts w:hint="eastAsia"/>
          <w:color w:val="000000"/>
          <w:sz w:val="24"/>
          <w:szCs w:val="24"/>
        </w:rPr>
        <w:t>合同价款：指发包人承包人在协议书中约定，发包人用以支付承包人按照合同约定完成承包范围内全部工程并承担质量保修责任的款项。</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1.12</w:t>
      </w:r>
      <w:r>
        <w:rPr>
          <w:rFonts w:hint="eastAsia"/>
          <w:color w:val="000000"/>
          <w:sz w:val="24"/>
          <w:szCs w:val="24"/>
        </w:rPr>
        <w:t>追加合同价款：指在合同履行中发生需要增加合同价款的情况，经发包人确认后按计算合同价款的方法增加的合同价款。</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1.13</w:t>
      </w:r>
      <w:r>
        <w:rPr>
          <w:rFonts w:hint="eastAsia"/>
          <w:color w:val="000000"/>
          <w:sz w:val="24"/>
          <w:szCs w:val="24"/>
        </w:rPr>
        <w:t>费用：指不包含在合同价款之内的应当由发包人或承包人承担的经济支出。</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1.14</w:t>
      </w:r>
      <w:r>
        <w:rPr>
          <w:rFonts w:hint="eastAsia"/>
          <w:color w:val="000000"/>
          <w:sz w:val="24"/>
          <w:szCs w:val="24"/>
        </w:rPr>
        <w:t>工期：指发包人承包人在协议书中约定，按总日历天数（包括法定节假日）计算的承包天数。</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1.15</w:t>
      </w:r>
      <w:r>
        <w:rPr>
          <w:rFonts w:hint="eastAsia"/>
          <w:color w:val="000000"/>
          <w:sz w:val="24"/>
          <w:szCs w:val="24"/>
        </w:rPr>
        <w:t>开工日期：指发包人承包人在协议书中约定，承包人开始施工的绝对或相对的日期。</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1.16</w:t>
      </w:r>
      <w:r>
        <w:rPr>
          <w:rFonts w:hint="eastAsia"/>
          <w:color w:val="000000"/>
          <w:sz w:val="24"/>
          <w:szCs w:val="24"/>
        </w:rPr>
        <w:t>竣工日期：指发包人承包人在协议书约定，承包人完成承包范围内工程的绝对或相对的日期。</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1.17</w:t>
      </w:r>
      <w:r>
        <w:rPr>
          <w:rFonts w:hint="eastAsia"/>
          <w:color w:val="000000"/>
          <w:sz w:val="24"/>
          <w:szCs w:val="24"/>
        </w:rPr>
        <w:t>图纸：指由发包人提供或由承包人提供并经发包人批准，满足承包人施工需要的所有图纸（包括配套说明和有关资料）。</w:t>
      </w:r>
    </w:p>
    <w:p>
      <w:pPr>
        <w:adjustRightInd w:val="0"/>
        <w:snapToGrid w:val="0"/>
        <w:spacing w:line="360" w:lineRule="auto"/>
        <w:ind w:firstLine="420"/>
        <w:rPr>
          <w:rFonts w:hint="eastAsia"/>
          <w:color w:val="000000"/>
          <w:sz w:val="24"/>
          <w:szCs w:val="24"/>
        </w:rPr>
      </w:pPr>
      <w:r>
        <w:rPr>
          <w:color w:val="000000"/>
          <w:sz w:val="24"/>
          <w:szCs w:val="24"/>
        </w:rPr>
        <w:t>1.18</w:t>
      </w:r>
      <w:r>
        <w:rPr>
          <w:rFonts w:hint="eastAsia"/>
          <w:color w:val="000000"/>
          <w:sz w:val="24"/>
          <w:szCs w:val="24"/>
        </w:rPr>
        <w:t>施工场地：指由发包人提供的用于工程施工的场所以及发包人在图纸中具体指定的供施工使用的任何其他场所。</w:t>
      </w:r>
    </w:p>
    <w:p>
      <w:pPr>
        <w:adjustRightInd w:val="0"/>
        <w:snapToGrid w:val="0"/>
        <w:spacing w:line="360" w:lineRule="auto"/>
        <w:ind w:firstLine="420"/>
        <w:rPr>
          <w:color w:val="000000"/>
          <w:sz w:val="24"/>
          <w:szCs w:val="24"/>
        </w:rPr>
      </w:pPr>
      <w:r>
        <w:rPr>
          <w:color w:val="000000"/>
          <w:sz w:val="24"/>
          <w:szCs w:val="24"/>
        </w:rPr>
        <w:t>1.19</w:t>
      </w:r>
      <w:r>
        <w:rPr>
          <w:rFonts w:hint="eastAsia"/>
          <w:color w:val="000000"/>
          <w:sz w:val="24"/>
          <w:szCs w:val="24"/>
        </w:rPr>
        <w:t>书面形式：指合同书、信件和数据电文（包括电报、电传、传真、电子数据交换和电子邮件）等可以有形地表现所载内容的形式。</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1.20</w:t>
      </w:r>
      <w:r>
        <w:rPr>
          <w:rFonts w:hint="eastAsia"/>
          <w:color w:val="000000"/>
          <w:sz w:val="24"/>
          <w:szCs w:val="24"/>
        </w:rPr>
        <w:t>违约责任：指合同一方不履行合同义务或履行合同义务不符合约定所应承担的责任。</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1.21</w:t>
      </w:r>
      <w:r>
        <w:rPr>
          <w:rFonts w:hint="eastAsia"/>
          <w:color w:val="000000"/>
          <w:sz w:val="24"/>
          <w:szCs w:val="24"/>
        </w:rPr>
        <w:t>索赔：指在合同履行过程中，对于并非自己的过错，而是应由对方承担责任的情况造成的实际损失，向对方提出经济补偿和（或）工期顺延的要求。</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1.22</w:t>
      </w:r>
      <w:r>
        <w:rPr>
          <w:rFonts w:hint="eastAsia"/>
          <w:color w:val="000000"/>
          <w:sz w:val="24"/>
          <w:szCs w:val="24"/>
        </w:rPr>
        <w:t>不可抗力：指不能预见、不能避免并不能克服的客观情况。</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1.23</w:t>
      </w:r>
      <w:r>
        <w:rPr>
          <w:rFonts w:hint="eastAsia"/>
          <w:color w:val="000000"/>
          <w:sz w:val="24"/>
          <w:szCs w:val="24"/>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w:t>
      </w:r>
      <w:r>
        <w:rPr>
          <w:color w:val="000000"/>
          <w:sz w:val="24"/>
          <w:szCs w:val="24"/>
        </w:rPr>
        <w:t>24</w:t>
      </w:r>
      <w:r>
        <w:rPr>
          <w:rFonts w:hint="eastAsia"/>
          <w:color w:val="000000"/>
          <w:sz w:val="24"/>
          <w:szCs w:val="24"/>
        </w:rPr>
        <w:t>时。</w:t>
      </w:r>
    </w:p>
    <w:p>
      <w:pPr>
        <w:adjustRightInd w:val="0"/>
        <w:snapToGrid w:val="0"/>
        <w:spacing w:line="360" w:lineRule="auto"/>
        <w:rPr>
          <w:color w:val="000000"/>
          <w:sz w:val="24"/>
          <w:szCs w:val="24"/>
        </w:rPr>
      </w:pPr>
      <w:r>
        <w:rPr>
          <w:rFonts w:hint="eastAsia"/>
          <w:color w:val="000000"/>
          <w:sz w:val="24"/>
          <w:szCs w:val="24"/>
        </w:rPr>
        <w:t>　　２、合同文件及解释顺序</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2.1</w:t>
      </w:r>
      <w:r>
        <w:rPr>
          <w:rFonts w:hint="eastAsia"/>
          <w:color w:val="000000"/>
          <w:sz w:val="24"/>
          <w:szCs w:val="24"/>
        </w:rPr>
        <w:t>合同文件应能相互解释，</w:t>
      </w:r>
      <w:r>
        <w:rPr>
          <w:color w:val="000000"/>
          <w:sz w:val="24"/>
          <w:szCs w:val="24"/>
        </w:rPr>
        <w:t xml:space="preserve"> </w:t>
      </w:r>
      <w:r>
        <w:rPr>
          <w:rFonts w:hint="eastAsia"/>
          <w:color w:val="000000"/>
          <w:sz w:val="24"/>
          <w:szCs w:val="24"/>
        </w:rPr>
        <w:t>互为说明。除专用条款另有约定外，组成本合同的文件及优先解释顺序如下：</w:t>
      </w:r>
    </w:p>
    <w:p>
      <w:pPr>
        <w:pStyle w:val="12"/>
        <w:adjustRightInd w:val="0"/>
        <w:snapToGrid w:val="0"/>
        <w:spacing w:line="360" w:lineRule="auto"/>
        <w:ind w:firstLine="0"/>
        <w:rPr>
          <w:rFonts w:ascii="宋体" w:hAnsi="宋体"/>
          <w:color w:val="000000"/>
          <w:sz w:val="24"/>
          <w:szCs w:val="24"/>
        </w:rPr>
      </w:pPr>
      <w:r>
        <w:rPr>
          <w:rFonts w:hint="eastAsia"/>
          <w:color w:val="000000"/>
          <w:sz w:val="24"/>
          <w:szCs w:val="24"/>
        </w:rPr>
        <w:t>　　</w:t>
      </w:r>
      <w:r>
        <w:rPr>
          <w:rFonts w:hint="eastAsia" w:ascii="宋体" w:hAnsi="宋体"/>
          <w:color w:val="000000"/>
          <w:sz w:val="24"/>
          <w:szCs w:val="24"/>
        </w:rPr>
        <w:t>(l）合同协议书；</w:t>
      </w:r>
    </w:p>
    <w:p>
      <w:pPr>
        <w:pStyle w:val="12"/>
        <w:adjustRightInd w:val="0"/>
        <w:snapToGrid w:val="0"/>
        <w:spacing w:line="360" w:lineRule="auto"/>
        <w:ind w:left="101" w:leftChars="48" w:firstLine="360" w:firstLineChars="150"/>
        <w:rPr>
          <w:rFonts w:hint="eastAsia" w:ascii="宋体" w:hAnsi="宋体"/>
          <w:color w:val="000000"/>
          <w:sz w:val="24"/>
          <w:szCs w:val="24"/>
        </w:rPr>
      </w:pPr>
      <w:r>
        <w:rPr>
          <w:rFonts w:hint="eastAsia" w:ascii="宋体" w:hAnsi="宋体"/>
          <w:color w:val="000000"/>
          <w:sz w:val="24"/>
          <w:szCs w:val="24"/>
        </w:rPr>
        <w:t>(2）中标通知书；</w:t>
      </w:r>
    </w:p>
    <w:p>
      <w:pPr>
        <w:pStyle w:val="12"/>
        <w:adjustRightInd w:val="0"/>
        <w:snapToGrid w:val="0"/>
        <w:spacing w:line="360" w:lineRule="auto"/>
        <w:ind w:left="197" w:leftChars="94" w:firstLine="120" w:firstLineChars="50"/>
        <w:rPr>
          <w:rFonts w:ascii="宋体" w:hAnsi="宋体"/>
          <w:color w:val="000000"/>
          <w:sz w:val="24"/>
          <w:szCs w:val="24"/>
        </w:rPr>
      </w:pPr>
      <w:r>
        <w:rPr>
          <w:rFonts w:hint="eastAsia" w:ascii="宋体" w:hAnsi="宋体"/>
          <w:color w:val="000000"/>
          <w:sz w:val="24"/>
          <w:szCs w:val="24"/>
        </w:rPr>
        <w:t>（3）招标文件</w:t>
      </w:r>
    </w:p>
    <w:p>
      <w:pPr>
        <w:pStyle w:val="12"/>
        <w:adjustRightInd w:val="0"/>
        <w:snapToGrid w:val="0"/>
        <w:spacing w:line="360" w:lineRule="auto"/>
        <w:ind w:left="101" w:leftChars="48" w:firstLine="360" w:firstLineChars="150"/>
        <w:rPr>
          <w:rFonts w:hint="eastAsia" w:ascii="宋体" w:hAnsi="宋体"/>
          <w:color w:val="000000"/>
          <w:sz w:val="24"/>
          <w:szCs w:val="24"/>
        </w:rPr>
      </w:pPr>
      <w:r>
        <w:rPr>
          <w:rFonts w:hint="eastAsia" w:ascii="宋体" w:hAnsi="宋体"/>
          <w:color w:val="000000"/>
          <w:sz w:val="24"/>
          <w:szCs w:val="24"/>
        </w:rPr>
        <w:t>(4）投标文件</w:t>
      </w:r>
    </w:p>
    <w:p>
      <w:pPr>
        <w:pStyle w:val="12"/>
        <w:adjustRightInd w:val="0"/>
        <w:snapToGrid w:val="0"/>
        <w:spacing w:line="360" w:lineRule="auto"/>
        <w:ind w:left="101" w:leftChars="48" w:firstLine="360" w:firstLineChars="150"/>
        <w:rPr>
          <w:rFonts w:ascii="宋体" w:hAnsi="宋体"/>
          <w:color w:val="000000"/>
          <w:sz w:val="24"/>
          <w:szCs w:val="24"/>
        </w:rPr>
      </w:pPr>
      <w:r>
        <w:rPr>
          <w:rFonts w:hint="eastAsia" w:ascii="宋体" w:hAnsi="宋体"/>
          <w:color w:val="000000"/>
          <w:sz w:val="24"/>
          <w:szCs w:val="24"/>
        </w:rPr>
        <w:t>(5）专用合同条款；</w:t>
      </w:r>
    </w:p>
    <w:p>
      <w:pPr>
        <w:pStyle w:val="12"/>
        <w:adjustRightInd w:val="0"/>
        <w:snapToGrid w:val="0"/>
        <w:spacing w:line="360" w:lineRule="auto"/>
        <w:ind w:left="101" w:leftChars="48" w:firstLine="360" w:firstLineChars="150"/>
        <w:rPr>
          <w:rFonts w:ascii="宋体" w:hAnsi="宋体"/>
          <w:color w:val="000000"/>
          <w:sz w:val="24"/>
          <w:szCs w:val="24"/>
        </w:rPr>
      </w:pPr>
      <w:r>
        <w:rPr>
          <w:rFonts w:hint="eastAsia" w:ascii="宋体" w:hAnsi="宋体"/>
          <w:color w:val="000000"/>
          <w:sz w:val="24"/>
          <w:szCs w:val="24"/>
        </w:rPr>
        <w:t>(6）通用合同条款；</w:t>
      </w:r>
    </w:p>
    <w:p>
      <w:pPr>
        <w:pStyle w:val="12"/>
        <w:adjustRightInd w:val="0"/>
        <w:snapToGrid w:val="0"/>
        <w:spacing w:line="360" w:lineRule="auto"/>
        <w:ind w:left="101" w:leftChars="48" w:firstLine="360" w:firstLineChars="150"/>
        <w:rPr>
          <w:rFonts w:ascii="宋体" w:hAnsi="宋体"/>
          <w:color w:val="000000"/>
          <w:sz w:val="24"/>
          <w:szCs w:val="24"/>
        </w:rPr>
      </w:pPr>
      <w:r>
        <w:rPr>
          <w:rFonts w:hint="eastAsia" w:ascii="宋体" w:hAnsi="宋体"/>
          <w:color w:val="000000"/>
          <w:sz w:val="24"/>
          <w:szCs w:val="24"/>
        </w:rPr>
        <w:t>(7）技术标准和要求；</w:t>
      </w:r>
    </w:p>
    <w:p>
      <w:pPr>
        <w:pStyle w:val="12"/>
        <w:adjustRightInd w:val="0"/>
        <w:snapToGrid w:val="0"/>
        <w:spacing w:line="360" w:lineRule="auto"/>
        <w:ind w:left="101" w:leftChars="48" w:firstLine="360" w:firstLineChars="150"/>
        <w:rPr>
          <w:rFonts w:ascii="宋体" w:hAnsi="宋体"/>
          <w:color w:val="000000"/>
          <w:sz w:val="24"/>
          <w:szCs w:val="24"/>
        </w:rPr>
      </w:pPr>
      <w:r>
        <w:rPr>
          <w:rFonts w:hint="eastAsia" w:ascii="宋体" w:hAnsi="宋体"/>
          <w:color w:val="000000"/>
          <w:sz w:val="24"/>
          <w:szCs w:val="24"/>
        </w:rPr>
        <w:t>(8）图纸；</w:t>
      </w:r>
    </w:p>
    <w:p>
      <w:pPr>
        <w:pStyle w:val="12"/>
        <w:adjustRightInd w:val="0"/>
        <w:snapToGrid w:val="0"/>
        <w:spacing w:line="360" w:lineRule="auto"/>
        <w:ind w:left="101" w:leftChars="48" w:firstLine="360" w:firstLineChars="150"/>
        <w:rPr>
          <w:rFonts w:ascii="宋体" w:hAnsi="宋体"/>
          <w:color w:val="000000"/>
          <w:sz w:val="24"/>
          <w:szCs w:val="24"/>
        </w:rPr>
      </w:pPr>
      <w:r>
        <w:rPr>
          <w:rFonts w:hint="eastAsia" w:ascii="宋体" w:hAnsi="宋体"/>
          <w:color w:val="000000"/>
          <w:sz w:val="24"/>
          <w:szCs w:val="24"/>
        </w:rPr>
        <w:t>(9）已标价工程量清单；</w:t>
      </w:r>
    </w:p>
    <w:p>
      <w:pPr>
        <w:pStyle w:val="12"/>
        <w:adjustRightInd w:val="0"/>
        <w:snapToGrid w:val="0"/>
        <w:spacing w:line="360" w:lineRule="auto"/>
        <w:ind w:left="101" w:leftChars="48" w:firstLine="360" w:firstLineChars="150"/>
        <w:rPr>
          <w:rFonts w:ascii="宋体" w:hAnsi="宋体"/>
          <w:color w:val="000000"/>
          <w:sz w:val="24"/>
          <w:szCs w:val="24"/>
        </w:rPr>
      </w:pPr>
      <w:r>
        <w:rPr>
          <w:rFonts w:hint="eastAsia" w:ascii="宋体" w:hAnsi="宋体"/>
          <w:color w:val="000000"/>
          <w:sz w:val="24"/>
          <w:szCs w:val="24"/>
        </w:rPr>
        <w:t>(10）其他合同文件。</w:t>
      </w:r>
    </w:p>
    <w:p>
      <w:pPr>
        <w:adjustRightInd w:val="0"/>
        <w:snapToGrid w:val="0"/>
        <w:spacing w:line="360" w:lineRule="auto"/>
        <w:rPr>
          <w:color w:val="000000"/>
          <w:sz w:val="24"/>
          <w:szCs w:val="24"/>
        </w:rPr>
      </w:pPr>
      <w:r>
        <w:rPr>
          <w:rFonts w:hint="eastAsia" w:ascii="宋体" w:hAnsi="宋体"/>
          <w:color w:val="000000"/>
          <w:sz w:val="24"/>
          <w:szCs w:val="24"/>
        </w:rPr>
        <w:t xml:space="preserve">    </w:t>
      </w:r>
      <w:r>
        <w:rPr>
          <w:rFonts w:ascii="宋体" w:hAnsi="宋体"/>
          <w:color w:val="000000"/>
          <w:sz w:val="24"/>
          <w:szCs w:val="24"/>
        </w:rPr>
        <w:t>(</w:t>
      </w:r>
      <w:r>
        <w:rPr>
          <w:rFonts w:hint="eastAsia" w:ascii="宋体" w:hAnsi="宋体"/>
          <w:color w:val="000000"/>
          <w:sz w:val="24"/>
          <w:szCs w:val="24"/>
        </w:rPr>
        <w:t>11</w:t>
      </w:r>
      <w:r>
        <w:rPr>
          <w:rFonts w:ascii="宋体" w:hAnsi="宋体"/>
          <w:color w:val="000000"/>
          <w:sz w:val="24"/>
          <w:szCs w:val="24"/>
        </w:rPr>
        <w:t xml:space="preserve">)  </w:t>
      </w:r>
      <w:r>
        <w:rPr>
          <w:rFonts w:hint="eastAsia"/>
          <w:color w:val="000000"/>
          <w:sz w:val="24"/>
          <w:szCs w:val="24"/>
        </w:rPr>
        <w:t>其它已纳入或将纳入本协议的具有合同约束力的信函、纪要、书面往来等文件</w:t>
      </w:r>
    </w:p>
    <w:p>
      <w:pPr>
        <w:adjustRightInd w:val="0"/>
        <w:snapToGrid w:val="0"/>
        <w:spacing w:line="360" w:lineRule="auto"/>
        <w:rPr>
          <w:color w:val="000000"/>
          <w:sz w:val="24"/>
          <w:szCs w:val="24"/>
        </w:rPr>
      </w:pPr>
      <w:r>
        <w:rPr>
          <w:rFonts w:hint="eastAsia"/>
          <w:color w:val="000000"/>
          <w:sz w:val="24"/>
          <w:szCs w:val="24"/>
        </w:rPr>
        <w:t>　　合同履行中，发包人承包人有关工程的洽商、变更等书面协议或文件视为本合同的组成部分。</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2.2</w:t>
      </w:r>
      <w:r>
        <w:rPr>
          <w:rFonts w:hint="eastAsia"/>
          <w:color w:val="000000"/>
          <w:sz w:val="24"/>
          <w:szCs w:val="24"/>
        </w:rPr>
        <w:t>当合同文件内容含糊不清或不相一致时，</w:t>
      </w:r>
      <w:r>
        <w:rPr>
          <w:color w:val="000000"/>
          <w:sz w:val="24"/>
          <w:szCs w:val="24"/>
        </w:rPr>
        <w:t xml:space="preserve"> </w:t>
      </w:r>
      <w:r>
        <w:rPr>
          <w:rFonts w:hint="eastAsia"/>
          <w:color w:val="000000"/>
          <w:sz w:val="24"/>
          <w:szCs w:val="24"/>
        </w:rPr>
        <w:t>在不影响工程正常进行的情况下，由发包人承包人协商解决。双方也可以提请负责监理的工程师作出解释。双方协商不成或不同意负责监理的工程师的解释时，按本通用条款第</w:t>
      </w:r>
      <w:r>
        <w:rPr>
          <w:color w:val="000000"/>
          <w:sz w:val="24"/>
          <w:szCs w:val="24"/>
        </w:rPr>
        <w:t>37</w:t>
      </w:r>
      <w:r>
        <w:rPr>
          <w:rFonts w:hint="eastAsia"/>
          <w:color w:val="000000"/>
          <w:sz w:val="24"/>
          <w:szCs w:val="24"/>
        </w:rPr>
        <w:t>条关于争议的约定处理。</w:t>
      </w:r>
    </w:p>
    <w:p>
      <w:pPr>
        <w:adjustRightInd w:val="0"/>
        <w:snapToGrid w:val="0"/>
        <w:spacing w:line="360" w:lineRule="auto"/>
        <w:rPr>
          <w:color w:val="000000"/>
          <w:sz w:val="24"/>
          <w:szCs w:val="24"/>
        </w:rPr>
      </w:pPr>
      <w:r>
        <w:rPr>
          <w:rFonts w:hint="eastAsia"/>
          <w:color w:val="000000"/>
          <w:sz w:val="24"/>
          <w:szCs w:val="24"/>
        </w:rPr>
        <w:t>　　３、语言文字和适用法律、标准及规范</w:t>
      </w:r>
      <w:r>
        <w:rPr>
          <w:color w:val="000000"/>
          <w:sz w:val="24"/>
          <w:szCs w:val="24"/>
        </w:rPr>
        <w:t xml:space="preserve"> 3.1</w:t>
      </w:r>
      <w:r>
        <w:rPr>
          <w:rFonts w:hint="eastAsia"/>
          <w:color w:val="000000"/>
          <w:sz w:val="24"/>
          <w:szCs w:val="24"/>
        </w:rPr>
        <w:t>语言文字</w:t>
      </w:r>
    </w:p>
    <w:p>
      <w:pPr>
        <w:adjustRightInd w:val="0"/>
        <w:snapToGrid w:val="0"/>
        <w:spacing w:line="360" w:lineRule="auto"/>
        <w:rPr>
          <w:color w:val="000000"/>
          <w:sz w:val="24"/>
          <w:szCs w:val="24"/>
        </w:rPr>
      </w:pPr>
      <w:r>
        <w:rPr>
          <w:rFonts w:hint="eastAsia"/>
          <w:color w:val="000000"/>
          <w:sz w:val="24"/>
          <w:szCs w:val="24"/>
        </w:rPr>
        <w:t>　　本合同文件使用汉语语言文字书写、解释和说明。如专用条款约定使用两种以上（含两种）语言文字时，汉语应为解释和说明本合同的标准语言文字。</w:t>
      </w:r>
    </w:p>
    <w:p>
      <w:pPr>
        <w:adjustRightInd w:val="0"/>
        <w:snapToGrid w:val="0"/>
        <w:spacing w:line="360" w:lineRule="auto"/>
        <w:rPr>
          <w:color w:val="000000"/>
          <w:sz w:val="24"/>
          <w:szCs w:val="24"/>
        </w:rPr>
      </w:pPr>
      <w:r>
        <w:rPr>
          <w:rFonts w:hint="eastAsia"/>
          <w:color w:val="000000"/>
          <w:sz w:val="24"/>
          <w:szCs w:val="24"/>
        </w:rPr>
        <w:t>　　在少数民族地区，双方可以约定使用少数民族语言文字书写和解释、说明本合同。</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3.2</w:t>
      </w:r>
      <w:r>
        <w:rPr>
          <w:rFonts w:hint="eastAsia"/>
          <w:color w:val="000000"/>
          <w:sz w:val="24"/>
          <w:szCs w:val="24"/>
        </w:rPr>
        <w:t>适用法律和法规</w:t>
      </w:r>
    </w:p>
    <w:p>
      <w:pPr>
        <w:adjustRightInd w:val="0"/>
        <w:snapToGrid w:val="0"/>
        <w:spacing w:line="360" w:lineRule="auto"/>
        <w:rPr>
          <w:color w:val="000000"/>
          <w:sz w:val="24"/>
          <w:szCs w:val="24"/>
        </w:rPr>
      </w:pPr>
      <w:r>
        <w:rPr>
          <w:rFonts w:hint="eastAsia"/>
          <w:color w:val="000000"/>
          <w:sz w:val="24"/>
          <w:szCs w:val="24"/>
        </w:rPr>
        <w:t>　　本合同文件适用国家的法律和行政法规。需要明示的法律、行政法规，由双方在专用条款中约定。</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3.3</w:t>
      </w:r>
      <w:r>
        <w:rPr>
          <w:rFonts w:hint="eastAsia"/>
          <w:color w:val="000000"/>
          <w:sz w:val="24"/>
          <w:szCs w:val="24"/>
        </w:rPr>
        <w:t>适用标准、规范</w:t>
      </w:r>
    </w:p>
    <w:p>
      <w:pPr>
        <w:adjustRightInd w:val="0"/>
        <w:snapToGrid w:val="0"/>
        <w:spacing w:line="360" w:lineRule="auto"/>
        <w:rPr>
          <w:color w:val="000000"/>
          <w:sz w:val="24"/>
          <w:szCs w:val="24"/>
        </w:rPr>
      </w:pPr>
      <w:r>
        <w:rPr>
          <w:rFonts w:hint="eastAsia"/>
          <w:color w:val="000000"/>
          <w:sz w:val="24"/>
          <w:szCs w:val="24"/>
        </w:rPr>
        <w:t>　　双方在专用条款内约定适用国家标准、规范的名称；没有国家标准、规范但有行业标准、规范的，约定适用行业标准、规范的名称；没有国家和行业标准、规范的，约定适用工程所在地地方标准、规范的名称。</w:t>
      </w:r>
    </w:p>
    <w:p>
      <w:pPr>
        <w:adjustRightInd w:val="0"/>
        <w:snapToGrid w:val="0"/>
        <w:spacing w:line="360" w:lineRule="auto"/>
        <w:rPr>
          <w:color w:val="000000"/>
          <w:sz w:val="24"/>
          <w:szCs w:val="24"/>
        </w:rPr>
      </w:pPr>
      <w:r>
        <w:rPr>
          <w:rFonts w:hint="eastAsia"/>
          <w:color w:val="000000"/>
          <w:sz w:val="24"/>
          <w:szCs w:val="24"/>
        </w:rPr>
        <w:t>　　国内没有相应标准、规范的，由发包人按专用条款约定的时间向承包人提出施工技术要求，承包人按约定的时间和要求提出施工工艺，经发包人认可后执行。发包人要求使用国外标准、规范的，应负责提供中文译本。</w:t>
      </w:r>
    </w:p>
    <w:p>
      <w:pPr>
        <w:adjustRightInd w:val="0"/>
        <w:snapToGrid w:val="0"/>
        <w:spacing w:line="360" w:lineRule="auto"/>
        <w:rPr>
          <w:color w:val="000000"/>
          <w:sz w:val="24"/>
          <w:szCs w:val="24"/>
        </w:rPr>
      </w:pPr>
      <w:r>
        <w:rPr>
          <w:rFonts w:hint="eastAsia"/>
          <w:color w:val="000000"/>
          <w:sz w:val="24"/>
          <w:szCs w:val="24"/>
        </w:rPr>
        <w:t>　　本条所发生的购买、翻译标准、规范或制定施工工艺的费用，由发包人承担。</w:t>
      </w:r>
    </w:p>
    <w:p>
      <w:pPr>
        <w:adjustRightInd w:val="0"/>
        <w:snapToGrid w:val="0"/>
        <w:spacing w:line="360" w:lineRule="auto"/>
        <w:rPr>
          <w:color w:val="000000"/>
          <w:sz w:val="24"/>
          <w:szCs w:val="24"/>
        </w:rPr>
      </w:pPr>
      <w:r>
        <w:rPr>
          <w:rFonts w:hint="eastAsia"/>
          <w:color w:val="000000"/>
          <w:sz w:val="24"/>
          <w:szCs w:val="24"/>
        </w:rPr>
        <w:t>　　４、图纸</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4.1</w:t>
      </w:r>
      <w:r>
        <w:rPr>
          <w:rFonts w:hint="eastAsia"/>
          <w:color w:val="000000"/>
          <w:sz w:val="24"/>
          <w:szCs w:val="24"/>
        </w:rPr>
        <w:t>发包人对工程有保密要求的，应在专用条款中提出保密要求，保密措施费用由发包人承担，承包人在约定保密期限内履行保密义务。</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4.2</w:t>
      </w:r>
      <w:r>
        <w:rPr>
          <w:rFonts w:hint="eastAsia"/>
          <w:color w:val="000000"/>
          <w:sz w:val="24"/>
          <w:szCs w:val="24"/>
        </w:rPr>
        <w:t>承包人未经发包人同意</w:t>
      </w:r>
      <w:r>
        <w:rPr>
          <w:rFonts w:hint="eastAsia"/>
          <w:color w:val="000000"/>
          <w:sz w:val="24"/>
          <w:szCs w:val="24"/>
          <w:lang w:eastAsia="zh-CN"/>
        </w:rPr>
        <w:t>，</w:t>
      </w:r>
      <w:r>
        <w:rPr>
          <w:rFonts w:hint="eastAsia"/>
          <w:color w:val="000000"/>
          <w:sz w:val="24"/>
          <w:szCs w:val="24"/>
        </w:rPr>
        <w:t>不得将本工程图纸转给第三人。工程质量保修期满后，除承包人存档需要的图纸外，应将全部图纸退还给发包人。</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4.3</w:t>
      </w:r>
      <w:r>
        <w:rPr>
          <w:rFonts w:hint="eastAsia"/>
          <w:color w:val="000000"/>
          <w:sz w:val="24"/>
          <w:szCs w:val="24"/>
        </w:rPr>
        <w:t>承包人应在施工现场保留一套完整图纸</w:t>
      </w:r>
      <w:r>
        <w:rPr>
          <w:rFonts w:hint="eastAsia"/>
          <w:color w:val="000000"/>
          <w:sz w:val="24"/>
          <w:szCs w:val="24"/>
          <w:lang w:eastAsia="zh-CN"/>
        </w:rPr>
        <w:t>，</w:t>
      </w:r>
      <w:r>
        <w:rPr>
          <w:rFonts w:hint="eastAsia"/>
          <w:color w:val="000000"/>
          <w:sz w:val="24"/>
          <w:szCs w:val="24"/>
        </w:rPr>
        <w:t>供工程师及有关人员进行工程检查时使用。</w:t>
      </w:r>
    </w:p>
    <w:p>
      <w:pPr>
        <w:adjustRightInd w:val="0"/>
        <w:snapToGrid w:val="0"/>
        <w:spacing w:line="360" w:lineRule="auto"/>
        <w:rPr>
          <w:color w:val="000000"/>
          <w:sz w:val="24"/>
          <w:szCs w:val="24"/>
        </w:rPr>
      </w:pPr>
      <w:r>
        <w:rPr>
          <w:rFonts w:hint="eastAsia"/>
          <w:color w:val="000000"/>
          <w:sz w:val="24"/>
          <w:szCs w:val="24"/>
        </w:rPr>
        <w:t>二、双方一般权利和义务</w:t>
      </w:r>
    </w:p>
    <w:p>
      <w:pPr>
        <w:adjustRightInd w:val="0"/>
        <w:snapToGrid w:val="0"/>
        <w:spacing w:line="360" w:lineRule="auto"/>
        <w:rPr>
          <w:color w:val="000000"/>
          <w:sz w:val="24"/>
          <w:szCs w:val="24"/>
        </w:rPr>
      </w:pPr>
      <w:r>
        <w:rPr>
          <w:rFonts w:hint="eastAsia"/>
          <w:color w:val="000000"/>
          <w:sz w:val="24"/>
          <w:szCs w:val="24"/>
        </w:rPr>
        <w:t>　　５、工程师</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5.1</w:t>
      </w:r>
      <w:r>
        <w:rPr>
          <w:rFonts w:hint="eastAsia"/>
          <w:color w:val="000000"/>
          <w:sz w:val="24"/>
          <w:szCs w:val="24"/>
        </w:rPr>
        <w:t>实行工程监理的，发包人应在实施监理前将委托的监理单位名称、监理内容及监理权限以书面形式通知承包人。</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5.2</w:t>
      </w:r>
      <w:r>
        <w:rPr>
          <w:rFonts w:hint="eastAsia"/>
          <w:color w:val="000000"/>
          <w:sz w:val="24"/>
          <w:szCs w:val="24"/>
        </w:rPr>
        <w:t>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5.3</w:t>
      </w:r>
      <w:r>
        <w:rPr>
          <w:rFonts w:hint="eastAsia"/>
          <w:color w:val="000000"/>
          <w:sz w:val="24"/>
          <w:szCs w:val="24"/>
        </w:rPr>
        <w:t>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5.4</w:t>
      </w:r>
      <w:r>
        <w:rPr>
          <w:rFonts w:hint="eastAsia"/>
          <w:color w:val="000000"/>
          <w:sz w:val="24"/>
          <w:szCs w:val="24"/>
        </w:rPr>
        <w:t>合同履行中，</w:t>
      </w:r>
      <w:r>
        <w:rPr>
          <w:color w:val="000000"/>
          <w:sz w:val="24"/>
          <w:szCs w:val="24"/>
        </w:rPr>
        <w:t xml:space="preserve"> </w:t>
      </w:r>
      <w:r>
        <w:rPr>
          <w:rFonts w:hint="eastAsia"/>
          <w:color w:val="000000"/>
          <w:sz w:val="24"/>
          <w:szCs w:val="24"/>
        </w:rPr>
        <w:t>发生影响发包人承包人双方权利或义务的事件时，负责监理的工程师应依据合同在其职权范围内客观公正地进行处理。一方对工程师的处理有异议时，按本通用条款第</w:t>
      </w:r>
      <w:r>
        <w:rPr>
          <w:color w:val="000000"/>
          <w:sz w:val="24"/>
          <w:szCs w:val="24"/>
        </w:rPr>
        <w:t>37</w:t>
      </w:r>
      <w:r>
        <w:rPr>
          <w:rFonts w:hint="eastAsia"/>
          <w:color w:val="000000"/>
          <w:sz w:val="24"/>
          <w:szCs w:val="24"/>
        </w:rPr>
        <w:t>条关于争议的约定处理。</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5.5</w:t>
      </w:r>
      <w:r>
        <w:rPr>
          <w:rFonts w:hint="eastAsia"/>
          <w:color w:val="000000"/>
          <w:sz w:val="24"/>
          <w:szCs w:val="24"/>
        </w:rPr>
        <w:t>除合同内有明确约定或经发包人同意外，负责监理的工程师无权解除本合同约定的承包人的任何权利与义务。</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5.6</w:t>
      </w:r>
      <w:r>
        <w:rPr>
          <w:rFonts w:hint="eastAsia"/>
          <w:color w:val="000000"/>
          <w:sz w:val="24"/>
          <w:szCs w:val="24"/>
        </w:rPr>
        <w:t>不实行工程监理的，</w:t>
      </w:r>
      <w:r>
        <w:rPr>
          <w:color w:val="000000"/>
          <w:sz w:val="24"/>
          <w:szCs w:val="24"/>
        </w:rPr>
        <w:t xml:space="preserve"> </w:t>
      </w:r>
      <w:r>
        <w:rPr>
          <w:rFonts w:hint="eastAsia"/>
          <w:color w:val="000000"/>
          <w:sz w:val="24"/>
          <w:szCs w:val="24"/>
        </w:rPr>
        <w:t>本合同中工程师专指发包人派驻施工场地履行合同的代表，其具体职权由发包人在专用条款内写明。</w:t>
      </w:r>
    </w:p>
    <w:p>
      <w:pPr>
        <w:adjustRightInd w:val="0"/>
        <w:snapToGrid w:val="0"/>
        <w:spacing w:line="360" w:lineRule="auto"/>
        <w:rPr>
          <w:color w:val="000000"/>
          <w:sz w:val="24"/>
          <w:szCs w:val="24"/>
        </w:rPr>
      </w:pPr>
      <w:r>
        <w:rPr>
          <w:rFonts w:hint="eastAsia"/>
          <w:color w:val="000000"/>
          <w:sz w:val="24"/>
          <w:szCs w:val="24"/>
        </w:rPr>
        <w:t>　　６、工程师的委派和指令</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6.1</w:t>
      </w:r>
      <w:r>
        <w:rPr>
          <w:rFonts w:hint="eastAsia"/>
          <w:color w:val="000000"/>
          <w:sz w:val="24"/>
          <w:szCs w:val="24"/>
        </w:rPr>
        <w:t>工程师可委派工程师代表，</w:t>
      </w:r>
      <w:r>
        <w:rPr>
          <w:color w:val="000000"/>
          <w:sz w:val="24"/>
          <w:szCs w:val="24"/>
        </w:rPr>
        <w:t xml:space="preserve"> </w:t>
      </w:r>
      <w:r>
        <w:rPr>
          <w:rFonts w:hint="eastAsia"/>
          <w:color w:val="000000"/>
          <w:sz w:val="24"/>
          <w:szCs w:val="24"/>
        </w:rPr>
        <w:t>行使合同约定的自己的职权，并可在认为必要时撤回委派。委派和撤回均应提前</w:t>
      </w:r>
      <w:r>
        <w:rPr>
          <w:color w:val="000000"/>
          <w:sz w:val="24"/>
          <w:szCs w:val="24"/>
        </w:rPr>
        <w:t>7</w:t>
      </w:r>
      <w:r>
        <w:rPr>
          <w:rFonts w:hint="eastAsia"/>
          <w:color w:val="000000"/>
          <w:sz w:val="24"/>
          <w:szCs w:val="24"/>
        </w:rPr>
        <w:t>天以书面形式通知承包人，负责监理的工程师还应将委派和撤回通知发包人。委派书和撤回通知作为本合同附件。</w:t>
      </w:r>
    </w:p>
    <w:p>
      <w:pPr>
        <w:adjustRightInd w:val="0"/>
        <w:snapToGrid w:val="0"/>
        <w:spacing w:line="360" w:lineRule="auto"/>
        <w:rPr>
          <w:color w:val="000000"/>
          <w:sz w:val="24"/>
          <w:szCs w:val="24"/>
        </w:rPr>
      </w:pPr>
      <w:r>
        <w:rPr>
          <w:rFonts w:hint="eastAsia"/>
          <w:color w:val="000000"/>
          <w:sz w:val="24"/>
          <w:szCs w:val="24"/>
        </w:rPr>
        <w:t>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6.2</w:t>
      </w:r>
      <w:r>
        <w:rPr>
          <w:rFonts w:hint="eastAsia"/>
          <w:color w:val="000000"/>
          <w:sz w:val="24"/>
          <w:szCs w:val="24"/>
        </w:rPr>
        <w:t>工程师的指令、</w:t>
      </w:r>
      <w:r>
        <w:rPr>
          <w:color w:val="000000"/>
          <w:sz w:val="24"/>
          <w:szCs w:val="24"/>
        </w:rPr>
        <w:t xml:space="preserve"> </w:t>
      </w:r>
      <w:r>
        <w:rPr>
          <w:rFonts w:hint="eastAsia"/>
          <w:color w:val="000000"/>
          <w:sz w:val="24"/>
          <w:szCs w:val="24"/>
        </w:rPr>
        <w:t>通知由其本人签字后，以书面形式交给项目经理，项目经理在回执上签署姓名和收到时间后生效。确有必要时，工程师可发出口头指令，并在</w:t>
      </w:r>
      <w:r>
        <w:rPr>
          <w:color w:val="000000"/>
          <w:sz w:val="24"/>
          <w:szCs w:val="24"/>
        </w:rPr>
        <w:t>48</w:t>
      </w:r>
      <w:r>
        <w:rPr>
          <w:rFonts w:hint="eastAsia"/>
          <w:color w:val="000000"/>
          <w:sz w:val="24"/>
          <w:szCs w:val="24"/>
        </w:rPr>
        <w:t>小时内给予书面确认，承包人对工程师的指令应予执行。工程师不能及时给予书面确认的，</w:t>
      </w:r>
      <w:r>
        <w:rPr>
          <w:color w:val="000000"/>
          <w:sz w:val="24"/>
          <w:szCs w:val="24"/>
        </w:rPr>
        <w:t xml:space="preserve"> </w:t>
      </w:r>
      <w:r>
        <w:rPr>
          <w:rFonts w:hint="eastAsia"/>
          <w:color w:val="000000"/>
          <w:sz w:val="24"/>
          <w:szCs w:val="24"/>
        </w:rPr>
        <w:t>承包人应于工程师发出口头指令后</w:t>
      </w:r>
      <w:r>
        <w:rPr>
          <w:color w:val="000000"/>
          <w:sz w:val="24"/>
          <w:szCs w:val="24"/>
        </w:rPr>
        <w:t>7</w:t>
      </w:r>
      <w:r>
        <w:rPr>
          <w:rFonts w:hint="eastAsia"/>
          <w:color w:val="000000"/>
          <w:sz w:val="24"/>
          <w:szCs w:val="24"/>
        </w:rPr>
        <w:t>天内提出书面确认要求。工程师在承包人提出确认要求后</w:t>
      </w:r>
      <w:r>
        <w:rPr>
          <w:color w:val="000000"/>
          <w:sz w:val="24"/>
          <w:szCs w:val="24"/>
        </w:rPr>
        <w:t>48</w:t>
      </w:r>
      <w:r>
        <w:rPr>
          <w:rFonts w:hint="eastAsia"/>
          <w:color w:val="000000"/>
          <w:sz w:val="24"/>
          <w:szCs w:val="24"/>
        </w:rPr>
        <w:t>小时内不予答复的，视为口头指令已被确认。</w:t>
      </w:r>
    </w:p>
    <w:p>
      <w:pPr>
        <w:adjustRightInd w:val="0"/>
        <w:snapToGrid w:val="0"/>
        <w:spacing w:line="360" w:lineRule="auto"/>
        <w:rPr>
          <w:color w:val="000000"/>
          <w:sz w:val="24"/>
          <w:szCs w:val="24"/>
        </w:rPr>
      </w:pPr>
      <w:r>
        <w:rPr>
          <w:rFonts w:hint="eastAsia"/>
          <w:color w:val="000000"/>
          <w:sz w:val="24"/>
          <w:szCs w:val="24"/>
        </w:rPr>
        <w:t>　　承包人认为工程师指令不合理，应在收到指令后</w:t>
      </w:r>
      <w:r>
        <w:rPr>
          <w:color w:val="000000"/>
          <w:sz w:val="24"/>
          <w:szCs w:val="24"/>
        </w:rPr>
        <w:t>24</w:t>
      </w:r>
      <w:r>
        <w:rPr>
          <w:rFonts w:hint="eastAsia"/>
          <w:color w:val="000000"/>
          <w:sz w:val="24"/>
          <w:szCs w:val="24"/>
        </w:rPr>
        <w:t>小时内向工程师提出修改指令的书面报告，工程师在收到承包人报告后</w:t>
      </w:r>
      <w:r>
        <w:rPr>
          <w:color w:val="000000"/>
          <w:sz w:val="24"/>
          <w:szCs w:val="24"/>
        </w:rPr>
        <w:t>24</w:t>
      </w:r>
      <w:r>
        <w:rPr>
          <w:rFonts w:hint="eastAsia"/>
          <w:color w:val="000000"/>
          <w:sz w:val="24"/>
          <w:szCs w:val="24"/>
        </w:rPr>
        <w:t>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adjustRightInd w:val="0"/>
        <w:snapToGrid w:val="0"/>
        <w:spacing w:line="360" w:lineRule="auto"/>
        <w:rPr>
          <w:color w:val="000000"/>
          <w:sz w:val="24"/>
          <w:szCs w:val="24"/>
        </w:rPr>
      </w:pPr>
      <w:r>
        <w:rPr>
          <w:rFonts w:hint="eastAsia"/>
          <w:color w:val="000000"/>
          <w:sz w:val="24"/>
          <w:szCs w:val="24"/>
        </w:rPr>
        <w:t>　　本款规定同样适用于由工程师代表发出的指令、通知。</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6.3</w:t>
      </w:r>
      <w:r>
        <w:rPr>
          <w:rFonts w:hint="eastAsia"/>
          <w:color w:val="000000"/>
          <w:sz w:val="24"/>
          <w:szCs w:val="24"/>
        </w:rPr>
        <w:t>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6.4</w:t>
      </w:r>
      <w:r>
        <w:rPr>
          <w:rFonts w:hint="eastAsia"/>
          <w:color w:val="000000"/>
          <w:sz w:val="24"/>
          <w:szCs w:val="24"/>
        </w:rPr>
        <w:t>如需更换工程师，发包人应至少提前</w:t>
      </w:r>
      <w:r>
        <w:rPr>
          <w:color w:val="000000"/>
          <w:sz w:val="24"/>
          <w:szCs w:val="24"/>
        </w:rPr>
        <w:t>7</w:t>
      </w:r>
      <w:r>
        <w:rPr>
          <w:rFonts w:hint="eastAsia"/>
          <w:color w:val="000000"/>
          <w:sz w:val="24"/>
          <w:szCs w:val="24"/>
        </w:rPr>
        <w:t>天以书面形式通知承包人，后任继续行使合同文件约定的前任的职权，履行前任的义务。</w:t>
      </w:r>
    </w:p>
    <w:p>
      <w:pPr>
        <w:adjustRightInd w:val="0"/>
        <w:snapToGrid w:val="0"/>
        <w:spacing w:line="360" w:lineRule="auto"/>
        <w:rPr>
          <w:color w:val="000000"/>
          <w:sz w:val="24"/>
          <w:szCs w:val="24"/>
        </w:rPr>
      </w:pPr>
      <w:r>
        <w:rPr>
          <w:rFonts w:hint="eastAsia"/>
          <w:color w:val="000000"/>
          <w:sz w:val="24"/>
          <w:szCs w:val="24"/>
        </w:rPr>
        <w:t>　　７、项目经理</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7.1</w:t>
      </w:r>
      <w:r>
        <w:rPr>
          <w:rFonts w:hint="eastAsia"/>
          <w:color w:val="000000"/>
          <w:sz w:val="24"/>
          <w:szCs w:val="24"/>
        </w:rPr>
        <w:t>本工程应选派二级或以上的注册建造师执业资格证书（建筑工程或机电工程专业）担任项目经理并驻场 ，承包人不得擅自变更建造师和中标承诺的相关人员，若需变更，应至少提前</w:t>
      </w:r>
      <w:r>
        <w:rPr>
          <w:color w:val="000000"/>
          <w:sz w:val="24"/>
          <w:szCs w:val="24"/>
        </w:rPr>
        <w:t>7</w:t>
      </w:r>
      <w:r>
        <w:rPr>
          <w:rFonts w:hint="eastAsia"/>
          <w:color w:val="000000"/>
          <w:sz w:val="24"/>
          <w:szCs w:val="24"/>
        </w:rPr>
        <w:t>天以书面形式通知发包人，关征得发包人同意。承包人不得随意变更驻场建造师，每变更一次处以罚金人民币</w:t>
      </w:r>
      <w:r>
        <w:rPr>
          <w:rFonts w:hint="eastAsia"/>
          <w:color w:val="000000"/>
          <w:sz w:val="24"/>
          <w:szCs w:val="24"/>
          <w:u w:val="single"/>
        </w:rPr>
        <w:t xml:space="preserve"> 捌 </w:t>
      </w:r>
      <w:r>
        <w:rPr>
          <w:rFonts w:hint="eastAsia"/>
          <w:color w:val="000000"/>
          <w:sz w:val="24"/>
          <w:szCs w:val="24"/>
        </w:rPr>
        <w:t>万元整（RMB：</w:t>
      </w:r>
      <w:r>
        <w:rPr>
          <w:color w:val="000000"/>
          <w:sz w:val="24"/>
          <w:szCs w:val="24"/>
          <w:u w:val="single"/>
        </w:rPr>
        <w:t xml:space="preserve"> 80000</w:t>
      </w:r>
      <w:r>
        <w:rPr>
          <w:rFonts w:hint="eastAsia"/>
          <w:color w:val="000000"/>
          <w:sz w:val="24"/>
          <w:szCs w:val="24"/>
          <w:u w:val="single"/>
        </w:rPr>
        <w:t xml:space="preserve"> </w:t>
      </w:r>
      <w:r>
        <w:rPr>
          <w:rFonts w:hint="eastAsia"/>
          <w:color w:val="000000"/>
          <w:sz w:val="24"/>
          <w:szCs w:val="24"/>
        </w:rPr>
        <w:t>元），并且变更后的驻场建造师级别不能低于变更前的建造师。乙方建造师及相关主要技术人员不得随意离开现场，每发现一天处以罚金人民币</w:t>
      </w:r>
      <w:r>
        <w:rPr>
          <w:rFonts w:hint="eastAsia"/>
          <w:color w:val="000000"/>
          <w:sz w:val="24"/>
          <w:szCs w:val="24"/>
          <w:u w:val="single"/>
        </w:rPr>
        <w:t xml:space="preserve"> 叁 </w:t>
      </w:r>
      <w:r>
        <w:rPr>
          <w:rFonts w:hint="eastAsia"/>
          <w:color w:val="000000"/>
          <w:sz w:val="24"/>
          <w:szCs w:val="24"/>
        </w:rPr>
        <w:t>仟元整（RMB：</w:t>
      </w:r>
      <w:r>
        <w:rPr>
          <w:color w:val="000000"/>
          <w:sz w:val="24"/>
          <w:szCs w:val="24"/>
          <w:u w:val="single"/>
        </w:rPr>
        <w:t xml:space="preserve"> 3000</w:t>
      </w:r>
      <w:r>
        <w:rPr>
          <w:rFonts w:hint="eastAsia"/>
          <w:color w:val="000000"/>
          <w:sz w:val="24"/>
          <w:szCs w:val="24"/>
          <w:u w:val="single"/>
        </w:rPr>
        <w:t xml:space="preserve"> </w:t>
      </w:r>
      <w:r>
        <w:rPr>
          <w:rFonts w:hint="eastAsia"/>
          <w:color w:val="000000"/>
          <w:sz w:val="24"/>
          <w:szCs w:val="24"/>
        </w:rPr>
        <w:t>元）。</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7.2</w:t>
      </w:r>
      <w:r>
        <w:rPr>
          <w:rFonts w:hint="eastAsia"/>
          <w:color w:val="000000"/>
          <w:sz w:val="24"/>
          <w:szCs w:val="24"/>
        </w:rPr>
        <w:t>承包人依据合同发出的通知，</w:t>
      </w:r>
      <w:r>
        <w:rPr>
          <w:color w:val="000000"/>
          <w:sz w:val="24"/>
          <w:szCs w:val="24"/>
        </w:rPr>
        <w:t xml:space="preserve"> </w:t>
      </w:r>
      <w:r>
        <w:rPr>
          <w:rFonts w:hint="eastAsia"/>
          <w:color w:val="000000"/>
          <w:sz w:val="24"/>
          <w:szCs w:val="24"/>
        </w:rPr>
        <w:t>以书面形式由项目经理签字后送交工程师，工程师在回执上签署姓名和收到时间后生效。</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7.3</w:t>
      </w:r>
      <w:r>
        <w:rPr>
          <w:rFonts w:hint="eastAsia"/>
          <w:color w:val="000000"/>
          <w:sz w:val="24"/>
          <w:szCs w:val="24"/>
        </w:rPr>
        <w:t>项目经理按发包人认可的施工组织设计（施工方案）和工程师依据合同发出的指令组织施工。在情况紧急且无法与工程师联系时，项目经理应当采取保证人员生命和工程、财产安全的紧急措施，并在采取措施后</w:t>
      </w:r>
      <w:r>
        <w:rPr>
          <w:color w:val="000000"/>
          <w:sz w:val="24"/>
          <w:szCs w:val="24"/>
        </w:rPr>
        <w:t>48</w:t>
      </w:r>
      <w:r>
        <w:rPr>
          <w:rFonts w:hint="eastAsia"/>
          <w:color w:val="000000"/>
          <w:sz w:val="24"/>
          <w:szCs w:val="24"/>
        </w:rPr>
        <w:t>小时内向工程师提交报告。责任在发包人或第三人，由发包人承担由此发生的追加合同价款，相应顺延工期；责任在承包人，由承包人承担费用，不顺延工期。</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7.4</w:t>
      </w:r>
      <w:r>
        <w:rPr>
          <w:rFonts w:hint="eastAsia"/>
          <w:color w:val="000000"/>
          <w:sz w:val="24"/>
          <w:szCs w:val="24"/>
        </w:rPr>
        <w:t>发包人可以与承包人协商，</w:t>
      </w:r>
      <w:r>
        <w:rPr>
          <w:color w:val="000000"/>
          <w:sz w:val="24"/>
          <w:szCs w:val="24"/>
        </w:rPr>
        <w:t xml:space="preserve"> </w:t>
      </w:r>
      <w:r>
        <w:rPr>
          <w:rFonts w:hint="eastAsia"/>
          <w:color w:val="000000"/>
          <w:sz w:val="24"/>
          <w:szCs w:val="24"/>
        </w:rPr>
        <w:t>建议更换其认为不称职的项目经理。</w:t>
      </w:r>
    </w:p>
    <w:p>
      <w:pPr>
        <w:adjustRightInd w:val="0"/>
        <w:snapToGrid w:val="0"/>
        <w:spacing w:line="360" w:lineRule="auto"/>
        <w:rPr>
          <w:color w:val="000000"/>
          <w:sz w:val="24"/>
          <w:szCs w:val="24"/>
        </w:rPr>
      </w:pPr>
      <w:r>
        <w:rPr>
          <w:rFonts w:hint="eastAsia"/>
          <w:color w:val="000000"/>
          <w:sz w:val="24"/>
          <w:szCs w:val="24"/>
        </w:rPr>
        <w:t>　　８、发包人工作</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8.1</w:t>
      </w:r>
      <w:r>
        <w:rPr>
          <w:rFonts w:hint="eastAsia"/>
          <w:color w:val="000000"/>
          <w:sz w:val="24"/>
          <w:szCs w:val="24"/>
        </w:rPr>
        <w:t>发包人按专用条款约定的内容和时间完成以下工作：</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）办理土地征用、拆迁补偿、平整施工场地等工作，使施工场地具备施工条件，在开工后继续负责解决以上事项遗留问题；</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）将施工所需水、电、电讯线路从施工场地外部接至专用条款约定地点，保证施工期间的需要；</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）开通施工场地与城乡公共道路的通道，以及专用条款约定的施工场地内的主要道路，满足施工运输的需要，保证施工期间的畅通；</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）向承包人提供施工场地的工程地质和地下管线资料，对资料的真实准确性负责；</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5</w:t>
      </w:r>
      <w:r>
        <w:rPr>
          <w:rFonts w:hint="eastAsia"/>
          <w:color w:val="000000"/>
          <w:sz w:val="24"/>
          <w:szCs w:val="24"/>
        </w:rPr>
        <w:t>）确定水准点与座标控制点，以书面形式交给承包人，进行现场交验；</w:t>
      </w:r>
    </w:p>
    <w:p>
      <w:pPr>
        <w:adjustRightInd w:val="0"/>
        <w:snapToGrid w:val="0"/>
        <w:spacing w:line="360" w:lineRule="auto"/>
        <w:rPr>
          <w:color w:val="000000"/>
          <w:sz w:val="24"/>
          <w:szCs w:val="24"/>
        </w:rPr>
      </w:pPr>
      <w:r>
        <w:rPr>
          <w:rFonts w:hint="eastAsia"/>
          <w:color w:val="000000"/>
          <w:sz w:val="24"/>
          <w:szCs w:val="24"/>
        </w:rPr>
        <w:t>　　（6）组织承包人和设计单位进行图纸会审和设计交底；</w:t>
      </w:r>
    </w:p>
    <w:p>
      <w:pPr>
        <w:adjustRightInd w:val="0"/>
        <w:snapToGrid w:val="0"/>
        <w:spacing w:line="360" w:lineRule="auto"/>
        <w:rPr>
          <w:color w:val="000000"/>
          <w:sz w:val="24"/>
          <w:szCs w:val="24"/>
        </w:rPr>
      </w:pPr>
      <w:r>
        <w:rPr>
          <w:rFonts w:hint="eastAsia"/>
          <w:color w:val="000000"/>
          <w:sz w:val="24"/>
          <w:szCs w:val="24"/>
        </w:rPr>
        <w:t>　　（7）协调处理施工场地周围地下管线和邻近建筑物、构筑物（包括文物保护建筑）、古树名木的保护工作；</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9</w:t>
      </w:r>
      <w:r>
        <w:rPr>
          <w:rFonts w:hint="eastAsia"/>
          <w:color w:val="000000"/>
          <w:sz w:val="24"/>
          <w:szCs w:val="24"/>
        </w:rPr>
        <w:t>）发包人应做的其他工作，双方在专用条款内约定。</w:t>
      </w:r>
      <w:r>
        <w:rPr>
          <w:color w:val="000000"/>
          <w:sz w:val="24"/>
          <w:szCs w:val="24"/>
        </w:rPr>
        <w:t xml:space="preserve"> </w:t>
      </w:r>
    </w:p>
    <w:p>
      <w:pPr>
        <w:adjustRightInd w:val="0"/>
        <w:snapToGrid w:val="0"/>
        <w:spacing w:line="360" w:lineRule="auto"/>
        <w:rPr>
          <w:color w:val="000000"/>
          <w:sz w:val="24"/>
          <w:szCs w:val="24"/>
        </w:rPr>
      </w:pPr>
      <w:r>
        <w:rPr>
          <w:color w:val="000000"/>
          <w:sz w:val="24"/>
          <w:szCs w:val="24"/>
        </w:rPr>
        <w:t>8.2</w:t>
      </w:r>
      <w:r>
        <w:rPr>
          <w:rFonts w:hint="eastAsia"/>
          <w:color w:val="000000"/>
          <w:sz w:val="24"/>
          <w:szCs w:val="24"/>
        </w:rPr>
        <w:t>发包人未能履行</w:t>
      </w:r>
      <w:r>
        <w:rPr>
          <w:color w:val="000000"/>
          <w:sz w:val="24"/>
          <w:szCs w:val="24"/>
        </w:rPr>
        <w:t>8.1</w:t>
      </w:r>
      <w:r>
        <w:rPr>
          <w:rFonts w:hint="eastAsia"/>
          <w:color w:val="000000"/>
          <w:sz w:val="24"/>
          <w:szCs w:val="24"/>
        </w:rPr>
        <w:t>款各项义务，导致工期延误的，顺延延误的工期。</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９、承包人工作</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9.1</w:t>
      </w:r>
      <w:r>
        <w:rPr>
          <w:rFonts w:hint="eastAsia"/>
          <w:color w:val="000000"/>
          <w:sz w:val="24"/>
          <w:szCs w:val="24"/>
        </w:rPr>
        <w:t>承包人按专用条款约定的内容和时间完成以下工作：</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根据发包人委托，在其设计资质等级和业务允许的范围内，完成施工图设计或与工程配套的设计；承包人负责办理工程施工许可证等项目开工前的各种手续，如建设项目所涉及的包括(但不限于)电业、城建、卫生、消防、环保、安保论证等所有相关审批手续，并承担相应费用，发包人负责协调配合；</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）向工程师提供年、季、月度工程进度计划及相应进度统计报表；</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）根据工程需要，提供和维修非夜间施工使用的照明、围栏设施，并负责安全保卫；</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）按专用条款约定的数量和要求，向发包人提供施工场地办公和生活的房屋及设施；</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5</w:t>
      </w:r>
      <w:r>
        <w:rPr>
          <w:rFonts w:hint="eastAsia"/>
          <w:color w:val="000000"/>
          <w:sz w:val="24"/>
          <w:szCs w:val="24"/>
        </w:rPr>
        <w:t>）遵守政府有关主管部门对施工场地交通、施工噪音以及环境保护和安全生产等的管理规定，按规定办理有关手续，并由承包承担所有费用；</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6</w:t>
      </w:r>
      <w:r>
        <w:rPr>
          <w:rFonts w:hint="eastAsia"/>
          <w:color w:val="000000"/>
          <w:sz w:val="24"/>
          <w:szCs w:val="24"/>
        </w:rPr>
        <w:t>）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7</w:t>
      </w:r>
      <w:r>
        <w:rPr>
          <w:rFonts w:hint="eastAsia"/>
          <w:color w:val="000000"/>
          <w:sz w:val="24"/>
          <w:szCs w:val="24"/>
        </w:rPr>
        <w:t>）按专用条款约定做好施工场地地下管线和邻近建筑物、构筑物（包括文物保护建筑）、古树名木的保护工作；</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8</w:t>
      </w:r>
      <w:r>
        <w:rPr>
          <w:rFonts w:hint="eastAsia"/>
          <w:color w:val="000000"/>
          <w:sz w:val="24"/>
          <w:szCs w:val="24"/>
        </w:rPr>
        <w:t>）保证施工场地清洁符合环境卫生管理的有关规定，交工前清理现场达到专用条款约定的要求，承担因自身原因违反有关规定造成的损失和罚款；</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9</w:t>
      </w:r>
      <w:r>
        <w:rPr>
          <w:rFonts w:hint="eastAsia"/>
          <w:color w:val="000000"/>
          <w:sz w:val="24"/>
          <w:szCs w:val="24"/>
        </w:rPr>
        <w:t>）承包人应做的其他工作，双方在专用条款内约定。</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9.2</w:t>
      </w:r>
      <w:r>
        <w:rPr>
          <w:rFonts w:hint="eastAsia"/>
          <w:color w:val="000000"/>
          <w:sz w:val="24"/>
          <w:szCs w:val="24"/>
        </w:rPr>
        <w:t>承包人未能履行</w:t>
      </w:r>
      <w:r>
        <w:rPr>
          <w:color w:val="000000"/>
          <w:sz w:val="24"/>
          <w:szCs w:val="24"/>
        </w:rPr>
        <w:t>9.1</w:t>
      </w:r>
      <w:r>
        <w:rPr>
          <w:rFonts w:hint="eastAsia"/>
          <w:color w:val="000000"/>
          <w:sz w:val="24"/>
          <w:szCs w:val="24"/>
        </w:rPr>
        <w:t>款各项义务，造成发包人损失的，承包人赔偿发包人有关损失。</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三、施工组织设计和工期</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１０、进度计划</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10.1</w:t>
      </w:r>
      <w:r>
        <w:rPr>
          <w:rFonts w:hint="eastAsia"/>
          <w:color w:val="000000"/>
          <w:sz w:val="24"/>
          <w:szCs w:val="24"/>
        </w:rPr>
        <w:t>承包人应按专用条款约定的日期，将施工组织设计和工程进度计划提交修改意见，逾期不确认也不提出书面意见的，视为同意。</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10.2</w:t>
      </w:r>
      <w:r>
        <w:rPr>
          <w:rFonts w:hint="eastAsia"/>
          <w:color w:val="000000"/>
          <w:sz w:val="24"/>
          <w:szCs w:val="24"/>
        </w:rPr>
        <w:t>群体工程中单位工程分期进行施工的，承包人应按照发包人提供图纸及有关资料的时间，按单位工程编制进度计划，其具体内容双方在专用条款中约定。</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10.3</w:t>
      </w:r>
      <w:r>
        <w:rPr>
          <w:rFonts w:hint="eastAsia"/>
          <w:color w:val="000000"/>
          <w:sz w:val="24"/>
          <w:szCs w:val="24"/>
        </w:rPr>
        <w:t>承包人必须按批准的进度计划组织施工，接受发包人代表或监理工程师对进度的监督、检查。工程实际进度与进度计划不符时，承包人应按发包人代表或监理工程师的要求提出改进措施，报发包人批准后实施。因承包人的原因导致实际进度与进度计划不符，承包人无权就改进措施提出追加合同价款。</w:t>
      </w:r>
      <w:r>
        <w:rPr>
          <w:color w:val="000000"/>
          <w:sz w:val="24"/>
          <w:szCs w:val="24"/>
        </w:rPr>
        <w:t xml:space="preserve"> </w:t>
      </w:r>
    </w:p>
    <w:p>
      <w:pPr>
        <w:adjustRightInd w:val="0"/>
        <w:snapToGrid w:val="0"/>
        <w:spacing w:line="360" w:lineRule="auto"/>
        <w:ind w:firstLine="405"/>
        <w:rPr>
          <w:rFonts w:hint="eastAsia"/>
          <w:color w:val="000000"/>
          <w:sz w:val="24"/>
          <w:szCs w:val="24"/>
        </w:rPr>
      </w:pPr>
      <w:r>
        <w:rPr>
          <w:rFonts w:hint="eastAsia"/>
          <w:color w:val="000000"/>
          <w:sz w:val="24"/>
          <w:szCs w:val="24"/>
        </w:rPr>
        <w:t>１１、开工及延期开工</w:t>
      </w:r>
    </w:p>
    <w:p>
      <w:pPr>
        <w:adjustRightInd w:val="0"/>
        <w:snapToGrid w:val="0"/>
        <w:spacing w:line="360" w:lineRule="auto"/>
        <w:ind w:firstLine="405"/>
        <w:rPr>
          <w:color w:val="000000"/>
          <w:sz w:val="24"/>
          <w:szCs w:val="24"/>
        </w:rPr>
      </w:pPr>
      <w:r>
        <w:rPr>
          <w:color w:val="000000"/>
          <w:sz w:val="24"/>
          <w:szCs w:val="24"/>
        </w:rPr>
        <w:t>11.</w:t>
      </w:r>
      <w:r>
        <w:rPr>
          <w:rFonts w:hint="eastAsia"/>
          <w:color w:val="000000"/>
          <w:sz w:val="24"/>
          <w:szCs w:val="24"/>
        </w:rPr>
        <w:t>1因发包人原因不能按照协议书约定的开工日期开工，工程师应以书面形式通知承包人，推迟开工日期，并相应顺延工期。</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１２、暂停施工</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工程师认为确有必要暂停施工时，应当以书面形式要求承包人暂停施工，并在提出要求后</w:t>
      </w:r>
      <w:r>
        <w:rPr>
          <w:color w:val="000000"/>
          <w:sz w:val="24"/>
          <w:szCs w:val="24"/>
        </w:rPr>
        <w:t>48</w:t>
      </w:r>
      <w:r>
        <w:rPr>
          <w:rFonts w:hint="eastAsia"/>
          <w:color w:val="000000"/>
          <w:sz w:val="24"/>
          <w:szCs w:val="24"/>
        </w:rPr>
        <w:t>小时内提出书面处理意见。承包人应当按工程师要求停止施工，并妥善保护已完工程。承包人实施工程师作出的处理意见后，可以书面形式提出复工要求，工程师作出的处理意见后，可以书面形式提出复工要求，工程师应当在</w:t>
      </w:r>
      <w:r>
        <w:rPr>
          <w:color w:val="000000"/>
          <w:sz w:val="24"/>
          <w:szCs w:val="24"/>
        </w:rPr>
        <w:t>48</w:t>
      </w:r>
      <w:r>
        <w:rPr>
          <w:rFonts w:hint="eastAsia"/>
          <w:color w:val="000000"/>
          <w:sz w:val="24"/>
          <w:szCs w:val="24"/>
        </w:rPr>
        <w:t>小时内给予答复。工程师未能在规定时间内提出处理意见，或收到承包人复工要求后</w:t>
      </w:r>
      <w:r>
        <w:rPr>
          <w:color w:val="000000"/>
          <w:sz w:val="24"/>
          <w:szCs w:val="24"/>
        </w:rPr>
        <w:t>48</w:t>
      </w:r>
      <w:r>
        <w:rPr>
          <w:rFonts w:hint="eastAsia"/>
          <w:color w:val="000000"/>
          <w:sz w:val="24"/>
          <w:szCs w:val="24"/>
        </w:rPr>
        <w:t>小时内未予答复，承包人可自行复工。因发包人原因造成停工的，相应顺延工期；因承包人原因造成停工的，由承包人承担发生的费用，工期不予顺延。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１３、工期延误</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13.1</w:t>
      </w:r>
      <w:r>
        <w:rPr>
          <w:rFonts w:hint="eastAsia"/>
          <w:color w:val="000000"/>
          <w:sz w:val="24"/>
          <w:szCs w:val="24"/>
        </w:rPr>
        <w:t>因以下原因造成工期延误，经工程师确认，工期相应顺延：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）发包人未能按专用条款的约定提供图纸及开工条件；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）发包人未能按约定日期支付工程预付款、进度款，致使施工不能正常进行；</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）工程师未按合同约定提供所需指令、批准等，致使施工不能正常进行；</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）设计变更和工程量增加；</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5</w:t>
      </w:r>
      <w:r>
        <w:rPr>
          <w:rFonts w:hint="eastAsia"/>
          <w:color w:val="000000"/>
          <w:sz w:val="24"/>
          <w:szCs w:val="24"/>
        </w:rPr>
        <w:t>）一周内非承包人原因停水、停电、停气造成停工累计超过</w:t>
      </w:r>
      <w:r>
        <w:rPr>
          <w:color w:val="000000"/>
          <w:sz w:val="24"/>
          <w:szCs w:val="24"/>
        </w:rPr>
        <w:t>8</w:t>
      </w:r>
      <w:r>
        <w:rPr>
          <w:rFonts w:hint="eastAsia"/>
          <w:color w:val="000000"/>
          <w:sz w:val="24"/>
          <w:szCs w:val="24"/>
        </w:rPr>
        <w:t>小时；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6</w:t>
      </w:r>
      <w:r>
        <w:rPr>
          <w:rFonts w:hint="eastAsia"/>
          <w:color w:val="000000"/>
          <w:sz w:val="24"/>
          <w:szCs w:val="24"/>
        </w:rPr>
        <w:t>）不可抗力；</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7</w:t>
      </w:r>
      <w:r>
        <w:rPr>
          <w:rFonts w:hint="eastAsia"/>
          <w:color w:val="000000"/>
          <w:sz w:val="24"/>
          <w:szCs w:val="24"/>
        </w:rPr>
        <w:t>）专用条款中约定或工程师同意工期顺延的其他情况。</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13.2</w:t>
      </w:r>
      <w:r>
        <w:rPr>
          <w:rFonts w:hint="eastAsia"/>
          <w:color w:val="000000"/>
          <w:sz w:val="24"/>
          <w:szCs w:val="24"/>
        </w:rPr>
        <w:t>承包人在</w:t>
      </w:r>
      <w:r>
        <w:rPr>
          <w:color w:val="000000"/>
          <w:sz w:val="24"/>
          <w:szCs w:val="24"/>
        </w:rPr>
        <w:t>13.1</w:t>
      </w:r>
      <w:r>
        <w:rPr>
          <w:rFonts w:hint="eastAsia"/>
          <w:color w:val="000000"/>
          <w:sz w:val="24"/>
          <w:szCs w:val="24"/>
        </w:rPr>
        <w:t>款情况发生后</w:t>
      </w:r>
      <w:r>
        <w:rPr>
          <w:color w:val="000000"/>
          <w:sz w:val="24"/>
          <w:szCs w:val="24"/>
        </w:rPr>
        <w:t>14</w:t>
      </w:r>
      <w:r>
        <w:rPr>
          <w:rFonts w:hint="eastAsia"/>
          <w:color w:val="000000"/>
          <w:sz w:val="24"/>
          <w:szCs w:val="24"/>
        </w:rPr>
        <w:t>天内，就延误的工期以书面形式向工程师提出报告。工程师在收到报告后</w:t>
      </w:r>
      <w:r>
        <w:rPr>
          <w:color w:val="000000"/>
          <w:sz w:val="24"/>
          <w:szCs w:val="24"/>
        </w:rPr>
        <w:t>14</w:t>
      </w:r>
      <w:r>
        <w:rPr>
          <w:rFonts w:hint="eastAsia"/>
          <w:color w:val="000000"/>
          <w:sz w:val="24"/>
          <w:szCs w:val="24"/>
        </w:rPr>
        <w:t>天内予以确认，逾期不予确认也不提出修改意见，视为同意顺延工期。</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１４、工程竣工</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14.1</w:t>
      </w:r>
      <w:r>
        <w:rPr>
          <w:rFonts w:hint="eastAsia"/>
          <w:color w:val="000000"/>
          <w:sz w:val="24"/>
          <w:szCs w:val="24"/>
        </w:rPr>
        <w:t>承包人必须按照协议书约定的竣工日期或工程师同意顺延的工期竣工。</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14.2</w:t>
      </w:r>
      <w:r>
        <w:rPr>
          <w:rFonts w:hint="eastAsia"/>
          <w:color w:val="000000"/>
          <w:sz w:val="24"/>
          <w:szCs w:val="24"/>
        </w:rPr>
        <w:t>因承包人原因不能按照协议书约定的竣工日期或工程师同意顺延的工期竣工的，承包人承担违约责任。</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14.3</w:t>
      </w:r>
      <w:r>
        <w:rPr>
          <w:rFonts w:hint="eastAsia"/>
          <w:color w:val="000000"/>
          <w:sz w:val="24"/>
          <w:szCs w:val="24"/>
        </w:rPr>
        <w:t>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四、质量与检验</w:t>
      </w:r>
      <w:r>
        <w:rPr>
          <w:color w:val="000000"/>
          <w:sz w:val="24"/>
          <w:szCs w:val="24"/>
        </w:rPr>
        <w:t xml:space="preserve"> </w:t>
      </w:r>
    </w:p>
    <w:p>
      <w:pPr>
        <w:adjustRightInd w:val="0"/>
        <w:snapToGrid w:val="0"/>
        <w:spacing w:line="360" w:lineRule="auto"/>
        <w:rPr>
          <w:color w:val="000000"/>
          <w:sz w:val="24"/>
          <w:szCs w:val="24"/>
        </w:rPr>
      </w:pPr>
      <w:r>
        <w:rPr>
          <w:color w:val="000000"/>
          <w:sz w:val="24"/>
          <w:szCs w:val="24"/>
        </w:rPr>
        <w:t> </w:t>
      </w:r>
      <w:r>
        <w:rPr>
          <w:rFonts w:hint="eastAsia"/>
          <w:color w:val="000000"/>
          <w:sz w:val="24"/>
          <w:szCs w:val="24"/>
        </w:rPr>
        <w:t>　　１５、工程质量</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15.1</w:t>
      </w:r>
      <w:r>
        <w:rPr>
          <w:rFonts w:hint="eastAsia"/>
          <w:color w:val="000000"/>
          <w:sz w:val="24"/>
          <w:szCs w:val="24"/>
        </w:rPr>
        <w:t>工程质量应当达到协议书约定的质量标准，质量标准的评定以国家或行业的质量检验评定标准为依据。因承包人原因工程质量达不到约定的质量标准，承包人承担违约责任。</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15.2</w:t>
      </w:r>
      <w:r>
        <w:rPr>
          <w:rFonts w:hint="eastAsia"/>
          <w:color w:val="000000"/>
          <w:sz w:val="24"/>
          <w:szCs w:val="24"/>
        </w:rPr>
        <w:t>双方对工程质量有争议，由双方同意的工程质量检测机构鉴定，所需费用及因此造成的损失，由责任方承担。双方均有责任，由双方根据其责任分别承担。</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１６、检查和返工</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16.1</w:t>
      </w:r>
      <w:r>
        <w:rPr>
          <w:rFonts w:hint="eastAsia"/>
          <w:color w:val="000000"/>
          <w:sz w:val="24"/>
          <w:szCs w:val="24"/>
        </w:rPr>
        <w:t>承包人应认真按照标准、规范和设计图纸要求以及工程师依据合同发出的指令施工，随时接受工程师的检查检验，为检查检验提供便利条件。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16.2</w:t>
      </w:r>
      <w:r>
        <w:rPr>
          <w:rFonts w:hint="eastAsia"/>
          <w:color w:val="000000"/>
          <w:sz w:val="24"/>
          <w:szCs w:val="24"/>
        </w:rPr>
        <w:t>工程质量达不到约定标准的部分，工程师的要求拆除和重新施工，直到符合约定标准。因承包人原因达不到约定标准，由承包人承担拆除和重新施工的费用，工期不予顺延。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16.3</w:t>
      </w:r>
      <w:r>
        <w:rPr>
          <w:rFonts w:hint="eastAsia"/>
          <w:color w:val="000000"/>
          <w:sz w:val="24"/>
          <w:szCs w:val="24"/>
        </w:rPr>
        <w:t>工程师的检查检验不应影响施工正常进行。如影响施工正常进行，检查检验不合格时，影响正常施工的费用由承包人承担。除此之外影响正常施工的追加合同价款由发包人承担，相应顺延工期。</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16.4</w:t>
      </w:r>
      <w:r>
        <w:rPr>
          <w:rFonts w:hint="eastAsia"/>
          <w:color w:val="000000"/>
          <w:sz w:val="24"/>
          <w:szCs w:val="24"/>
        </w:rPr>
        <w:t>因工程师指令失误或其他非承包人原因发生的追加合同价款，由发包人承担。</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１７、隐蔽工程和中间验收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17.1</w:t>
      </w:r>
      <w:r>
        <w:rPr>
          <w:rFonts w:hint="eastAsia"/>
          <w:color w:val="000000"/>
          <w:sz w:val="24"/>
          <w:szCs w:val="24"/>
        </w:rPr>
        <w:t>工程具备隐蔽条件或达到专用条款约定的中间验收部位，承包人进行自检，并在隐蔽或中间验收前</w:t>
      </w:r>
      <w:r>
        <w:rPr>
          <w:color w:val="000000"/>
          <w:sz w:val="24"/>
          <w:szCs w:val="24"/>
        </w:rPr>
        <w:t>48</w:t>
      </w:r>
      <w:r>
        <w:rPr>
          <w:rFonts w:hint="eastAsia"/>
          <w:color w:val="000000"/>
          <w:sz w:val="24"/>
          <w:szCs w:val="24"/>
        </w:rPr>
        <w:t>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17.2</w:t>
      </w:r>
      <w:r>
        <w:rPr>
          <w:rFonts w:hint="eastAsia"/>
          <w:color w:val="000000"/>
          <w:sz w:val="24"/>
          <w:szCs w:val="24"/>
        </w:rPr>
        <w:t>工程师不能按时进行验收，应在验收前</w:t>
      </w:r>
      <w:r>
        <w:rPr>
          <w:color w:val="000000"/>
          <w:sz w:val="24"/>
          <w:szCs w:val="24"/>
        </w:rPr>
        <w:t>24</w:t>
      </w:r>
      <w:r>
        <w:rPr>
          <w:rFonts w:hint="eastAsia"/>
          <w:color w:val="000000"/>
          <w:sz w:val="24"/>
          <w:szCs w:val="24"/>
        </w:rPr>
        <w:t>小时以书面形式向承包人提出延期要求，延期不能超过</w:t>
      </w:r>
      <w:r>
        <w:rPr>
          <w:color w:val="000000"/>
          <w:sz w:val="24"/>
          <w:szCs w:val="24"/>
        </w:rPr>
        <w:t>48</w:t>
      </w:r>
      <w:r>
        <w:rPr>
          <w:rFonts w:hint="eastAsia"/>
          <w:color w:val="000000"/>
          <w:sz w:val="24"/>
          <w:szCs w:val="24"/>
        </w:rPr>
        <w:t>小时。工程师未能按以上时间提出延期要求，不进行验收，承包人可自行组织验收，工程师应承认验收记录。</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17.3</w:t>
      </w:r>
      <w:r>
        <w:rPr>
          <w:rFonts w:hint="eastAsia"/>
          <w:color w:val="000000"/>
          <w:sz w:val="24"/>
          <w:szCs w:val="24"/>
        </w:rPr>
        <w:t>经工程师验收，工程质量符合标准、规范和设计图纸等要求，验收</w:t>
      </w:r>
      <w:r>
        <w:rPr>
          <w:color w:val="000000"/>
          <w:sz w:val="24"/>
          <w:szCs w:val="24"/>
        </w:rPr>
        <w:t>24</w:t>
      </w:r>
      <w:r>
        <w:rPr>
          <w:rFonts w:hint="eastAsia"/>
          <w:color w:val="000000"/>
          <w:sz w:val="24"/>
          <w:szCs w:val="24"/>
        </w:rPr>
        <w:t>小时后，工程师不在验收记录上签字，视为工程师已经认可验收记录，承包人可进行隐蔽或继续施工。</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１８、重新检验</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１９、工程试车</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19.1</w:t>
      </w:r>
      <w:r>
        <w:rPr>
          <w:rFonts w:hint="eastAsia"/>
          <w:color w:val="000000"/>
          <w:sz w:val="24"/>
          <w:szCs w:val="24"/>
        </w:rPr>
        <w:t>双方约定需要试车的，试车内容应与承包人承包的安装范围相一致。</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19.2</w:t>
      </w:r>
      <w:r>
        <w:rPr>
          <w:rFonts w:hint="eastAsia"/>
          <w:color w:val="000000"/>
          <w:sz w:val="24"/>
          <w:szCs w:val="24"/>
        </w:rPr>
        <w:t>设备安装工程具备单机无负荷试车条件，承包人组织试车，并在试车前</w:t>
      </w:r>
      <w:r>
        <w:rPr>
          <w:color w:val="000000"/>
          <w:sz w:val="24"/>
          <w:szCs w:val="24"/>
        </w:rPr>
        <w:t>48</w:t>
      </w:r>
      <w:r>
        <w:rPr>
          <w:rFonts w:hint="eastAsia"/>
          <w:color w:val="000000"/>
          <w:sz w:val="24"/>
          <w:szCs w:val="24"/>
        </w:rPr>
        <w:t>小时以书面形式通知工程师。通知包括试车内容、时间、地点。承包人准备试车记录，发包人根据承包人要求为试车提供必要条件。试车合格，工程师在试车记录上签字。</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19.3</w:t>
      </w:r>
      <w:r>
        <w:rPr>
          <w:rFonts w:hint="eastAsia"/>
          <w:color w:val="000000"/>
          <w:sz w:val="24"/>
          <w:szCs w:val="24"/>
        </w:rPr>
        <w:t>工程师不能按时参加试车，须在开始试车前</w:t>
      </w:r>
      <w:r>
        <w:rPr>
          <w:color w:val="000000"/>
          <w:sz w:val="24"/>
          <w:szCs w:val="24"/>
        </w:rPr>
        <w:t>24</w:t>
      </w:r>
      <w:r>
        <w:rPr>
          <w:rFonts w:hint="eastAsia"/>
          <w:color w:val="000000"/>
          <w:sz w:val="24"/>
          <w:szCs w:val="24"/>
        </w:rPr>
        <w:t>小时以书面形式向承包人提出延期要求，不参加试车，应承认试车记录。</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19.4</w:t>
      </w:r>
      <w:r>
        <w:rPr>
          <w:rFonts w:hint="eastAsia"/>
          <w:color w:val="000000"/>
          <w:sz w:val="24"/>
          <w:szCs w:val="24"/>
        </w:rPr>
        <w:t>设备安装工程具备无负荷联动试车条件，发包人组织试车，并在试车内容、时间、地点和对承包人的要求，承包人按要求做好准备工作。试车合格，双方在试车记录上签字。</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19.5</w:t>
      </w:r>
      <w:r>
        <w:rPr>
          <w:rFonts w:hint="eastAsia"/>
          <w:color w:val="000000"/>
          <w:sz w:val="24"/>
          <w:szCs w:val="24"/>
        </w:rPr>
        <w:t>双方责任</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）由于设计原因试车达不到验收要求，发包人应要求设计单位修改设计，承包人按修改后的设计重新安装。发包人承担修改设计、拆除及重新安装的全部费用和追加合同价款，工期相应顺延。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）由于承包人施工原因试车不到验收要求，承包人按工程师要求重新安装和试车，并承担重新安装和试车的费用，工期不予顺延。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）试车费用除已包括在合同价款之内或专用条款另有约定外，均由发包人承担。</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5</w:t>
      </w:r>
      <w:r>
        <w:rPr>
          <w:rFonts w:hint="eastAsia"/>
          <w:color w:val="000000"/>
          <w:sz w:val="24"/>
          <w:szCs w:val="24"/>
        </w:rPr>
        <w:t>）工程师在试车合格后不在试车记录上签字，试车结束</w:t>
      </w:r>
      <w:r>
        <w:rPr>
          <w:color w:val="000000"/>
          <w:sz w:val="24"/>
          <w:szCs w:val="24"/>
        </w:rPr>
        <w:t>24</w:t>
      </w:r>
      <w:r>
        <w:rPr>
          <w:rFonts w:hint="eastAsia"/>
          <w:color w:val="000000"/>
          <w:sz w:val="24"/>
          <w:szCs w:val="24"/>
        </w:rPr>
        <w:t>小时后，视为工程师已经认可试车记录，承包人可继续施工或办理竣工手续。</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19.6</w:t>
      </w:r>
      <w:r>
        <w:rPr>
          <w:rFonts w:hint="eastAsia"/>
          <w:color w:val="000000"/>
          <w:sz w:val="24"/>
          <w:szCs w:val="24"/>
        </w:rPr>
        <w:t>投料试车应在工程竣工验收后由发包人负责，如发包人要求在工程竣工验收前进行或需要承包人配合时，应征得承包人同意，另行签订补充协议。</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五、安全施工</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２０、安全施工与检查</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20.1</w:t>
      </w:r>
      <w:r>
        <w:rPr>
          <w:rFonts w:hint="eastAsia"/>
          <w:color w:val="000000"/>
          <w:sz w:val="24"/>
          <w:szCs w:val="24"/>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20.2</w:t>
      </w:r>
      <w:r>
        <w:rPr>
          <w:rFonts w:hint="eastAsia"/>
          <w:color w:val="000000"/>
          <w:sz w:val="24"/>
          <w:szCs w:val="24"/>
        </w:rPr>
        <w:t>发包人应对其在施工场地的工作人员进行安全教育，并对他们的安全负责。发包人不得要求承包人违反安全管理的规定进行施工。因发包人原因导致的安全事故，由发包人承担相应责任及发生的费用。</w:t>
      </w:r>
    </w:p>
    <w:p>
      <w:pPr>
        <w:adjustRightInd w:val="0"/>
        <w:snapToGrid w:val="0"/>
        <w:spacing w:line="360" w:lineRule="auto"/>
        <w:rPr>
          <w:color w:val="000000"/>
          <w:sz w:val="24"/>
          <w:szCs w:val="24"/>
        </w:rPr>
      </w:pPr>
      <w:r>
        <w:rPr>
          <w:rFonts w:hint="eastAsia"/>
          <w:color w:val="000000"/>
          <w:sz w:val="24"/>
          <w:szCs w:val="24"/>
        </w:rPr>
        <w:t>　　２１、安全防护</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21.1</w:t>
      </w:r>
      <w:r>
        <w:rPr>
          <w:rFonts w:hint="eastAsia"/>
          <w:color w:val="000000"/>
          <w:sz w:val="24"/>
          <w:szCs w:val="24"/>
        </w:rPr>
        <w:t>承包人在动力设备、输电线路、地下管道、密封防震车间、易燃易爆地段以及临街交通要道附近施工时，施工开始前应向工程师提出安全防护措施，经工程师认可后实施，防护措施费用由发包人承担。</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21.2</w:t>
      </w:r>
      <w:r>
        <w:rPr>
          <w:rFonts w:hint="eastAsia"/>
          <w:color w:val="000000"/>
          <w:sz w:val="24"/>
          <w:szCs w:val="24"/>
        </w:rPr>
        <w:t>实施爆破作业，在放射、毒害性环境中施工（含储存、运输、使用）及使用毒害性、腐蚀性物品施工时，承包人应在施工前</w:t>
      </w:r>
      <w:r>
        <w:rPr>
          <w:color w:val="000000"/>
          <w:sz w:val="24"/>
          <w:szCs w:val="24"/>
        </w:rPr>
        <w:t>14</w:t>
      </w:r>
      <w:r>
        <w:rPr>
          <w:rFonts w:hint="eastAsia"/>
          <w:color w:val="000000"/>
          <w:sz w:val="24"/>
          <w:szCs w:val="24"/>
        </w:rPr>
        <w:t>天以书面通知工程师，并提出相应的安全防护措施，经工程师认可后实施，由发包人承担安全防护措施费用。</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２２、事故处理</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22.1</w:t>
      </w:r>
      <w:r>
        <w:rPr>
          <w:rFonts w:hint="eastAsia"/>
          <w:color w:val="000000"/>
          <w:sz w:val="24"/>
          <w:szCs w:val="24"/>
        </w:rPr>
        <w:t>发生重大伤亡及其他安全事故，承包人应按有关规定立即上报有关部门并通知工程师，同时按政府有关部门要求处理，由事故责任方承担发生的费用。</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22.2</w:t>
      </w:r>
      <w:r>
        <w:rPr>
          <w:rFonts w:hint="eastAsia"/>
          <w:color w:val="000000"/>
          <w:sz w:val="24"/>
          <w:szCs w:val="24"/>
        </w:rPr>
        <w:t>发包人承包人对事故责任有争议时，应按政府有关部门的认定处理。</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六、合同价款与支付</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２３、合同价款及调整</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23.1</w:t>
      </w:r>
      <w:r>
        <w:rPr>
          <w:rFonts w:hint="eastAsia"/>
          <w:color w:val="000000"/>
          <w:sz w:val="24"/>
          <w:szCs w:val="24"/>
        </w:rPr>
        <w:t>招标工程的合同价款由发包人承包人依据中标通知书中的中标价格在协议书内约定。。</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23.2</w:t>
      </w:r>
      <w:r>
        <w:rPr>
          <w:rFonts w:hint="eastAsia"/>
          <w:color w:val="000000"/>
          <w:sz w:val="24"/>
          <w:szCs w:val="24"/>
        </w:rPr>
        <w:t>合同价款在协议书内约定后，任何一方不得擅自改变。根据招标文件要求和参考设备清单、设计图纸、技术规格书中的要求及承包商所提供的投标文件、工程内容，由承包方采取包设备材料、包施工安装、包调试、包质量、包工期、包安全、包检测、包技术培训、包验收、包三年的免费维修保养，以固定总价包干的方式承包以上工程范围的内容（</w:t>
      </w:r>
      <w:r>
        <w:rPr>
          <w:rFonts w:hint="eastAsia" w:hAnsi="宋体"/>
          <w:color w:val="000000"/>
          <w:sz w:val="24"/>
          <w:szCs w:val="24"/>
        </w:rPr>
        <w:t>其中暂估价项目价格以竣工后工程结算审核单位审核价格为准</w:t>
      </w:r>
      <w:r>
        <w:rPr>
          <w:rFonts w:hint="eastAsia"/>
          <w:color w:val="000000"/>
          <w:sz w:val="24"/>
          <w:szCs w:val="24"/>
        </w:rPr>
        <w:t>），在约定的风险范围内合同价款不再调整。风险范围以外的合同价款调整方法。应当在专用条款内约定。</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２４、工程预付款</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实行工程预付款的，双方应当在专用条款内约定发包人向承包人预付工程款的时间和数额，开工后按约定的时间和比例逐次扣回。发包人不按约定预付，</w:t>
      </w:r>
      <w:r>
        <w:rPr>
          <w:color w:val="000000"/>
          <w:sz w:val="24"/>
          <w:szCs w:val="24"/>
        </w:rPr>
        <w:t xml:space="preserve"> </w:t>
      </w:r>
      <w:r>
        <w:rPr>
          <w:rFonts w:hint="eastAsia"/>
          <w:color w:val="000000"/>
          <w:sz w:val="24"/>
          <w:szCs w:val="24"/>
        </w:rPr>
        <w:t>承包人在约定预付时间</w:t>
      </w:r>
      <w:r>
        <w:rPr>
          <w:color w:val="000000"/>
          <w:sz w:val="24"/>
          <w:szCs w:val="24"/>
        </w:rPr>
        <w:t>7</w:t>
      </w:r>
      <w:r>
        <w:rPr>
          <w:rFonts w:hint="eastAsia"/>
          <w:color w:val="000000"/>
          <w:sz w:val="24"/>
          <w:szCs w:val="24"/>
        </w:rPr>
        <w:t>天后向发包人发出要求预付的通知，发包人收到通知后仍不能按要求预付，</w:t>
      </w:r>
      <w:r>
        <w:rPr>
          <w:color w:val="000000"/>
          <w:sz w:val="24"/>
          <w:szCs w:val="24"/>
        </w:rPr>
        <w:t xml:space="preserve"> </w:t>
      </w:r>
      <w:r>
        <w:rPr>
          <w:rFonts w:hint="eastAsia"/>
          <w:color w:val="000000"/>
          <w:sz w:val="24"/>
          <w:szCs w:val="24"/>
        </w:rPr>
        <w:t>承包人可在发出通知后</w:t>
      </w:r>
      <w:r>
        <w:rPr>
          <w:color w:val="000000"/>
          <w:sz w:val="24"/>
          <w:szCs w:val="24"/>
        </w:rPr>
        <w:t>7</w:t>
      </w:r>
      <w:r>
        <w:rPr>
          <w:rFonts w:hint="eastAsia"/>
          <w:color w:val="000000"/>
          <w:sz w:val="24"/>
          <w:szCs w:val="24"/>
        </w:rPr>
        <w:t>天停止施工，发包人应从约定应付之日起向承包人支付应付款的贷款利息，并承担违约责任。</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２５、工程量的确认</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25.1</w:t>
      </w:r>
      <w:r>
        <w:rPr>
          <w:rFonts w:hint="eastAsia"/>
          <w:color w:val="000000"/>
          <w:sz w:val="24"/>
          <w:szCs w:val="24"/>
        </w:rPr>
        <w:t>承包人应按专用条款约定的时间，向工程师提交已完工程量的报告。</w:t>
      </w:r>
      <w:r>
        <w:rPr>
          <w:color w:val="000000"/>
          <w:sz w:val="24"/>
          <w:szCs w:val="24"/>
        </w:rPr>
        <w:t xml:space="preserve"> </w:t>
      </w:r>
      <w:r>
        <w:rPr>
          <w:rFonts w:hint="eastAsia"/>
          <w:color w:val="000000"/>
          <w:sz w:val="24"/>
          <w:szCs w:val="24"/>
        </w:rPr>
        <w:t>工程师接到报告后</w:t>
      </w:r>
      <w:r>
        <w:rPr>
          <w:color w:val="000000"/>
          <w:sz w:val="24"/>
          <w:szCs w:val="24"/>
        </w:rPr>
        <w:t>7</w:t>
      </w:r>
      <w:r>
        <w:rPr>
          <w:rFonts w:hint="eastAsia"/>
          <w:color w:val="000000"/>
          <w:sz w:val="24"/>
          <w:szCs w:val="24"/>
        </w:rPr>
        <w:t>天内按设计图纸核实已完工程量（以下称计量），并在计量前</w:t>
      </w:r>
      <w:r>
        <w:rPr>
          <w:color w:val="000000"/>
          <w:sz w:val="24"/>
          <w:szCs w:val="24"/>
        </w:rPr>
        <w:t>24</w:t>
      </w:r>
      <w:r>
        <w:rPr>
          <w:rFonts w:hint="eastAsia"/>
          <w:color w:val="000000"/>
          <w:sz w:val="24"/>
          <w:szCs w:val="24"/>
        </w:rPr>
        <w:t>小时通知承包人，承包人为计量提供便利条件并派人参加。承包人收到通知后不参加计量，计量结果有效，作为工程价款支付的依据。</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25.2</w:t>
      </w:r>
      <w:r>
        <w:rPr>
          <w:rFonts w:hint="eastAsia"/>
          <w:color w:val="000000"/>
          <w:sz w:val="24"/>
          <w:szCs w:val="24"/>
        </w:rPr>
        <w:t>工程师收到承包人报告后</w:t>
      </w:r>
      <w:r>
        <w:rPr>
          <w:color w:val="000000"/>
          <w:sz w:val="24"/>
          <w:szCs w:val="24"/>
        </w:rPr>
        <w:t>7</w:t>
      </w:r>
      <w:r>
        <w:rPr>
          <w:rFonts w:hint="eastAsia"/>
          <w:color w:val="000000"/>
          <w:sz w:val="24"/>
          <w:szCs w:val="24"/>
        </w:rPr>
        <w:t>天内未进行计量，从第</w:t>
      </w:r>
      <w:r>
        <w:rPr>
          <w:color w:val="000000"/>
          <w:sz w:val="24"/>
          <w:szCs w:val="24"/>
        </w:rPr>
        <w:t>8</w:t>
      </w:r>
      <w:r>
        <w:rPr>
          <w:rFonts w:hint="eastAsia"/>
          <w:color w:val="000000"/>
          <w:sz w:val="24"/>
          <w:szCs w:val="24"/>
        </w:rPr>
        <w:t>天起，承包人报告中开列的工程量即视为被确认，作为工程价款支付的依据。工程师不按约定时间通知承包人，致命承包人未能参加计量，计量结果无效。</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25.3</w:t>
      </w:r>
      <w:r>
        <w:rPr>
          <w:rFonts w:hint="eastAsia"/>
          <w:color w:val="000000"/>
          <w:sz w:val="24"/>
          <w:szCs w:val="24"/>
        </w:rPr>
        <w:t>对承包人超出设计图纸范围和因承包人原因造成返工的工程量，工程师不予计量。</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２６、工程款（进度款）支付</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26.1</w:t>
      </w:r>
      <w:r>
        <w:rPr>
          <w:rFonts w:hint="eastAsia"/>
          <w:color w:val="000000"/>
          <w:sz w:val="24"/>
          <w:szCs w:val="24"/>
        </w:rPr>
        <w:t>在确认计量结果后</w:t>
      </w:r>
      <w:r>
        <w:rPr>
          <w:color w:val="000000"/>
          <w:sz w:val="24"/>
          <w:szCs w:val="24"/>
        </w:rPr>
        <w:t>14</w:t>
      </w:r>
      <w:r>
        <w:rPr>
          <w:rFonts w:hint="eastAsia"/>
          <w:color w:val="000000"/>
          <w:sz w:val="24"/>
          <w:szCs w:val="24"/>
        </w:rPr>
        <w:t>天内，发包人应向承包人支付工程款（进度款）。按约定时间发包人应扣回的预付款，与工程款（进度款）同期结算。</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26.2</w:t>
      </w:r>
      <w:r>
        <w:rPr>
          <w:rFonts w:hint="eastAsia"/>
          <w:color w:val="000000"/>
          <w:sz w:val="24"/>
          <w:szCs w:val="24"/>
        </w:rPr>
        <w:t>本通用条款第</w:t>
      </w:r>
      <w:r>
        <w:rPr>
          <w:color w:val="000000"/>
          <w:sz w:val="24"/>
          <w:szCs w:val="24"/>
        </w:rPr>
        <w:t>3</w:t>
      </w:r>
      <w:r>
        <w:rPr>
          <w:rFonts w:hint="eastAsia"/>
          <w:color w:val="000000"/>
          <w:sz w:val="24"/>
          <w:szCs w:val="24"/>
        </w:rPr>
        <w:t>0条工程变更调整的合同价款及其他条款中约定的追加合同价款，应与工程款（进度款）同期调整支付。</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26.3</w:t>
      </w:r>
      <w:r>
        <w:rPr>
          <w:rFonts w:hint="eastAsia"/>
          <w:color w:val="000000"/>
          <w:sz w:val="24"/>
          <w:szCs w:val="24"/>
        </w:rPr>
        <w:t>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w:t>
      </w:r>
      <w:r>
        <w:rPr>
          <w:color w:val="000000"/>
          <w:sz w:val="24"/>
          <w:szCs w:val="24"/>
        </w:rPr>
        <w:t>15</w:t>
      </w:r>
      <w:r>
        <w:rPr>
          <w:rFonts w:hint="eastAsia"/>
          <w:color w:val="000000"/>
          <w:sz w:val="24"/>
          <w:szCs w:val="24"/>
        </w:rPr>
        <w:t>天起应付款的贷款利息。</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26.4</w:t>
      </w:r>
      <w:r>
        <w:rPr>
          <w:rFonts w:hint="eastAsia"/>
          <w:color w:val="000000"/>
          <w:sz w:val="24"/>
          <w:szCs w:val="24"/>
        </w:rPr>
        <w:t>发包人不按合同约定支付工程款（进度款），双方又未达成延期付款协议，导致施工无法进行，承包人可停止施工，由发包人承担违约责任。</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七、材料设备供应</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２７、承包人采购材料设备</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7</w:t>
      </w:r>
      <w:r>
        <w:rPr>
          <w:color w:val="000000"/>
          <w:sz w:val="24"/>
          <w:szCs w:val="24"/>
        </w:rPr>
        <w:t>.1</w:t>
      </w:r>
      <w:r>
        <w:rPr>
          <w:rFonts w:hint="eastAsia"/>
          <w:color w:val="000000"/>
          <w:sz w:val="24"/>
          <w:szCs w:val="24"/>
        </w:rPr>
        <w:t>承包人负责采购材料设备的，应按照招标文件要求、专用条款约定及设计和有关标准要求采购，并提供产品合格证明，对材料设备质量负责。承包人在材料设备到货前</w:t>
      </w:r>
      <w:r>
        <w:rPr>
          <w:color w:val="000000"/>
          <w:sz w:val="24"/>
          <w:szCs w:val="24"/>
        </w:rPr>
        <w:t>24</w:t>
      </w:r>
      <w:r>
        <w:rPr>
          <w:rFonts w:hint="eastAsia"/>
          <w:color w:val="000000"/>
          <w:sz w:val="24"/>
          <w:szCs w:val="24"/>
        </w:rPr>
        <w:t>小时通知工程师清点。</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7</w:t>
      </w:r>
      <w:r>
        <w:rPr>
          <w:color w:val="000000"/>
          <w:sz w:val="24"/>
          <w:szCs w:val="24"/>
        </w:rPr>
        <w:t>.2</w:t>
      </w:r>
      <w:r>
        <w:rPr>
          <w:rFonts w:hint="eastAsia"/>
          <w:color w:val="000000"/>
          <w:sz w:val="24"/>
          <w:szCs w:val="24"/>
        </w:rPr>
        <w:t>承包人采购的材料设备与设计标准要求不符时，承包人应按工程师要求的时间运出施工场地，重新采购符合要求的产品，承担由此发生的费用，由此延误的工期不予顺延。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7</w:t>
      </w:r>
      <w:r>
        <w:rPr>
          <w:color w:val="000000"/>
          <w:sz w:val="24"/>
          <w:szCs w:val="24"/>
        </w:rPr>
        <w:t>.3</w:t>
      </w:r>
      <w:r>
        <w:rPr>
          <w:rFonts w:hint="eastAsia"/>
          <w:color w:val="000000"/>
          <w:sz w:val="24"/>
          <w:szCs w:val="24"/>
        </w:rPr>
        <w:t>承包人采购的材料设备在使用前，承包人应按工程师的要求进行检验或试验，不合格的不得使用，检验或试验费用由承包人承担。</w:t>
      </w:r>
      <w:r>
        <w:rPr>
          <w:color w:val="000000"/>
          <w:sz w:val="24"/>
          <w:szCs w:val="24"/>
        </w:rPr>
        <w:t xml:space="preserve"> </w:t>
      </w:r>
    </w:p>
    <w:p>
      <w:pPr>
        <w:adjustRightInd w:val="0"/>
        <w:snapToGrid w:val="0"/>
        <w:spacing w:line="360" w:lineRule="auto"/>
        <w:ind w:firstLine="420"/>
        <w:rPr>
          <w:rFonts w:hint="eastAsia"/>
          <w:color w:val="000000"/>
          <w:sz w:val="24"/>
          <w:szCs w:val="24"/>
        </w:rPr>
      </w:pPr>
      <w:r>
        <w:rPr>
          <w:color w:val="000000"/>
          <w:sz w:val="24"/>
          <w:szCs w:val="24"/>
        </w:rPr>
        <w:t>2</w:t>
      </w:r>
      <w:r>
        <w:rPr>
          <w:rFonts w:hint="eastAsia"/>
          <w:color w:val="000000"/>
          <w:sz w:val="24"/>
          <w:szCs w:val="24"/>
        </w:rPr>
        <w:t>7</w:t>
      </w:r>
      <w:r>
        <w:rPr>
          <w:color w:val="000000"/>
          <w:sz w:val="24"/>
          <w:szCs w:val="24"/>
        </w:rPr>
        <w:t>.4</w:t>
      </w:r>
      <w:r>
        <w:rPr>
          <w:rFonts w:hint="eastAsia"/>
          <w:color w:val="000000"/>
          <w:sz w:val="24"/>
          <w:szCs w:val="24"/>
        </w:rPr>
        <w:t>工程师发现承包人采购并使用不符合设计和标准要求的材料设备时，应要求承包人负责修复、拆除或重新采购，由承包人承担发生的费用，由此延误的工期不予顺延。</w:t>
      </w:r>
      <w:r>
        <w:rPr>
          <w:color w:val="000000"/>
          <w:sz w:val="24"/>
          <w:szCs w:val="24"/>
        </w:rPr>
        <w:t xml:space="preserve"> </w:t>
      </w:r>
    </w:p>
    <w:p>
      <w:pPr>
        <w:adjustRightInd w:val="0"/>
        <w:snapToGrid w:val="0"/>
        <w:spacing w:line="360" w:lineRule="auto"/>
        <w:ind w:firstLine="420"/>
        <w:rPr>
          <w:color w:val="000000"/>
          <w:sz w:val="24"/>
          <w:szCs w:val="24"/>
        </w:rPr>
      </w:pPr>
      <w:r>
        <w:rPr>
          <w:color w:val="000000"/>
          <w:sz w:val="24"/>
          <w:szCs w:val="24"/>
        </w:rPr>
        <w:t>2</w:t>
      </w:r>
      <w:r>
        <w:rPr>
          <w:rFonts w:hint="eastAsia"/>
          <w:color w:val="000000"/>
          <w:sz w:val="24"/>
          <w:szCs w:val="24"/>
        </w:rPr>
        <w:t>7</w:t>
      </w:r>
      <w:r>
        <w:rPr>
          <w:color w:val="000000"/>
          <w:sz w:val="24"/>
          <w:szCs w:val="24"/>
        </w:rPr>
        <w:t>.5</w:t>
      </w:r>
      <w:r>
        <w:rPr>
          <w:rFonts w:hint="eastAsia"/>
          <w:color w:val="000000"/>
          <w:sz w:val="24"/>
          <w:szCs w:val="24"/>
        </w:rPr>
        <w:t>承包人需要使用代用材料时，应经工程师认可后才能使用，由此增减的合同价款双方以书面形式议定。</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八、工程变更</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28、工程设计变更</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8</w:t>
      </w:r>
      <w:r>
        <w:rPr>
          <w:color w:val="000000"/>
          <w:sz w:val="24"/>
          <w:szCs w:val="24"/>
        </w:rPr>
        <w:t>.1</w:t>
      </w:r>
      <w:r>
        <w:rPr>
          <w:rFonts w:hint="eastAsia"/>
          <w:color w:val="000000"/>
          <w:sz w:val="24"/>
          <w:szCs w:val="24"/>
        </w:rPr>
        <w:t>施工中发包人需对原工程设计变更，应提前</w:t>
      </w:r>
      <w:r>
        <w:rPr>
          <w:color w:val="000000"/>
          <w:sz w:val="24"/>
          <w:szCs w:val="24"/>
        </w:rPr>
        <w:t>14</w:t>
      </w:r>
      <w:r>
        <w:rPr>
          <w:rFonts w:hint="eastAsia"/>
          <w:color w:val="000000"/>
          <w:sz w:val="24"/>
          <w:szCs w:val="24"/>
        </w:rPr>
        <w:t>天以书面形式向承包人发出变更通知。变更超过原设计标准时，由原设计单位提供变更的相应图纸和说明。承包人按照工程师发出的变更通知及有关要求，进行下列需要的变更：</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）更改工程有关部分的标高、基线、位置和尺寸；</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）增减合同中约定的工程量；</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）改变有关工程的施工时间和顺序；</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）其他有关工程变更需要的附加工作。</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因变更导致合同价款的增减及造成的承包人损失，由发包人承担，延误的工期相应顺延。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8</w:t>
      </w:r>
      <w:r>
        <w:rPr>
          <w:color w:val="000000"/>
          <w:sz w:val="24"/>
          <w:szCs w:val="24"/>
        </w:rPr>
        <w:t>.2</w:t>
      </w:r>
      <w:r>
        <w:rPr>
          <w:rFonts w:hint="eastAsia"/>
          <w:color w:val="000000"/>
          <w:sz w:val="24"/>
          <w:szCs w:val="24"/>
        </w:rPr>
        <w:t>施工中承包人不得对原工程设计进行变更。因承包人擅自变更设计发生的费用和由此导致发包人的直接损失，由承包人承担，延误的工期不予顺延。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8</w:t>
      </w:r>
      <w:r>
        <w:rPr>
          <w:color w:val="000000"/>
          <w:sz w:val="24"/>
          <w:szCs w:val="24"/>
        </w:rPr>
        <w:t>.3</w:t>
      </w:r>
      <w:r>
        <w:rPr>
          <w:rFonts w:hint="eastAsia"/>
          <w:color w:val="000000"/>
          <w:sz w:val="24"/>
          <w:szCs w:val="24"/>
        </w:rPr>
        <w:t>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工程师同意采用承包人合理化建议，所发生的费用和获得的收益，发包人承包人另行约定分担或分享。</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29、其他变更</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合同履行中发包人要求变更工程质量标准及发生其他实质性变更，由双方协商解决。</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30、确定变更价款</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0</w:t>
      </w:r>
      <w:r>
        <w:rPr>
          <w:color w:val="000000"/>
          <w:sz w:val="24"/>
          <w:szCs w:val="24"/>
        </w:rPr>
        <w:t>.1</w:t>
      </w:r>
      <w:r>
        <w:rPr>
          <w:rFonts w:hint="eastAsia"/>
          <w:color w:val="000000"/>
          <w:sz w:val="24"/>
          <w:szCs w:val="24"/>
        </w:rPr>
        <w:t>承包人在工程变更确定后</w:t>
      </w:r>
      <w:r>
        <w:rPr>
          <w:color w:val="000000"/>
          <w:sz w:val="24"/>
          <w:szCs w:val="24"/>
        </w:rPr>
        <w:t>14</w:t>
      </w:r>
      <w:r>
        <w:rPr>
          <w:rFonts w:hint="eastAsia"/>
          <w:color w:val="000000"/>
          <w:sz w:val="24"/>
          <w:szCs w:val="24"/>
        </w:rPr>
        <w:t>天内，提出变更工程价款的报告，经工程师确认后调整合同价款。变更合同价款按下列方法进行：</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）合同中已有适用于变更工程的价格，按合同已有的价格变更合同价款；</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）合同中只有类似于变更工程的价格，可以参照类似价格变更合同价款；</w:t>
      </w:r>
      <w:r>
        <w:rPr>
          <w:color w:val="000000"/>
          <w:sz w:val="24"/>
          <w:szCs w:val="24"/>
        </w:rPr>
        <w:t xml:space="preserve"> </w:t>
      </w:r>
    </w:p>
    <w:p>
      <w:pPr>
        <w:adjustRightInd w:val="0"/>
        <w:snapToGrid w:val="0"/>
        <w:spacing w:line="360" w:lineRule="auto"/>
        <w:ind w:firstLine="420"/>
        <w:rPr>
          <w:rFonts w:hint="eastAsia"/>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）合同中没有适用或类似于变更工程的价格，由承包人提出适当的变更价格，价格由结算机构确定。</w:t>
      </w:r>
    </w:p>
    <w:p>
      <w:pPr>
        <w:adjustRightInd w:val="0"/>
        <w:snapToGrid w:val="0"/>
        <w:spacing w:line="360" w:lineRule="auto"/>
        <w:ind w:firstLine="420"/>
        <w:rPr>
          <w:color w:val="000000"/>
          <w:sz w:val="24"/>
          <w:szCs w:val="24"/>
        </w:rPr>
      </w:pPr>
      <w:r>
        <w:rPr>
          <w:color w:val="000000"/>
          <w:sz w:val="24"/>
          <w:szCs w:val="24"/>
        </w:rPr>
        <w:t>3</w:t>
      </w:r>
      <w:r>
        <w:rPr>
          <w:rFonts w:hint="eastAsia"/>
          <w:color w:val="000000"/>
          <w:sz w:val="24"/>
          <w:szCs w:val="24"/>
        </w:rPr>
        <w:t>0</w:t>
      </w:r>
      <w:r>
        <w:rPr>
          <w:color w:val="000000"/>
          <w:sz w:val="24"/>
          <w:szCs w:val="24"/>
        </w:rPr>
        <w:t>.2</w:t>
      </w:r>
      <w:r>
        <w:rPr>
          <w:rFonts w:hint="eastAsia"/>
          <w:color w:val="000000"/>
          <w:sz w:val="24"/>
          <w:szCs w:val="24"/>
        </w:rPr>
        <w:t>承包人在双方确定变更后</w:t>
      </w:r>
      <w:r>
        <w:rPr>
          <w:color w:val="000000"/>
          <w:sz w:val="24"/>
          <w:szCs w:val="24"/>
        </w:rPr>
        <w:t>14</w:t>
      </w:r>
      <w:r>
        <w:rPr>
          <w:rFonts w:hint="eastAsia"/>
          <w:color w:val="000000"/>
          <w:sz w:val="24"/>
          <w:szCs w:val="24"/>
        </w:rPr>
        <w:t>天内不向工程师提出变更工程价款报告时，视为该项变更不涉及合同价款的变更。</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0</w:t>
      </w:r>
      <w:r>
        <w:rPr>
          <w:color w:val="000000"/>
          <w:sz w:val="24"/>
          <w:szCs w:val="24"/>
        </w:rPr>
        <w:t>.3</w:t>
      </w:r>
      <w:r>
        <w:rPr>
          <w:rFonts w:hint="eastAsia"/>
          <w:color w:val="000000"/>
          <w:sz w:val="24"/>
          <w:szCs w:val="24"/>
        </w:rPr>
        <w:t>工程师应在收到变更工程价款报告之日起</w:t>
      </w:r>
      <w:r>
        <w:rPr>
          <w:color w:val="000000"/>
          <w:sz w:val="24"/>
          <w:szCs w:val="24"/>
        </w:rPr>
        <w:t>14</w:t>
      </w:r>
      <w:r>
        <w:rPr>
          <w:rFonts w:hint="eastAsia"/>
          <w:color w:val="000000"/>
          <w:sz w:val="24"/>
          <w:szCs w:val="24"/>
        </w:rPr>
        <w:t>天内予以确认，工程师无正当理由不确认时，自变更工程价款报告送达之日起</w:t>
      </w:r>
      <w:r>
        <w:rPr>
          <w:color w:val="000000"/>
          <w:sz w:val="24"/>
          <w:szCs w:val="24"/>
        </w:rPr>
        <w:t>14</w:t>
      </w:r>
      <w:r>
        <w:rPr>
          <w:rFonts w:hint="eastAsia"/>
          <w:color w:val="000000"/>
          <w:sz w:val="24"/>
          <w:szCs w:val="24"/>
        </w:rPr>
        <w:t>天后视为变更工程价款报告已被确认。</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0</w:t>
      </w:r>
      <w:r>
        <w:rPr>
          <w:color w:val="000000"/>
          <w:sz w:val="24"/>
          <w:szCs w:val="24"/>
        </w:rPr>
        <w:t>.4</w:t>
      </w:r>
      <w:r>
        <w:rPr>
          <w:rFonts w:hint="eastAsia"/>
          <w:color w:val="000000"/>
          <w:sz w:val="24"/>
          <w:szCs w:val="24"/>
        </w:rPr>
        <w:t>工程师不同意承包人提出的变更价款，按本通用条款第</w:t>
      </w:r>
      <w:r>
        <w:rPr>
          <w:color w:val="000000"/>
          <w:sz w:val="24"/>
          <w:szCs w:val="24"/>
        </w:rPr>
        <w:t>37</w:t>
      </w:r>
      <w:r>
        <w:rPr>
          <w:rFonts w:hint="eastAsia"/>
          <w:color w:val="000000"/>
          <w:sz w:val="24"/>
          <w:szCs w:val="24"/>
        </w:rPr>
        <w:t>条关于争议的约定处理。</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0</w:t>
      </w:r>
      <w:r>
        <w:rPr>
          <w:color w:val="000000"/>
          <w:sz w:val="24"/>
          <w:szCs w:val="24"/>
        </w:rPr>
        <w:t>.5</w:t>
      </w:r>
      <w:r>
        <w:rPr>
          <w:rFonts w:hint="eastAsia"/>
          <w:color w:val="000000"/>
          <w:sz w:val="24"/>
          <w:szCs w:val="24"/>
        </w:rPr>
        <w:t>工程师确认增加的工程变更价款作为追加合同价款，与工程款同期支付。</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0</w:t>
      </w:r>
      <w:r>
        <w:rPr>
          <w:color w:val="000000"/>
          <w:sz w:val="24"/>
          <w:szCs w:val="24"/>
        </w:rPr>
        <w:t>.6</w:t>
      </w:r>
      <w:r>
        <w:rPr>
          <w:rFonts w:hint="eastAsia"/>
          <w:color w:val="000000"/>
          <w:sz w:val="24"/>
          <w:szCs w:val="24"/>
        </w:rPr>
        <w:t>因承包人自身原因导致的工程变更，承包人无权要求追加合同价款。</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九、竣工验收与结算</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31、竣工验收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1</w:t>
      </w:r>
      <w:r>
        <w:rPr>
          <w:color w:val="000000"/>
          <w:sz w:val="24"/>
          <w:szCs w:val="24"/>
        </w:rPr>
        <w:t>.1</w:t>
      </w:r>
      <w:r>
        <w:rPr>
          <w:rFonts w:hint="eastAsia"/>
          <w:color w:val="000000"/>
          <w:sz w:val="24"/>
          <w:szCs w:val="24"/>
        </w:rPr>
        <w:t>工程具备竣工验收条件，承包人按国家工程竣工验收有关规定，向发包人提供完整竣工资料及竣工验收报告。双方约定由承包人提供竣工图的，应当在专用条款内约定提供的日期和份数。</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1</w:t>
      </w:r>
      <w:r>
        <w:rPr>
          <w:color w:val="000000"/>
          <w:sz w:val="24"/>
          <w:szCs w:val="24"/>
        </w:rPr>
        <w:t>.2</w:t>
      </w:r>
      <w:r>
        <w:rPr>
          <w:rFonts w:hint="eastAsia"/>
          <w:color w:val="000000"/>
          <w:sz w:val="24"/>
          <w:szCs w:val="24"/>
        </w:rPr>
        <w:t>发包人收到竣工验收报告后</w:t>
      </w:r>
      <w:r>
        <w:rPr>
          <w:color w:val="000000"/>
          <w:sz w:val="24"/>
          <w:szCs w:val="24"/>
        </w:rPr>
        <w:t>28</w:t>
      </w:r>
      <w:r>
        <w:rPr>
          <w:rFonts w:hint="eastAsia"/>
          <w:color w:val="000000"/>
          <w:sz w:val="24"/>
          <w:szCs w:val="24"/>
        </w:rPr>
        <w:t>天内组织有关单位验收，并在验收后</w:t>
      </w:r>
      <w:r>
        <w:rPr>
          <w:color w:val="000000"/>
          <w:sz w:val="24"/>
          <w:szCs w:val="24"/>
        </w:rPr>
        <w:t>14</w:t>
      </w:r>
      <w:r>
        <w:rPr>
          <w:rFonts w:hint="eastAsia"/>
          <w:color w:val="000000"/>
          <w:sz w:val="24"/>
          <w:szCs w:val="24"/>
        </w:rPr>
        <w:t>天内给予认可或提出修改意见。承包人按要求修改，并承担由自身原因造成修改的费用。</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1</w:t>
      </w:r>
      <w:r>
        <w:rPr>
          <w:color w:val="000000"/>
          <w:sz w:val="24"/>
          <w:szCs w:val="24"/>
        </w:rPr>
        <w:t>.3</w:t>
      </w:r>
      <w:r>
        <w:rPr>
          <w:rFonts w:hint="eastAsia"/>
          <w:color w:val="000000"/>
          <w:sz w:val="24"/>
          <w:szCs w:val="24"/>
        </w:rPr>
        <w:t>发包人收到承包人送交的竣工验收报告后</w:t>
      </w:r>
      <w:r>
        <w:rPr>
          <w:color w:val="000000"/>
          <w:sz w:val="24"/>
          <w:szCs w:val="24"/>
        </w:rPr>
        <w:t>28</w:t>
      </w:r>
      <w:r>
        <w:rPr>
          <w:rFonts w:hint="eastAsia"/>
          <w:color w:val="000000"/>
          <w:sz w:val="24"/>
          <w:szCs w:val="24"/>
        </w:rPr>
        <w:t>天内不组织验收，或验收后</w:t>
      </w:r>
      <w:r>
        <w:rPr>
          <w:color w:val="000000"/>
          <w:sz w:val="24"/>
          <w:szCs w:val="24"/>
        </w:rPr>
        <w:t>14</w:t>
      </w:r>
      <w:r>
        <w:rPr>
          <w:rFonts w:hint="eastAsia"/>
          <w:color w:val="000000"/>
          <w:sz w:val="24"/>
          <w:szCs w:val="24"/>
        </w:rPr>
        <w:t>天内不提出修改意见，视为竣工验收报告已被认可。</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1</w:t>
      </w:r>
      <w:r>
        <w:rPr>
          <w:color w:val="000000"/>
          <w:sz w:val="24"/>
          <w:szCs w:val="24"/>
        </w:rPr>
        <w:t>.4</w:t>
      </w:r>
      <w:r>
        <w:rPr>
          <w:rFonts w:hint="eastAsia"/>
          <w:color w:val="000000"/>
          <w:sz w:val="24"/>
          <w:szCs w:val="24"/>
        </w:rPr>
        <w:t>工程竣工验收通过，承包人送交竣工验收报告的日期为实际竣工日期。工程按发包人要求修改后通过竣工验收的，实际竣工日期为承包人修改后提请发包人验收的日期。</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1</w:t>
      </w:r>
      <w:r>
        <w:rPr>
          <w:color w:val="000000"/>
          <w:sz w:val="24"/>
          <w:szCs w:val="24"/>
        </w:rPr>
        <w:t>.5</w:t>
      </w:r>
      <w:r>
        <w:rPr>
          <w:rFonts w:hint="eastAsia"/>
          <w:color w:val="000000"/>
          <w:sz w:val="24"/>
          <w:szCs w:val="24"/>
        </w:rPr>
        <w:t>发包人收到承包人竣工验收报告后</w:t>
      </w:r>
      <w:r>
        <w:rPr>
          <w:color w:val="000000"/>
          <w:sz w:val="24"/>
          <w:szCs w:val="24"/>
        </w:rPr>
        <w:t>28</w:t>
      </w:r>
      <w:r>
        <w:rPr>
          <w:rFonts w:hint="eastAsia"/>
          <w:color w:val="000000"/>
          <w:sz w:val="24"/>
          <w:szCs w:val="24"/>
        </w:rPr>
        <w:t>天内不组织验收，从第</w:t>
      </w:r>
      <w:r>
        <w:rPr>
          <w:color w:val="000000"/>
          <w:sz w:val="24"/>
          <w:szCs w:val="24"/>
        </w:rPr>
        <w:t>29</w:t>
      </w:r>
      <w:r>
        <w:rPr>
          <w:rFonts w:hint="eastAsia"/>
          <w:color w:val="000000"/>
          <w:sz w:val="24"/>
          <w:szCs w:val="24"/>
        </w:rPr>
        <w:t>天起承担工程保管及一切意外责任。</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1</w:t>
      </w:r>
      <w:r>
        <w:rPr>
          <w:color w:val="000000"/>
          <w:sz w:val="24"/>
          <w:szCs w:val="24"/>
        </w:rPr>
        <w:t>.6</w:t>
      </w:r>
      <w:r>
        <w:rPr>
          <w:rFonts w:hint="eastAsia"/>
          <w:color w:val="000000"/>
          <w:sz w:val="24"/>
          <w:szCs w:val="24"/>
        </w:rPr>
        <w:t>中间交工工程的范围和竣工时间，双方在专用条款内约定，其验收程序按本通用条款</w:t>
      </w:r>
      <w:r>
        <w:rPr>
          <w:color w:val="000000"/>
          <w:sz w:val="24"/>
          <w:szCs w:val="24"/>
        </w:rPr>
        <w:t>32.1</w:t>
      </w:r>
      <w:r>
        <w:rPr>
          <w:rFonts w:hint="eastAsia"/>
          <w:color w:val="000000"/>
          <w:sz w:val="24"/>
          <w:szCs w:val="24"/>
        </w:rPr>
        <w:t>款至</w:t>
      </w:r>
      <w:r>
        <w:rPr>
          <w:color w:val="000000"/>
          <w:sz w:val="24"/>
          <w:szCs w:val="24"/>
        </w:rPr>
        <w:t>32.4</w:t>
      </w:r>
      <w:r>
        <w:rPr>
          <w:rFonts w:hint="eastAsia"/>
          <w:color w:val="000000"/>
          <w:sz w:val="24"/>
          <w:szCs w:val="24"/>
        </w:rPr>
        <w:t>款办理。</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1</w:t>
      </w:r>
      <w:r>
        <w:rPr>
          <w:color w:val="000000"/>
          <w:sz w:val="24"/>
          <w:szCs w:val="24"/>
        </w:rPr>
        <w:t>.7</w:t>
      </w:r>
      <w:r>
        <w:rPr>
          <w:rFonts w:hint="eastAsia"/>
          <w:color w:val="000000"/>
          <w:sz w:val="24"/>
          <w:szCs w:val="24"/>
        </w:rPr>
        <w:t>因特殊原因，发包人要求部分单位工程或工程部位甩项竣工的，双方另行签订甩项竣工协议，明确双方责任和工程价款的支付方法。</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1</w:t>
      </w:r>
      <w:r>
        <w:rPr>
          <w:color w:val="000000"/>
          <w:sz w:val="24"/>
          <w:szCs w:val="24"/>
        </w:rPr>
        <w:t>.8</w:t>
      </w:r>
      <w:r>
        <w:rPr>
          <w:rFonts w:hint="eastAsia"/>
          <w:color w:val="000000"/>
          <w:sz w:val="24"/>
          <w:szCs w:val="24"/>
        </w:rPr>
        <w:t>工程未经竣工验收或竣工验收未通过的，发包人不得使用。发包人强行使用时，由此发生的质量问题及其他问题，由发包人承担责任。</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32、竣工结算</w:t>
      </w:r>
      <w:r>
        <w:rPr>
          <w:color w:val="000000"/>
          <w:sz w:val="24"/>
          <w:szCs w:val="24"/>
        </w:rPr>
        <w:t xml:space="preserve"> </w:t>
      </w:r>
    </w:p>
    <w:p>
      <w:pPr>
        <w:adjustRightInd w:val="0"/>
        <w:snapToGrid w:val="0"/>
        <w:spacing w:line="360" w:lineRule="auto"/>
        <w:ind w:firstLine="480" w:firstLineChars="200"/>
        <w:rPr>
          <w:rFonts w:hint="eastAsia"/>
          <w:color w:val="000000"/>
          <w:sz w:val="24"/>
          <w:szCs w:val="24"/>
        </w:rPr>
      </w:pPr>
      <w:r>
        <w:rPr>
          <w:color w:val="000000"/>
          <w:sz w:val="24"/>
          <w:szCs w:val="24"/>
        </w:rPr>
        <w:t>3</w:t>
      </w:r>
      <w:r>
        <w:rPr>
          <w:rFonts w:hint="eastAsia"/>
          <w:color w:val="000000"/>
          <w:sz w:val="24"/>
          <w:szCs w:val="24"/>
        </w:rPr>
        <w:t>2</w:t>
      </w:r>
      <w:r>
        <w:rPr>
          <w:color w:val="000000"/>
          <w:sz w:val="24"/>
          <w:szCs w:val="24"/>
        </w:rPr>
        <w:t>.1</w:t>
      </w:r>
      <w:r>
        <w:rPr>
          <w:rFonts w:hint="eastAsia"/>
          <w:color w:val="000000"/>
          <w:sz w:val="24"/>
          <w:szCs w:val="24"/>
        </w:rPr>
        <w:t>工程竣工验收报告经发包人认可后</w:t>
      </w:r>
      <w:r>
        <w:rPr>
          <w:color w:val="000000"/>
          <w:sz w:val="24"/>
          <w:szCs w:val="24"/>
        </w:rPr>
        <w:t>28</w:t>
      </w:r>
      <w:r>
        <w:rPr>
          <w:rFonts w:hint="eastAsia"/>
          <w:color w:val="000000"/>
          <w:sz w:val="24"/>
          <w:szCs w:val="24"/>
        </w:rPr>
        <w:t>天内，承包人向发包人递交竣工结算报告及完整的结算资料，双方按照协议书约定的合同价款及专用条款约定的合同价款调整内容，进行工程竣工结算。</w:t>
      </w:r>
      <w:r>
        <w:rPr>
          <w:color w:val="000000"/>
          <w:sz w:val="24"/>
          <w:szCs w:val="24"/>
        </w:rPr>
        <w:t xml:space="preserve"> </w:t>
      </w:r>
    </w:p>
    <w:p>
      <w:pPr>
        <w:adjustRightInd w:val="0"/>
        <w:snapToGrid w:val="0"/>
        <w:spacing w:line="360" w:lineRule="auto"/>
        <w:ind w:firstLine="480" w:firstLineChars="200"/>
        <w:rPr>
          <w:color w:val="000000"/>
          <w:sz w:val="24"/>
          <w:szCs w:val="24"/>
        </w:rPr>
      </w:pPr>
      <w:r>
        <w:rPr>
          <w:rFonts w:hint="eastAsia"/>
          <w:color w:val="000000"/>
          <w:sz w:val="24"/>
          <w:szCs w:val="24"/>
        </w:rPr>
        <w:t>32</w:t>
      </w:r>
      <w:r>
        <w:rPr>
          <w:color w:val="000000"/>
          <w:sz w:val="24"/>
          <w:szCs w:val="24"/>
        </w:rPr>
        <w:t>.2</w:t>
      </w:r>
      <w:r>
        <w:rPr>
          <w:rFonts w:hint="eastAsia"/>
          <w:color w:val="000000"/>
          <w:sz w:val="24"/>
          <w:szCs w:val="24"/>
        </w:rPr>
        <w:t>发包人收到承包人递交的竣工结算报告及结算资料后</w:t>
      </w:r>
      <w:r>
        <w:rPr>
          <w:color w:val="000000"/>
          <w:sz w:val="24"/>
          <w:szCs w:val="24"/>
        </w:rPr>
        <w:t>28</w:t>
      </w:r>
      <w:r>
        <w:rPr>
          <w:rFonts w:hint="eastAsia"/>
          <w:color w:val="000000"/>
          <w:sz w:val="24"/>
          <w:szCs w:val="24"/>
        </w:rPr>
        <w:t>天内进行核实，给予确认或者提出修改意见。发包人确认竣工结算报告通知经办银行向承包人支付工程竣工结算价款。承包人收到竣工结算价款后</w:t>
      </w:r>
      <w:r>
        <w:rPr>
          <w:color w:val="000000"/>
          <w:sz w:val="24"/>
          <w:szCs w:val="24"/>
        </w:rPr>
        <w:t>14</w:t>
      </w:r>
      <w:r>
        <w:rPr>
          <w:rFonts w:hint="eastAsia"/>
          <w:color w:val="000000"/>
          <w:sz w:val="24"/>
          <w:szCs w:val="24"/>
        </w:rPr>
        <w:t>天内将竣工工程交付发包人。</w:t>
      </w:r>
      <w:r>
        <w:rPr>
          <w:color w:val="000000"/>
          <w:sz w:val="24"/>
          <w:szCs w:val="24"/>
        </w:rPr>
        <w:t xml:space="preserve"> </w:t>
      </w:r>
    </w:p>
    <w:p>
      <w:pPr>
        <w:adjustRightInd w:val="0"/>
        <w:snapToGrid w:val="0"/>
        <w:spacing w:line="360" w:lineRule="auto"/>
        <w:ind w:firstLine="600" w:firstLineChars="250"/>
        <w:rPr>
          <w:color w:val="000000"/>
          <w:sz w:val="24"/>
          <w:szCs w:val="24"/>
        </w:rPr>
      </w:pPr>
      <w:r>
        <w:rPr>
          <w:rFonts w:hint="eastAsia"/>
          <w:color w:val="000000"/>
          <w:sz w:val="24"/>
          <w:szCs w:val="24"/>
        </w:rPr>
        <w:t>32</w:t>
      </w:r>
      <w:r>
        <w:rPr>
          <w:color w:val="000000"/>
          <w:sz w:val="24"/>
          <w:szCs w:val="24"/>
        </w:rPr>
        <w:t>.3</w:t>
      </w:r>
      <w:r>
        <w:rPr>
          <w:rFonts w:hint="eastAsia"/>
          <w:color w:val="000000"/>
          <w:sz w:val="24"/>
          <w:szCs w:val="24"/>
        </w:rPr>
        <w:t>发包人收到竣工结算报告及结算资料后</w:t>
      </w:r>
      <w:r>
        <w:rPr>
          <w:color w:val="000000"/>
          <w:sz w:val="24"/>
          <w:szCs w:val="24"/>
        </w:rPr>
        <w:t>28</w:t>
      </w:r>
      <w:r>
        <w:rPr>
          <w:rFonts w:hint="eastAsia"/>
          <w:color w:val="000000"/>
          <w:sz w:val="24"/>
          <w:szCs w:val="24"/>
        </w:rPr>
        <w:t>天内无正当理由不支付工程竣工结算价款，从第</w:t>
      </w:r>
      <w:r>
        <w:rPr>
          <w:color w:val="000000"/>
          <w:sz w:val="24"/>
          <w:szCs w:val="24"/>
        </w:rPr>
        <w:t>29</w:t>
      </w:r>
      <w:r>
        <w:rPr>
          <w:rFonts w:hint="eastAsia"/>
          <w:color w:val="000000"/>
          <w:sz w:val="24"/>
          <w:szCs w:val="24"/>
        </w:rPr>
        <w:t>天起按承包人同期向银行贷款利率支付拖欠工程价款的利息，并承担违约责任。</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2</w:t>
      </w:r>
      <w:r>
        <w:rPr>
          <w:color w:val="000000"/>
          <w:sz w:val="24"/>
          <w:szCs w:val="24"/>
        </w:rPr>
        <w:t>.4</w:t>
      </w:r>
      <w:r>
        <w:rPr>
          <w:rFonts w:hint="eastAsia"/>
          <w:color w:val="000000"/>
          <w:sz w:val="24"/>
          <w:szCs w:val="24"/>
        </w:rPr>
        <w:t>发包人收到竣工结算报告及结算资料后</w:t>
      </w:r>
      <w:r>
        <w:rPr>
          <w:color w:val="000000"/>
          <w:sz w:val="24"/>
          <w:szCs w:val="24"/>
        </w:rPr>
        <w:t>28</w:t>
      </w:r>
      <w:r>
        <w:rPr>
          <w:rFonts w:hint="eastAsia"/>
          <w:color w:val="000000"/>
          <w:sz w:val="24"/>
          <w:szCs w:val="24"/>
        </w:rPr>
        <w:t>天内不支付工程竣工结算价款，承包人可以催告发包人支付结算价款。发包人在收到竣工结算报告及结算资料后</w:t>
      </w:r>
      <w:r>
        <w:rPr>
          <w:color w:val="000000"/>
          <w:sz w:val="24"/>
          <w:szCs w:val="24"/>
        </w:rPr>
        <w:t>56</w:t>
      </w:r>
      <w:r>
        <w:rPr>
          <w:rFonts w:hint="eastAsia"/>
          <w:color w:val="000000"/>
          <w:sz w:val="24"/>
          <w:szCs w:val="24"/>
        </w:rPr>
        <w:t>天内仍不支付的，承包人可以与发包人协议将该工程折价，也可以由承包人申请人民法院将该工程依法拍卖，承包人就该工程折价或者拍卖的价款优先受偿。</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2</w:t>
      </w:r>
      <w:r>
        <w:rPr>
          <w:color w:val="000000"/>
          <w:sz w:val="24"/>
          <w:szCs w:val="24"/>
        </w:rPr>
        <w:t>.5</w:t>
      </w:r>
      <w:r>
        <w:rPr>
          <w:rFonts w:hint="eastAsia"/>
          <w:color w:val="000000"/>
          <w:sz w:val="24"/>
          <w:szCs w:val="24"/>
        </w:rPr>
        <w:t>工程竣工验收报告经发包人认可后</w:t>
      </w:r>
      <w:r>
        <w:rPr>
          <w:color w:val="000000"/>
          <w:sz w:val="24"/>
          <w:szCs w:val="24"/>
        </w:rPr>
        <w:t>28</w:t>
      </w:r>
      <w:r>
        <w:rPr>
          <w:rFonts w:hint="eastAsia"/>
          <w:color w:val="000000"/>
          <w:sz w:val="24"/>
          <w:szCs w:val="24"/>
        </w:rPr>
        <w:t>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2</w:t>
      </w:r>
      <w:r>
        <w:rPr>
          <w:color w:val="000000"/>
          <w:sz w:val="24"/>
          <w:szCs w:val="24"/>
        </w:rPr>
        <w:t>.6</w:t>
      </w:r>
      <w:r>
        <w:rPr>
          <w:rFonts w:hint="eastAsia"/>
          <w:color w:val="000000"/>
          <w:sz w:val="24"/>
          <w:szCs w:val="24"/>
        </w:rPr>
        <w:t>发包人承包人对工程竣工结算价款发生争议时，按本通用条款第</w:t>
      </w:r>
      <w:r>
        <w:rPr>
          <w:color w:val="000000"/>
          <w:sz w:val="24"/>
          <w:szCs w:val="24"/>
        </w:rPr>
        <w:t>37</w:t>
      </w:r>
      <w:r>
        <w:rPr>
          <w:rFonts w:hint="eastAsia"/>
          <w:color w:val="000000"/>
          <w:sz w:val="24"/>
          <w:szCs w:val="24"/>
        </w:rPr>
        <w:t>条关于争议的约定处理。</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33、质量保修</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3</w:t>
      </w:r>
      <w:r>
        <w:rPr>
          <w:color w:val="000000"/>
          <w:sz w:val="24"/>
          <w:szCs w:val="24"/>
        </w:rPr>
        <w:t>.1</w:t>
      </w:r>
      <w:r>
        <w:rPr>
          <w:rFonts w:hint="eastAsia"/>
          <w:color w:val="000000"/>
          <w:sz w:val="24"/>
          <w:szCs w:val="24"/>
        </w:rPr>
        <w:t>承包人应按法律、行政法规或国家关于工程质量保修的在关规定，对交付发包人使用的工程在质量保修期内承担质量保修责任。</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3</w:t>
      </w:r>
      <w:r>
        <w:rPr>
          <w:color w:val="000000"/>
          <w:sz w:val="24"/>
          <w:szCs w:val="24"/>
        </w:rPr>
        <w:t>.2</w:t>
      </w:r>
      <w:r>
        <w:rPr>
          <w:rFonts w:hint="eastAsia"/>
          <w:color w:val="000000"/>
          <w:sz w:val="24"/>
          <w:szCs w:val="24"/>
        </w:rPr>
        <w:t>质量保修工作的实施。承包人应在工程竣工验收之前，与发包人签订质量保修书，作为本合同附件（附件３）。</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3</w:t>
      </w:r>
      <w:r>
        <w:rPr>
          <w:color w:val="000000"/>
          <w:sz w:val="24"/>
          <w:szCs w:val="24"/>
        </w:rPr>
        <w:t>.3</w:t>
      </w:r>
      <w:r>
        <w:rPr>
          <w:rFonts w:hint="eastAsia"/>
          <w:color w:val="000000"/>
          <w:sz w:val="24"/>
          <w:szCs w:val="24"/>
        </w:rPr>
        <w:t>质量保修书的主要内容包括：</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）质量保修项目内容及范围；</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）质量保修期；</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）质量保修责任；</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）质量保修金的支付方法。</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十、违约、索赔和争议</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34、违约</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4</w:t>
      </w:r>
      <w:r>
        <w:rPr>
          <w:color w:val="000000"/>
          <w:sz w:val="24"/>
          <w:szCs w:val="24"/>
        </w:rPr>
        <w:t xml:space="preserve">.1 </w:t>
      </w:r>
      <w:r>
        <w:rPr>
          <w:rFonts w:hint="eastAsia"/>
          <w:color w:val="000000"/>
          <w:sz w:val="24"/>
          <w:szCs w:val="24"/>
        </w:rPr>
        <w:t>发包人违约。当发生下列情况时：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）本通用条款第</w:t>
      </w:r>
      <w:r>
        <w:rPr>
          <w:color w:val="000000"/>
          <w:sz w:val="24"/>
          <w:szCs w:val="24"/>
        </w:rPr>
        <w:t>24</w:t>
      </w:r>
      <w:r>
        <w:rPr>
          <w:rFonts w:hint="eastAsia"/>
          <w:color w:val="000000"/>
          <w:sz w:val="24"/>
          <w:szCs w:val="24"/>
        </w:rPr>
        <w:t>条提到的发包人不按时支付工程预付款；</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）本通用条款第</w:t>
      </w:r>
      <w:r>
        <w:rPr>
          <w:color w:val="000000"/>
          <w:sz w:val="24"/>
          <w:szCs w:val="24"/>
        </w:rPr>
        <w:t>26.4</w:t>
      </w:r>
      <w:r>
        <w:rPr>
          <w:rFonts w:hint="eastAsia"/>
          <w:color w:val="000000"/>
          <w:sz w:val="24"/>
          <w:szCs w:val="24"/>
        </w:rPr>
        <w:t>款提到的发包人不按合同约定支付工程款，导致施工无法进行；</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）本通用条款第</w:t>
      </w:r>
      <w:r>
        <w:rPr>
          <w:color w:val="000000"/>
          <w:sz w:val="24"/>
          <w:szCs w:val="24"/>
        </w:rPr>
        <w:t>3</w:t>
      </w:r>
      <w:r>
        <w:rPr>
          <w:rFonts w:hint="eastAsia"/>
          <w:color w:val="000000"/>
          <w:sz w:val="24"/>
          <w:szCs w:val="24"/>
        </w:rPr>
        <w:t>2</w:t>
      </w:r>
      <w:r>
        <w:rPr>
          <w:color w:val="000000"/>
          <w:sz w:val="24"/>
          <w:szCs w:val="24"/>
        </w:rPr>
        <w:t>.3</w:t>
      </w:r>
      <w:r>
        <w:rPr>
          <w:rFonts w:hint="eastAsia"/>
          <w:color w:val="000000"/>
          <w:sz w:val="24"/>
          <w:szCs w:val="24"/>
        </w:rPr>
        <w:t>款提到的发包人无正当理由不支付工程竣工结算价款；</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）发包人不履行合同义务或不按合同约定履行义务的其他情况。</w:t>
      </w:r>
      <w:r>
        <w:rPr>
          <w:color w:val="000000"/>
          <w:sz w:val="24"/>
          <w:szCs w:val="24"/>
        </w:rPr>
        <w:t xml:space="preserve"> </w:t>
      </w:r>
    </w:p>
    <w:p>
      <w:pPr>
        <w:adjustRightInd w:val="0"/>
        <w:snapToGrid w:val="0"/>
        <w:spacing w:line="360" w:lineRule="auto"/>
        <w:ind w:firstLine="420"/>
        <w:rPr>
          <w:rFonts w:hint="eastAsia"/>
          <w:color w:val="000000"/>
          <w:sz w:val="24"/>
          <w:szCs w:val="24"/>
        </w:rPr>
      </w:pPr>
      <w:r>
        <w:rPr>
          <w:rFonts w:hint="eastAsia"/>
          <w:color w:val="000000"/>
          <w:sz w:val="24"/>
          <w:szCs w:val="24"/>
        </w:rPr>
        <w:t>发包人承担违约责任，赔偿因其违约给承包人造成的经济损失，顺延延误的工期。双方在专用条款内约定发包人赔偿承包人损失的计算方法或者发包人应当支付违约金的数额或计算方法。</w:t>
      </w:r>
      <w:r>
        <w:rPr>
          <w:color w:val="000000"/>
          <w:sz w:val="24"/>
          <w:szCs w:val="24"/>
        </w:rPr>
        <w:t xml:space="preserve"> </w:t>
      </w:r>
    </w:p>
    <w:p>
      <w:pPr>
        <w:adjustRightInd w:val="0"/>
        <w:snapToGrid w:val="0"/>
        <w:spacing w:line="360" w:lineRule="auto"/>
        <w:ind w:firstLine="420"/>
        <w:rPr>
          <w:color w:val="000000"/>
          <w:sz w:val="24"/>
          <w:szCs w:val="24"/>
        </w:rPr>
      </w:pPr>
      <w:r>
        <w:rPr>
          <w:color w:val="000000"/>
          <w:sz w:val="24"/>
          <w:szCs w:val="24"/>
        </w:rPr>
        <w:t>3</w:t>
      </w:r>
      <w:r>
        <w:rPr>
          <w:rFonts w:hint="eastAsia"/>
          <w:color w:val="000000"/>
          <w:sz w:val="24"/>
          <w:szCs w:val="24"/>
        </w:rPr>
        <w:t>4</w:t>
      </w:r>
      <w:r>
        <w:rPr>
          <w:color w:val="000000"/>
          <w:sz w:val="24"/>
          <w:szCs w:val="24"/>
        </w:rPr>
        <w:t>.2</w:t>
      </w:r>
      <w:r>
        <w:rPr>
          <w:rFonts w:hint="eastAsia"/>
          <w:color w:val="000000"/>
          <w:sz w:val="24"/>
          <w:szCs w:val="24"/>
        </w:rPr>
        <w:t>承包人违约。当发生下列情况时：</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）本通用条款第</w:t>
      </w:r>
      <w:r>
        <w:rPr>
          <w:color w:val="000000"/>
          <w:sz w:val="24"/>
          <w:szCs w:val="24"/>
        </w:rPr>
        <w:t>14.2</w:t>
      </w:r>
      <w:r>
        <w:rPr>
          <w:rFonts w:hint="eastAsia"/>
          <w:color w:val="000000"/>
          <w:sz w:val="24"/>
          <w:szCs w:val="24"/>
        </w:rPr>
        <w:t>款提到的因承包人原因不能按照协议书约定的竣工日期或工程师同意顺延的工期竣工；</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）本通用条款第</w:t>
      </w:r>
      <w:r>
        <w:rPr>
          <w:color w:val="000000"/>
          <w:sz w:val="24"/>
          <w:szCs w:val="24"/>
        </w:rPr>
        <w:t>15.1</w:t>
      </w:r>
      <w:r>
        <w:rPr>
          <w:rFonts w:hint="eastAsia"/>
          <w:color w:val="000000"/>
          <w:sz w:val="24"/>
          <w:szCs w:val="24"/>
        </w:rPr>
        <w:t>款提到的因承包人原因工程质量达不到协议书约定的质量标准；</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w:t>
      </w:r>
      <w:r>
        <w:rPr>
          <w:color w:val="000000"/>
          <w:sz w:val="24"/>
          <w:szCs w:val="24"/>
        </w:rPr>
        <w:t xml:space="preserve"> </w:t>
      </w:r>
      <w:r>
        <w:rPr>
          <w:rFonts w:hint="eastAsia"/>
          <w:color w:val="000000"/>
          <w:sz w:val="24"/>
          <w:szCs w:val="24"/>
        </w:rPr>
        <w:t>承包人不履行合同义务或不按合同约定履行义务的其他情况。</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承包人承担违约责任，赔偿因其违约约发包人造成的损失。双方在专用条款内约定承包人赔偿发包人损失的计算方法或者承包人应当支付违约金的数额可计算方法。</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4</w:t>
      </w:r>
      <w:r>
        <w:rPr>
          <w:color w:val="000000"/>
          <w:sz w:val="24"/>
          <w:szCs w:val="24"/>
        </w:rPr>
        <w:t>.3</w:t>
      </w:r>
      <w:r>
        <w:rPr>
          <w:rFonts w:hint="eastAsia"/>
          <w:color w:val="000000"/>
          <w:sz w:val="24"/>
          <w:szCs w:val="24"/>
        </w:rPr>
        <w:t>一方违约后，另一方要求违约方继续履行合同时，违约方承担上述违约责任后仍应继续履行合同。</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35、索赔</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5</w:t>
      </w:r>
      <w:r>
        <w:rPr>
          <w:color w:val="000000"/>
          <w:sz w:val="24"/>
          <w:szCs w:val="24"/>
        </w:rPr>
        <w:t>.1</w:t>
      </w:r>
      <w:r>
        <w:rPr>
          <w:rFonts w:hint="eastAsia"/>
          <w:color w:val="000000"/>
          <w:sz w:val="24"/>
          <w:szCs w:val="24"/>
        </w:rPr>
        <w:t>当一方向另一方提出索赔时，要有正当索赔理由，且有索赔事件发生时的有效证据。</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5</w:t>
      </w:r>
      <w:r>
        <w:rPr>
          <w:color w:val="000000"/>
          <w:sz w:val="24"/>
          <w:szCs w:val="24"/>
        </w:rPr>
        <w:t>.2</w:t>
      </w:r>
      <w:r>
        <w:rPr>
          <w:rFonts w:hint="eastAsia"/>
          <w:color w:val="000000"/>
          <w:sz w:val="24"/>
          <w:szCs w:val="24"/>
        </w:rPr>
        <w:t>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）索赔事件发生后</w:t>
      </w:r>
      <w:r>
        <w:rPr>
          <w:color w:val="000000"/>
          <w:sz w:val="24"/>
          <w:szCs w:val="24"/>
        </w:rPr>
        <w:t>28</w:t>
      </w:r>
      <w:r>
        <w:rPr>
          <w:rFonts w:hint="eastAsia"/>
          <w:color w:val="000000"/>
          <w:sz w:val="24"/>
          <w:szCs w:val="24"/>
        </w:rPr>
        <w:t>天内，向工程师发出索赔意向通知；</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）发出索赔意向通知后</w:t>
      </w:r>
      <w:r>
        <w:rPr>
          <w:color w:val="000000"/>
          <w:sz w:val="24"/>
          <w:szCs w:val="24"/>
        </w:rPr>
        <w:t>28</w:t>
      </w:r>
      <w:r>
        <w:rPr>
          <w:rFonts w:hint="eastAsia"/>
          <w:color w:val="000000"/>
          <w:sz w:val="24"/>
          <w:szCs w:val="24"/>
        </w:rPr>
        <w:t>天内，向工程师提出延长工期和（或）补偿经济损失的索赔报告及有关资料；</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）工程师在收到承包人送交的索赔报告和有关资料后，于</w:t>
      </w:r>
      <w:r>
        <w:rPr>
          <w:color w:val="000000"/>
          <w:sz w:val="24"/>
          <w:szCs w:val="24"/>
        </w:rPr>
        <w:t>28</w:t>
      </w:r>
      <w:r>
        <w:rPr>
          <w:rFonts w:hint="eastAsia"/>
          <w:color w:val="000000"/>
          <w:sz w:val="24"/>
          <w:szCs w:val="24"/>
        </w:rPr>
        <w:t>天内给予答复，或要求承包人进一步补充索赔理由和证据；</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）工程师在收到承包人送交的索赔报告和有关资料后</w:t>
      </w:r>
      <w:r>
        <w:rPr>
          <w:color w:val="000000"/>
          <w:sz w:val="24"/>
          <w:szCs w:val="24"/>
        </w:rPr>
        <w:t>28</w:t>
      </w:r>
      <w:r>
        <w:rPr>
          <w:rFonts w:hint="eastAsia"/>
          <w:color w:val="000000"/>
          <w:sz w:val="24"/>
          <w:szCs w:val="24"/>
        </w:rPr>
        <w:t>天内未予答复或未对承包人作进一步要求，视为该项索赔已经认可；</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5</w:t>
      </w:r>
      <w:r>
        <w:rPr>
          <w:rFonts w:hint="eastAsia"/>
          <w:color w:val="000000"/>
          <w:sz w:val="24"/>
          <w:szCs w:val="24"/>
        </w:rPr>
        <w:t>）当该索赔事件持续进行时，承包人应当阶段性向工程师发出索赔意向，在索赔事件终了后</w:t>
      </w:r>
      <w:r>
        <w:rPr>
          <w:color w:val="000000"/>
          <w:sz w:val="24"/>
          <w:szCs w:val="24"/>
        </w:rPr>
        <w:t>28</w:t>
      </w:r>
      <w:r>
        <w:rPr>
          <w:rFonts w:hint="eastAsia"/>
          <w:color w:val="000000"/>
          <w:sz w:val="24"/>
          <w:szCs w:val="24"/>
        </w:rPr>
        <w:t>天内，向工程师送交索赔的有关资料和最终索赔报告。索赔答复程序与（</w:t>
      </w:r>
      <w:r>
        <w:rPr>
          <w:color w:val="000000"/>
          <w:sz w:val="24"/>
          <w:szCs w:val="24"/>
        </w:rPr>
        <w:t>3</w:t>
      </w:r>
      <w:r>
        <w:rPr>
          <w:rFonts w:hint="eastAsia"/>
          <w:color w:val="000000"/>
          <w:sz w:val="24"/>
          <w:szCs w:val="24"/>
        </w:rPr>
        <w:t>）、（</w:t>
      </w:r>
      <w:r>
        <w:rPr>
          <w:color w:val="000000"/>
          <w:sz w:val="24"/>
          <w:szCs w:val="24"/>
        </w:rPr>
        <w:t>4</w:t>
      </w:r>
      <w:r>
        <w:rPr>
          <w:rFonts w:hint="eastAsia"/>
          <w:color w:val="000000"/>
          <w:sz w:val="24"/>
          <w:szCs w:val="24"/>
        </w:rPr>
        <w:t>）规定相同。</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5</w:t>
      </w:r>
      <w:r>
        <w:rPr>
          <w:color w:val="000000"/>
          <w:sz w:val="24"/>
          <w:szCs w:val="24"/>
        </w:rPr>
        <w:t>.3</w:t>
      </w:r>
      <w:r>
        <w:rPr>
          <w:rFonts w:hint="eastAsia"/>
          <w:color w:val="000000"/>
          <w:sz w:val="24"/>
          <w:szCs w:val="24"/>
        </w:rPr>
        <w:t>承包人未能按合同约定履行自己的各项义务或发生错误，给发包人造成经济损失，发包人可按</w:t>
      </w:r>
      <w:r>
        <w:rPr>
          <w:color w:val="000000"/>
          <w:sz w:val="24"/>
          <w:szCs w:val="24"/>
        </w:rPr>
        <w:t>3</w:t>
      </w:r>
      <w:r>
        <w:rPr>
          <w:rFonts w:hint="eastAsia"/>
          <w:color w:val="000000"/>
          <w:sz w:val="24"/>
          <w:szCs w:val="24"/>
        </w:rPr>
        <w:t>5</w:t>
      </w:r>
      <w:r>
        <w:rPr>
          <w:color w:val="000000"/>
          <w:sz w:val="24"/>
          <w:szCs w:val="24"/>
        </w:rPr>
        <w:t>.2</w:t>
      </w:r>
      <w:r>
        <w:rPr>
          <w:rFonts w:hint="eastAsia"/>
          <w:color w:val="000000"/>
          <w:sz w:val="24"/>
          <w:szCs w:val="24"/>
        </w:rPr>
        <w:t>款确定的时限向承包人提出索赔。</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36、争议</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6</w:t>
      </w:r>
      <w:r>
        <w:rPr>
          <w:color w:val="000000"/>
          <w:sz w:val="24"/>
          <w:szCs w:val="24"/>
        </w:rPr>
        <w:t>.1</w:t>
      </w:r>
      <w:r>
        <w:rPr>
          <w:rFonts w:hint="eastAsia"/>
          <w:color w:val="000000"/>
          <w:sz w:val="24"/>
          <w:szCs w:val="24"/>
        </w:rPr>
        <w:t>发包人承包人在履行合同时发生争议，可以和解或者要求有关主管部门调解。当事人不愿和解、调解或者和解、调解不成的，双方可以在专用条款内约定以下一种方式解决争议：</w:t>
      </w:r>
      <w:r>
        <w:rPr>
          <w:color w:val="000000"/>
          <w:sz w:val="24"/>
          <w:szCs w:val="24"/>
        </w:rPr>
        <w:t xml:space="preserve"> </w:t>
      </w:r>
      <w:r>
        <w:rPr>
          <w:rFonts w:hint="eastAsia"/>
          <w:color w:val="000000"/>
          <w:sz w:val="24"/>
          <w:szCs w:val="24"/>
        </w:rPr>
        <w:t>第一种解决方式：双方达成仲裁协议，向约定的仲裁委员会申请仲裁；</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第二种解决方式：向有管辖权的人民法院起诉。</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6</w:t>
      </w:r>
      <w:r>
        <w:rPr>
          <w:color w:val="000000"/>
          <w:sz w:val="24"/>
          <w:szCs w:val="24"/>
        </w:rPr>
        <w:t>.2</w:t>
      </w:r>
      <w:r>
        <w:rPr>
          <w:rFonts w:hint="eastAsia"/>
          <w:color w:val="000000"/>
          <w:sz w:val="24"/>
          <w:szCs w:val="24"/>
        </w:rPr>
        <w:t>发生争议后，除非出现下列情况的，双方都应继续履行合同，保持施工连续，保护好已完工程：</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）单方违约导致合同确已无法履行，双方协议停止施工；</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）调解要求停止施工，且为双方接受；</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）仲裁机构要求停止施工；</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）法院要求停止施工。</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十一、其他</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37、工程分包</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7</w:t>
      </w:r>
      <w:r>
        <w:rPr>
          <w:color w:val="000000"/>
          <w:sz w:val="24"/>
          <w:szCs w:val="24"/>
        </w:rPr>
        <w:t>.1</w:t>
      </w:r>
      <w:r>
        <w:rPr>
          <w:rFonts w:hint="eastAsia"/>
          <w:color w:val="000000"/>
          <w:sz w:val="24"/>
          <w:szCs w:val="24"/>
        </w:rPr>
        <w:t>承包人按专用条款的约定分包所承包的部分工程，并与分包单位签订分包合同。非经发包人同意，承包人不得将承包工程的任何部分分包。</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7</w:t>
      </w:r>
      <w:r>
        <w:rPr>
          <w:color w:val="000000"/>
          <w:sz w:val="24"/>
          <w:szCs w:val="24"/>
        </w:rPr>
        <w:t>.2</w:t>
      </w:r>
      <w:r>
        <w:rPr>
          <w:rFonts w:hint="eastAsia"/>
          <w:color w:val="000000"/>
          <w:sz w:val="24"/>
          <w:szCs w:val="24"/>
        </w:rPr>
        <w:t>承包人不得将其承包的全部工程转包给他人，也不得将其承包的全部工程肢解以后以分包的名义分别转包给他人。</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7</w:t>
      </w:r>
      <w:r>
        <w:rPr>
          <w:color w:val="000000"/>
          <w:sz w:val="24"/>
          <w:szCs w:val="24"/>
        </w:rPr>
        <w:t>.3</w:t>
      </w:r>
      <w:r>
        <w:rPr>
          <w:rFonts w:hint="eastAsia"/>
          <w:color w:val="000000"/>
          <w:sz w:val="24"/>
          <w:szCs w:val="24"/>
        </w:rPr>
        <w:t>工程分包不能解除承包人任何责任与义务。承包人应在分包场地派驻相应管理人员，保证本合同的履行。分包单位的任何违约行为或疏忽导致工程损害或给发包人造成其他损失，承包人承担连带责任。</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7</w:t>
      </w:r>
      <w:r>
        <w:rPr>
          <w:color w:val="000000"/>
          <w:sz w:val="24"/>
          <w:szCs w:val="24"/>
        </w:rPr>
        <w:t>.4</w:t>
      </w:r>
      <w:r>
        <w:rPr>
          <w:rFonts w:hint="eastAsia"/>
          <w:color w:val="000000"/>
          <w:sz w:val="24"/>
          <w:szCs w:val="24"/>
        </w:rPr>
        <w:t>分包工程价款由承包人与分包单位结算。发包人未经承包人同意不得以任何形式向分包单位支付各种工程款项。</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38、不可抗力</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8</w:t>
      </w:r>
      <w:r>
        <w:rPr>
          <w:color w:val="000000"/>
          <w:sz w:val="24"/>
          <w:szCs w:val="24"/>
        </w:rPr>
        <w:t>.1</w:t>
      </w:r>
      <w:r>
        <w:rPr>
          <w:rFonts w:hint="eastAsia"/>
          <w:color w:val="000000"/>
          <w:sz w:val="24"/>
          <w:szCs w:val="24"/>
        </w:rPr>
        <w:t>不可抗力包括因战争、动乱、空中飞行物体坠落或其他非发包人承包人责任造成的爆炸、火灾，以及专用条款约定的风雨、雪、洪、震等自然灾害。</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8</w:t>
      </w:r>
      <w:r>
        <w:rPr>
          <w:color w:val="000000"/>
          <w:sz w:val="24"/>
          <w:szCs w:val="24"/>
        </w:rPr>
        <w:t>.2</w:t>
      </w:r>
      <w:r>
        <w:rPr>
          <w:rFonts w:hint="eastAsia"/>
          <w:color w:val="000000"/>
          <w:sz w:val="24"/>
          <w:szCs w:val="24"/>
        </w:rPr>
        <w:t>不可抗力事件发生后，承包人应立即通知工程师，产大力所能及的条件下迅速采取措施，尽力减少损失，发包人应协助承包人采取措施。不可抗力事件结束后</w:t>
      </w:r>
      <w:r>
        <w:rPr>
          <w:color w:val="000000"/>
          <w:sz w:val="24"/>
          <w:szCs w:val="24"/>
        </w:rPr>
        <w:t>48</w:t>
      </w:r>
      <w:r>
        <w:rPr>
          <w:rFonts w:hint="eastAsia"/>
          <w:color w:val="000000"/>
          <w:sz w:val="24"/>
          <w:szCs w:val="24"/>
        </w:rPr>
        <w:t>小时内承包人向工程师通报受害情况和损失情况，及预计清理和修复的费用。</w:t>
      </w:r>
      <w:r>
        <w:rPr>
          <w:color w:val="000000"/>
          <w:sz w:val="24"/>
          <w:szCs w:val="24"/>
        </w:rPr>
        <w:t xml:space="preserve"> </w:t>
      </w:r>
      <w:r>
        <w:rPr>
          <w:rFonts w:hint="eastAsia"/>
          <w:color w:val="000000"/>
          <w:sz w:val="24"/>
          <w:szCs w:val="24"/>
        </w:rPr>
        <w:t>不可抗事件持续发生，承包人应每隔</w:t>
      </w:r>
      <w:r>
        <w:rPr>
          <w:color w:val="000000"/>
          <w:sz w:val="24"/>
          <w:szCs w:val="24"/>
        </w:rPr>
        <w:t>7</w:t>
      </w:r>
      <w:r>
        <w:rPr>
          <w:rFonts w:hint="eastAsia"/>
          <w:color w:val="000000"/>
          <w:sz w:val="24"/>
          <w:szCs w:val="24"/>
        </w:rPr>
        <w:t>天向工程师报告一次受害情况。不可抗力事件结束后</w:t>
      </w:r>
      <w:r>
        <w:rPr>
          <w:color w:val="000000"/>
          <w:sz w:val="24"/>
          <w:szCs w:val="24"/>
        </w:rPr>
        <w:t>14</w:t>
      </w:r>
      <w:r>
        <w:rPr>
          <w:rFonts w:hint="eastAsia"/>
          <w:color w:val="000000"/>
          <w:sz w:val="24"/>
          <w:szCs w:val="24"/>
        </w:rPr>
        <w:t>天内，承包人向工程师提交清理和修复费用的正式报告及有关资料。</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8</w:t>
      </w:r>
      <w:r>
        <w:rPr>
          <w:color w:val="000000"/>
          <w:sz w:val="24"/>
          <w:szCs w:val="24"/>
        </w:rPr>
        <w:t>.3</w:t>
      </w:r>
      <w:r>
        <w:rPr>
          <w:rFonts w:hint="eastAsia"/>
          <w:color w:val="000000"/>
          <w:sz w:val="24"/>
          <w:szCs w:val="24"/>
        </w:rPr>
        <w:t>因不可抗力事件导致的费用及延误的工期由双方按以下方法分别承担：</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）工程本身的损害、因工程损害导致第三人人员伤亡和财产损失以及运至施工场地用于施工的材料和待安装的设备的损害，由发包人承担；</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）发包人承包人人员伤亡由其所在单位负责，并承担相应费用；</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）承包人机械设备损坏及停工损失，由承包人承担；</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）停工期间，承包人应工程师要求留在施工场地的必要的管理人员及保卫人员的费用由发包人承担；</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5</w:t>
      </w:r>
      <w:r>
        <w:rPr>
          <w:rFonts w:hint="eastAsia"/>
          <w:color w:val="000000"/>
          <w:sz w:val="24"/>
          <w:szCs w:val="24"/>
        </w:rPr>
        <w:t>）工程所需清理、修复费用，由发包人承担；</w:t>
      </w:r>
      <w:r>
        <w:rPr>
          <w:color w:val="000000"/>
          <w:sz w:val="24"/>
          <w:szCs w:val="24"/>
        </w:rPr>
        <w:t xml:space="preserve"> </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）延误的工期相应顺延。</w:t>
      </w:r>
      <w:r>
        <w:rPr>
          <w:color w:val="000000"/>
          <w:sz w:val="24"/>
          <w:szCs w:val="24"/>
        </w:rPr>
        <w:t xml:space="preserve"> </w:t>
      </w:r>
    </w:p>
    <w:p>
      <w:pPr>
        <w:adjustRightInd w:val="0"/>
        <w:snapToGrid w:val="0"/>
        <w:spacing w:line="360" w:lineRule="auto"/>
        <w:rPr>
          <w:color w:val="000000"/>
          <w:sz w:val="24"/>
          <w:szCs w:val="24"/>
        </w:rPr>
      </w:pPr>
      <w:r>
        <w:rPr>
          <w:color w:val="000000"/>
          <w:sz w:val="24"/>
          <w:szCs w:val="24"/>
        </w:rPr>
        <w:t>3</w:t>
      </w:r>
      <w:r>
        <w:rPr>
          <w:rFonts w:hint="eastAsia"/>
          <w:color w:val="000000"/>
          <w:sz w:val="24"/>
          <w:szCs w:val="24"/>
        </w:rPr>
        <w:t>8</w:t>
      </w:r>
      <w:r>
        <w:rPr>
          <w:color w:val="000000"/>
          <w:sz w:val="24"/>
          <w:szCs w:val="24"/>
        </w:rPr>
        <w:t>.4</w:t>
      </w:r>
      <w:r>
        <w:rPr>
          <w:rFonts w:hint="eastAsia"/>
          <w:color w:val="000000"/>
          <w:sz w:val="24"/>
          <w:szCs w:val="24"/>
        </w:rPr>
        <w:t>因合同一方迟延履行合同后发生不可抗力的，不能免除迟延履行方的相应责任。</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39、保险</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39</w:t>
      </w:r>
      <w:r>
        <w:rPr>
          <w:color w:val="000000"/>
          <w:sz w:val="24"/>
          <w:szCs w:val="24"/>
        </w:rPr>
        <w:t>.1</w:t>
      </w:r>
      <w:r>
        <w:rPr>
          <w:rFonts w:hint="eastAsia"/>
          <w:color w:val="000000"/>
          <w:sz w:val="24"/>
          <w:szCs w:val="24"/>
        </w:rPr>
        <w:t>工程开工前，发包人为建设工程和施工场内的自有人员及第三人人员生命财产办理保险，支付保险费用。</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39</w:t>
      </w:r>
      <w:r>
        <w:rPr>
          <w:color w:val="000000"/>
          <w:sz w:val="24"/>
          <w:szCs w:val="24"/>
        </w:rPr>
        <w:t>.2</w:t>
      </w:r>
      <w:r>
        <w:rPr>
          <w:rFonts w:hint="eastAsia"/>
          <w:color w:val="000000"/>
          <w:sz w:val="24"/>
          <w:szCs w:val="24"/>
        </w:rPr>
        <w:t>运至施工场地内用于工程的材料和待安装设备，由发包人办理保险，并支付保险费用。</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39</w:t>
      </w:r>
      <w:r>
        <w:rPr>
          <w:color w:val="000000"/>
          <w:sz w:val="24"/>
          <w:szCs w:val="24"/>
        </w:rPr>
        <w:t>.3</w:t>
      </w:r>
      <w:r>
        <w:rPr>
          <w:rFonts w:hint="eastAsia"/>
          <w:color w:val="000000"/>
          <w:sz w:val="24"/>
          <w:szCs w:val="24"/>
        </w:rPr>
        <w:t>发包人可以将有关保险事项委托承包人办理，费用由发包人承担。</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39</w:t>
      </w:r>
      <w:r>
        <w:rPr>
          <w:color w:val="000000"/>
          <w:sz w:val="24"/>
          <w:szCs w:val="24"/>
        </w:rPr>
        <w:t>.4</w:t>
      </w:r>
      <w:r>
        <w:rPr>
          <w:rFonts w:hint="eastAsia"/>
          <w:color w:val="000000"/>
          <w:sz w:val="24"/>
          <w:szCs w:val="24"/>
        </w:rPr>
        <w:t>承包人必须为人事危险作业的职工办理意外伤害保险，并为施工场地内自有人员生命财产和施工机械设备办理保险，支付保险费用。</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39</w:t>
      </w:r>
      <w:r>
        <w:rPr>
          <w:color w:val="000000"/>
          <w:sz w:val="24"/>
          <w:szCs w:val="24"/>
        </w:rPr>
        <w:t>.5</w:t>
      </w:r>
      <w:r>
        <w:rPr>
          <w:rFonts w:hint="eastAsia"/>
          <w:color w:val="000000"/>
          <w:sz w:val="24"/>
          <w:szCs w:val="24"/>
        </w:rPr>
        <w:t>保险事故发生时，发包人承包人有责任尽力采取必要的措施，防止或者减少损失。</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39</w:t>
      </w:r>
      <w:r>
        <w:rPr>
          <w:color w:val="000000"/>
          <w:sz w:val="24"/>
          <w:szCs w:val="24"/>
        </w:rPr>
        <w:t>.6</w:t>
      </w:r>
      <w:r>
        <w:rPr>
          <w:rFonts w:hint="eastAsia"/>
          <w:color w:val="000000"/>
          <w:sz w:val="24"/>
          <w:szCs w:val="24"/>
        </w:rPr>
        <w:t>具体投保内容和相关责任，发包人承包人在专用条款中约定。</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40、专利技术及特殊工艺</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0</w:t>
      </w:r>
      <w:r>
        <w:rPr>
          <w:color w:val="000000"/>
          <w:sz w:val="24"/>
          <w:szCs w:val="24"/>
        </w:rPr>
        <w:t>.1</w:t>
      </w:r>
      <w:r>
        <w:rPr>
          <w:rFonts w:hint="eastAsia"/>
          <w:color w:val="000000"/>
          <w:sz w:val="24"/>
          <w:szCs w:val="24"/>
        </w:rPr>
        <w:t>发包人要求使用专利技术或特殊工艺，就负责办理相应的申报手续，承担申报、试验、使用等费用；承包人提出使用专利技术或特殊工艺，应取得工程师认可，承包人负责办理申报手续并承担有关费用。</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0</w:t>
      </w:r>
      <w:r>
        <w:rPr>
          <w:color w:val="000000"/>
          <w:sz w:val="24"/>
          <w:szCs w:val="24"/>
        </w:rPr>
        <w:t>.2</w:t>
      </w:r>
      <w:r>
        <w:rPr>
          <w:rFonts w:hint="eastAsia"/>
          <w:color w:val="000000"/>
          <w:sz w:val="24"/>
          <w:szCs w:val="24"/>
        </w:rPr>
        <w:t>擅自使用专利技术侵犯他人专利权的，责任者依法承担相应责任。</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41、合同解除</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1</w:t>
      </w:r>
      <w:r>
        <w:rPr>
          <w:color w:val="000000"/>
          <w:sz w:val="24"/>
          <w:szCs w:val="24"/>
        </w:rPr>
        <w:t>.1</w:t>
      </w:r>
      <w:r>
        <w:rPr>
          <w:rFonts w:hint="eastAsia"/>
          <w:color w:val="000000"/>
          <w:sz w:val="24"/>
          <w:szCs w:val="24"/>
        </w:rPr>
        <w:t>发包人承包人协商一致，可以解除合同。</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1</w:t>
      </w:r>
      <w:r>
        <w:rPr>
          <w:color w:val="000000"/>
          <w:sz w:val="24"/>
          <w:szCs w:val="24"/>
        </w:rPr>
        <w:t>.2</w:t>
      </w:r>
      <w:r>
        <w:rPr>
          <w:rFonts w:hint="eastAsia"/>
          <w:color w:val="000000"/>
          <w:sz w:val="24"/>
          <w:szCs w:val="24"/>
        </w:rPr>
        <w:t>发生本通用条款第</w:t>
      </w:r>
      <w:r>
        <w:rPr>
          <w:color w:val="000000"/>
          <w:sz w:val="24"/>
          <w:szCs w:val="24"/>
        </w:rPr>
        <w:t>2</w:t>
      </w:r>
      <w:r>
        <w:rPr>
          <w:rFonts w:hint="eastAsia"/>
          <w:color w:val="000000"/>
          <w:sz w:val="24"/>
          <w:szCs w:val="24"/>
        </w:rPr>
        <w:t>5</w:t>
      </w:r>
      <w:r>
        <w:rPr>
          <w:color w:val="000000"/>
          <w:sz w:val="24"/>
          <w:szCs w:val="24"/>
        </w:rPr>
        <w:t>.4</w:t>
      </w:r>
      <w:r>
        <w:rPr>
          <w:rFonts w:hint="eastAsia"/>
          <w:color w:val="000000"/>
          <w:sz w:val="24"/>
          <w:szCs w:val="24"/>
        </w:rPr>
        <w:t>款情况，停止施工超过</w:t>
      </w:r>
      <w:r>
        <w:rPr>
          <w:color w:val="000000"/>
          <w:sz w:val="24"/>
          <w:szCs w:val="24"/>
        </w:rPr>
        <w:t>56</w:t>
      </w:r>
      <w:r>
        <w:rPr>
          <w:rFonts w:hint="eastAsia"/>
          <w:color w:val="000000"/>
          <w:sz w:val="24"/>
          <w:szCs w:val="24"/>
        </w:rPr>
        <w:t>天，发包人仍不支付工程款（进度款），承包人有权解除合同。</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1</w:t>
      </w:r>
      <w:r>
        <w:rPr>
          <w:color w:val="000000"/>
          <w:sz w:val="24"/>
          <w:szCs w:val="24"/>
        </w:rPr>
        <w:t>.3</w:t>
      </w:r>
      <w:r>
        <w:rPr>
          <w:rFonts w:hint="eastAsia"/>
          <w:color w:val="000000"/>
          <w:sz w:val="24"/>
          <w:szCs w:val="24"/>
        </w:rPr>
        <w:t>发生本通用条款第</w:t>
      </w:r>
      <w:r>
        <w:rPr>
          <w:color w:val="000000"/>
          <w:sz w:val="24"/>
          <w:szCs w:val="24"/>
        </w:rPr>
        <w:t>3</w:t>
      </w:r>
      <w:r>
        <w:rPr>
          <w:rFonts w:hint="eastAsia"/>
          <w:color w:val="000000"/>
          <w:sz w:val="24"/>
          <w:szCs w:val="24"/>
        </w:rPr>
        <w:t>7</w:t>
      </w:r>
      <w:r>
        <w:rPr>
          <w:color w:val="000000"/>
          <w:sz w:val="24"/>
          <w:szCs w:val="24"/>
        </w:rPr>
        <w:t>.2</w:t>
      </w:r>
      <w:r>
        <w:rPr>
          <w:rFonts w:hint="eastAsia"/>
          <w:color w:val="000000"/>
          <w:sz w:val="24"/>
          <w:szCs w:val="24"/>
        </w:rPr>
        <w:t>款禁止的情况，承包人将其承包的全部工程转包给他人或者肢解以后以分包的名义分别转包给他人，发包人有权解除合同。</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1</w:t>
      </w:r>
      <w:r>
        <w:rPr>
          <w:color w:val="000000"/>
          <w:sz w:val="24"/>
          <w:szCs w:val="24"/>
        </w:rPr>
        <w:t>.4</w:t>
      </w:r>
      <w:r>
        <w:rPr>
          <w:rFonts w:hint="eastAsia"/>
          <w:color w:val="000000"/>
          <w:sz w:val="24"/>
          <w:szCs w:val="24"/>
        </w:rPr>
        <w:t>有下列情形之一的，发包人承包人可以解除合同：</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）因不可抗力致使合同无法履行；</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）因一方违约（包括因发包人原因造成工程停建或缓建）致使合同无法履行。</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1</w:t>
      </w:r>
      <w:r>
        <w:rPr>
          <w:color w:val="000000"/>
          <w:sz w:val="24"/>
          <w:szCs w:val="24"/>
        </w:rPr>
        <w:t>.5</w:t>
      </w:r>
      <w:r>
        <w:rPr>
          <w:rFonts w:hint="eastAsia"/>
          <w:color w:val="000000"/>
          <w:sz w:val="24"/>
          <w:szCs w:val="24"/>
        </w:rPr>
        <w:t>一方依据</w:t>
      </w:r>
      <w:r>
        <w:rPr>
          <w:color w:val="000000"/>
          <w:sz w:val="24"/>
          <w:szCs w:val="24"/>
        </w:rPr>
        <w:t>4</w:t>
      </w:r>
      <w:r>
        <w:rPr>
          <w:rFonts w:hint="eastAsia"/>
          <w:color w:val="000000"/>
          <w:sz w:val="24"/>
          <w:szCs w:val="24"/>
        </w:rPr>
        <w:t>1</w:t>
      </w:r>
      <w:r>
        <w:rPr>
          <w:color w:val="000000"/>
          <w:sz w:val="24"/>
          <w:szCs w:val="24"/>
        </w:rPr>
        <w:t>.2</w:t>
      </w:r>
      <w:r>
        <w:rPr>
          <w:rFonts w:hint="eastAsia"/>
          <w:color w:val="000000"/>
          <w:sz w:val="24"/>
          <w:szCs w:val="24"/>
        </w:rPr>
        <w:t>、</w:t>
      </w:r>
      <w:r>
        <w:rPr>
          <w:color w:val="000000"/>
          <w:sz w:val="24"/>
          <w:szCs w:val="24"/>
        </w:rPr>
        <w:t>4</w:t>
      </w:r>
      <w:r>
        <w:rPr>
          <w:rFonts w:hint="eastAsia"/>
          <w:color w:val="000000"/>
          <w:sz w:val="24"/>
          <w:szCs w:val="24"/>
        </w:rPr>
        <w:t>1</w:t>
      </w:r>
      <w:r>
        <w:rPr>
          <w:color w:val="000000"/>
          <w:sz w:val="24"/>
          <w:szCs w:val="24"/>
        </w:rPr>
        <w:t>.3</w:t>
      </w:r>
      <w:r>
        <w:rPr>
          <w:rFonts w:hint="eastAsia"/>
          <w:color w:val="000000"/>
          <w:sz w:val="24"/>
          <w:szCs w:val="24"/>
        </w:rPr>
        <w:t>、</w:t>
      </w:r>
      <w:r>
        <w:rPr>
          <w:color w:val="000000"/>
          <w:sz w:val="24"/>
          <w:szCs w:val="24"/>
        </w:rPr>
        <w:t>4</w:t>
      </w:r>
      <w:r>
        <w:rPr>
          <w:rFonts w:hint="eastAsia"/>
          <w:color w:val="000000"/>
          <w:sz w:val="24"/>
          <w:szCs w:val="24"/>
        </w:rPr>
        <w:t>1</w:t>
      </w:r>
      <w:r>
        <w:rPr>
          <w:color w:val="000000"/>
          <w:sz w:val="24"/>
          <w:szCs w:val="24"/>
        </w:rPr>
        <w:t>.4</w:t>
      </w:r>
      <w:r>
        <w:rPr>
          <w:rFonts w:hint="eastAsia"/>
          <w:color w:val="000000"/>
          <w:sz w:val="24"/>
          <w:szCs w:val="24"/>
        </w:rPr>
        <w:t>款约定要求解除合同的，应以书面形式向对方发出解除合同的通知，并在发出通知前</w:t>
      </w:r>
      <w:r>
        <w:rPr>
          <w:color w:val="000000"/>
          <w:sz w:val="24"/>
          <w:szCs w:val="24"/>
        </w:rPr>
        <w:t>7</w:t>
      </w:r>
      <w:r>
        <w:rPr>
          <w:rFonts w:hint="eastAsia"/>
          <w:color w:val="000000"/>
          <w:sz w:val="24"/>
          <w:szCs w:val="24"/>
        </w:rPr>
        <w:t>天告知对方，</w:t>
      </w:r>
      <w:r>
        <w:rPr>
          <w:color w:val="000000"/>
          <w:sz w:val="24"/>
          <w:szCs w:val="24"/>
        </w:rPr>
        <w:t xml:space="preserve"> </w:t>
      </w:r>
      <w:r>
        <w:rPr>
          <w:rFonts w:hint="eastAsia"/>
          <w:color w:val="000000"/>
          <w:sz w:val="24"/>
          <w:szCs w:val="24"/>
        </w:rPr>
        <w:t>通知到达对方时合同解除。对解除合同有争议的，按本通用条款第</w:t>
      </w:r>
      <w:r>
        <w:rPr>
          <w:color w:val="000000"/>
          <w:sz w:val="24"/>
          <w:szCs w:val="24"/>
        </w:rPr>
        <w:t>3</w:t>
      </w:r>
      <w:r>
        <w:rPr>
          <w:rFonts w:hint="eastAsia"/>
          <w:color w:val="000000"/>
          <w:sz w:val="24"/>
          <w:szCs w:val="24"/>
        </w:rPr>
        <w:t>5条关于争议的约定处理。</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1</w:t>
      </w:r>
      <w:r>
        <w:rPr>
          <w:color w:val="000000"/>
          <w:sz w:val="24"/>
          <w:szCs w:val="24"/>
        </w:rPr>
        <w:t>.6</w:t>
      </w:r>
      <w:r>
        <w:rPr>
          <w:rFonts w:hint="eastAsia"/>
          <w:color w:val="000000"/>
          <w:sz w:val="24"/>
          <w:szCs w:val="24"/>
        </w:rPr>
        <w:t>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1</w:t>
      </w:r>
      <w:r>
        <w:rPr>
          <w:color w:val="000000"/>
          <w:sz w:val="24"/>
          <w:szCs w:val="24"/>
        </w:rPr>
        <w:t>.7</w:t>
      </w:r>
      <w:r>
        <w:rPr>
          <w:rFonts w:hint="eastAsia"/>
          <w:color w:val="000000"/>
          <w:sz w:val="24"/>
          <w:szCs w:val="24"/>
        </w:rPr>
        <w:t>合同解除后，不影响双方在合同中约定的结算和清理条款的效力。</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42、合同生效与终止</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2</w:t>
      </w:r>
      <w:r>
        <w:rPr>
          <w:color w:val="000000"/>
          <w:sz w:val="24"/>
          <w:szCs w:val="24"/>
        </w:rPr>
        <w:t>.1</w:t>
      </w:r>
      <w:r>
        <w:rPr>
          <w:rFonts w:hint="eastAsia"/>
          <w:color w:val="000000"/>
          <w:sz w:val="24"/>
          <w:szCs w:val="24"/>
        </w:rPr>
        <w:t>双方在协议书中约定合同生效方式。</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2</w:t>
      </w:r>
      <w:r>
        <w:rPr>
          <w:color w:val="000000"/>
          <w:sz w:val="24"/>
          <w:szCs w:val="24"/>
        </w:rPr>
        <w:t>.2</w:t>
      </w:r>
      <w:r>
        <w:rPr>
          <w:rFonts w:hint="eastAsia"/>
          <w:color w:val="000000"/>
          <w:sz w:val="24"/>
          <w:szCs w:val="24"/>
        </w:rPr>
        <w:t>除本通用条款第33条外，发包人承包人履行合同全部义务，竣工结算价款支付完毕，承包人向发包人交付竣工工程后，本合同即告终止。</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2</w:t>
      </w:r>
      <w:r>
        <w:rPr>
          <w:color w:val="000000"/>
          <w:sz w:val="24"/>
          <w:szCs w:val="24"/>
        </w:rPr>
        <w:t>.3</w:t>
      </w:r>
      <w:r>
        <w:rPr>
          <w:rFonts w:hint="eastAsia"/>
          <w:color w:val="000000"/>
          <w:sz w:val="24"/>
          <w:szCs w:val="24"/>
        </w:rPr>
        <w:t>合同的权利义务终止后，发包人承包人应当遵循诚实信用原则，履行通知、协助、保密等义务。</w:t>
      </w:r>
    </w:p>
    <w:p>
      <w:pPr>
        <w:adjustRightInd w:val="0"/>
        <w:snapToGrid w:val="0"/>
        <w:spacing w:line="360" w:lineRule="auto"/>
        <w:rPr>
          <w:color w:val="000000"/>
          <w:sz w:val="24"/>
          <w:szCs w:val="24"/>
        </w:rPr>
      </w:pPr>
      <w:r>
        <w:rPr>
          <w:rFonts w:hint="eastAsia"/>
          <w:color w:val="000000"/>
          <w:sz w:val="24"/>
          <w:szCs w:val="24"/>
        </w:rPr>
        <w:t>　　43、合同份数</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3</w:t>
      </w:r>
      <w:r>
        <w:rPr>
          <w:color w:val="000000"/>
          <w:sz w:val="24"/>
          <w:szCs w:val="24"/>
        </w:rPr>
        <w:t>.1</w:t>
      </w:r>
      <w:r>
        <w:rPr>
          <w:rFonts w:hint="eastAsia"/>
          <w:color w:val="000000"/>
          <w:sz w:val="24"/>
          <w:szCs w:val="24"/>
        </w:rPr>
        <w:t>本合同正本两份，具有同等效力，由发包人承包人分别保存一份。</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3</w:t>
      </w:r>
      <w:r>
        <w:rPr>
          <w:color w:val="000000"/>
          <w:sz w:val="24"/>
          <w:szCs w:val="24"/>
        </w:rPr>
        <w:t>.2</w:t>
      </w:r>
      <w:r>
        <w:rPr>
          <w:rFonts w:hint="eastAsia"/>
          <w:color w:val="000000"/>
          <w:sz w:val="24"/>
          <w:szCs w:val="24"/>
        </w:rPr>
        <w:t>本合同副本份数，由双方根据需要在专用条款内约定。</w:t>
      </w:r>
      <w:r>
        <w:rPr>
          <w:color w:val="000000"/>
          <w:sz w:val="24"/>
          <w:szCs w:val="24"/>
        </w:rPr>
        <w:t xml:space="preserve"> </w:t>
      </w:r>
    </w:p>
    <w:p>
      <w:pPr>
        <w:adjustRightInd w:val="0"/>
        <w:snapToGrid w:val="0"/>
        <w:spacing w:line="360" w:lineRule="auto"/>
        <w:rPr>
          <w:color w:val="000000"/>
          <w:sz w:val="24"/>
          <w:szCs w:val="24"/>
        </w:rPr>
      </w:pPr>
      <w:r>
        <w:rPr>
          <w:rFonts w:hint="eastAsia"/>
          <w:color w:val="000000"/>
          <w:sz w:val="24"/>
          <w:szCs w:val="24"/>
        </w:rPr>
        <w:t>　　44、补充条款</w:t>
      </w:r>
      <w:r>
        <w:rPr>
          <w:color w:val="000000"/>
          <w:sz w:val="24"/>
          <w:szCs w:val="24"/>
        </w:rPr>
        <w:t xml:space="preserve"> </w:t>
      </w:r>
    </w:p>
    <w:p>
      <w:pPr>
        <w:adjustRightInd w:val="0"/>
        <w:snapToGrid w:val="0"/>
        <w:spacing w:line="360" w:lineRule="auto"/>
        <w:ind w:firstLine="420"/>
        <w:rPr>
          <w:rFonts w:hint="eastAsia"/>
          <w:color w:val="000000"/>
          <w:sz w:val="24"/>
          <w:szCs w:val="24"/>
        </w:rPr>
      </w:pPr>
      <w:r>
        <w:rPr>
          <w:rFonts w:hint="eastAsia"/>
          <w:color w:val="000000"/>
          <w:sz w:val="24"/>
          <w:szCs w:val="24"/>
        </w:rPr>
        <w:t>双方根据有关法律、行政法规规定，结合工程实际经协商一致后，可对本通用条款内容具体化、补充或修改，在专用条款内约定。</w:t>
      </w:r>
      <w:r>
        <w:rPr>
          <w:color w:val="000000"/>
          <w:sz w:val="24"/>
          <w:szCs w:val="24"/>
        </w:rPr>
        <w:t xml:space="preserve"> </w:t>
      </w:r>
    </w:p>
    <w:p>
      <w:pPr>
        <w:adjustRightInd w:val="0"/>
        <w:snapToGrid w:val="0"/>
        <w:spacing w:line="360" w:lineRule="auto"/>
        <w:ind w:firstLine="420"/>
        <w:rPr>
          <w:rFonts w:hint="eastAsia"/>
          <w:color w:val="000000"/>
          <w:sz w:val="24"/>
          <w:szCs w:val="24"/>
        </w:rPr>
      </w:pPr>
    </w:p>
    <w:p>
      <w:pPr>
        <w:pStyle w:val="2"/>
        <w:rPr>
          <w:rFonts w:hint="eastAsia"/>
          <w:color w:val="000000"/>
          <w:sz w:val="24"/>
          <w:szCs w:val="24"/>
        </w:rPr>
      </w:pPr>
    </w:p>
    <w:p>
      <w:pPr>
        <w:rPr>
          <w:rFonts w:hint="eastAsia"/>
          <w:color w:val="000000"/>
          <w:sz w:val="24"/>
          <w:szCs w:val="24"/>
        </w:rPr>
      </w:pPr>
    </w:p>
    <w:p>
      <w:pPr>
        <w:pStyle w:val="2"/>
        <w:rPr>
          <w:rFonts w:hint="eastAsia"/>
          <w:color w:val="000000"/>
          <w:sz w:val="24"/>
          <w:szCs w:val="24"/>
        </w:rPr>
      </w:pPr>
    </w:p>
    <w:p>
      <w:pPr>
        <w:rPr>
          <w:rFonts w:hint="eastAsia"/>
          <w:color w:val="000000"/>
          <w:sz w:val="24"/>
          <w:szCs w:val="24"/>
        </w:rPr>
      </w:pPr>
    </w:p>
    <w:p>
      <w:pPr>
        <w:pStyle w:val="2"/>
        <w:rPr>
          <w:rFonts w:hint="eastAsia"/>
          <w:color w:val="000000"/>
          <w:sz w:val="24"/>
          <w:szCs w:val="24"/>
        </w:rPr>
      </w:pPr>
    </w:p>
    <w:p>
      <w:pPr>
        <w:rPr>
          <w:rFonts w:hint="eastAsia"/>
          <w:color w:val="000000"/>
          <w:sz w:val="24"/>
          <w:szCs w:val="24"/>
        </w:rPr>
      </w:pPr>
    </w:p>
    <w:p>
      <w:pPr>
        <w:pStyle w:val="2"/>
        <w:rPr>
          <w:rFonts w:hint="eastAsia"/>
          <w:color w:val="000000"/>
          <w:sz w:val="24"/>
          <w:szCs w:val="24"/>
        </w:rPr>
      </w:pPr>
    </w:p>
    <w:p>
      <w:pPr>
        <w:rPr>
          <w:rFonts w:hint="eastAsia"/>
          <w:color w:val="000000"/>
          <w:sz w:val="24"/>
          <w:szCs w:val="24"/>
        </w:rPr>
      </w:pPr>
    </w:p>
    <w:p>
      <w:pPr>
        <w:pStyle w:val="2"/>
        <w:rPr>
          <w:rFonts w:hint="eastAsia"/>
          <w:color w:val="000000"/>
          <w:sz w:val="24"/>
          <w:szCs w:val="24"/>
        </w:rPr>
      </w:pPr>
    </w:p>
    <w:p>
      <w:pPr>
        <w:rPr>
          <w:rFonts w:hint="eastAsia"/>
          <w:color w:val="000000"/>
          <w:sz w:val="24"/>
          <w:szCs w:val="24"/>
        </w:rPr>
      </w:pPr>
    </w:p>
    <w:p>
      <w:pPr>
        <w:pStyle w:val="2"/>
        <w:rPr>
          <w:rFonts w:hint="eastAsia"/>
          <w:color w:val="000000"/>
          <w:sz w:val="24"/>
          <w:szCs w:val="24"/>
        </w:rPr>
      </w:pPr>
    </w:p>
    <w:p>
      <w:pPr>
        <w:rPr>
          <w:rFonts w:hint="eastAsia"/>
          <w:color w:val="000000"/>
          <w:sz w:val="24"/>
          <w:szCs w:val="24"/>
        </w:rPr>
      </w:pPr>
    </w:p>
    <w:p>
      <w:pPr>
        <w:pStyle w:val="2"/>
        <w:rPr>
          <w:rFonts w:hint="eastAsia"/>
          <w:color w:val="000000"/>
          <w:sz w:val="24"/>
          <w:szCs w:val="24"/>
        </w:rPr>
      </w:pPr>
    </w:p>
    <w:p>
      <w:pPr>
        <w:rPr>
          <w:rFonts w:hint="eastAsia"/>
          <w:color w:val="000000"/>
          <w:sz w:val="24"/>
          <w:szCs w:val="24"/>
        </w:rPr>
      </w:pPr>
    </w:p>
    <w:p>
      <w:pPr>
        <w:pStyle w:val="2"/>
        <w:rPr>
          <w:rFonts w:hint="eastAsia"/>
          <w:color w:val="000000"/>
          <w:sz w:val="24"/>
          <w:szCs w:val="24"/>
        </w:rPr>
      </w:pPr>
    </w:p>
    <w:p>
      <w:pPr>
        <w:rPr>
          <w:rFonts w:hint="eastAsia"/>
        </w:rPr>
      </w:pPr>
    </w:p>
    <w:p>
      <w:pPr>
        <w:adjustRightInd w:val="0"/>
        <w:snapToGrid w:val="0"/>
        <w:spacing w:before="120" w:after="120" w:line="360" w:lineRule="auto"/>
        <w:jc w:val="center"/>
        <w:rPr>
          <w:rFonts w:ascii="宋体" w:hAnsi="宋体"/>
          <w:b/>
          <w:color w:val="000000"/>
          <w:sz w:val="24"/>
          <w:szCs w:val="24"/>
        </w:rPr>
      </w:pPr>
      <w:r>
        <w:rPr>
          <w:rFonts w:hint="eastAsia" w:ascii="宋体" w:hAnsi="宋体"/>
          <w:b/>
          <w:color w:val="000000"/>
          <w:sz w:val="24"/>
          <w:szCs w:val="24"/>
        </w:rPr>
        <w:t>第三部分、专用条款</w:t>
      </w:r>
    </w:p>
    <w:p>
      <w:pPr>
        <w:pStyle w:val="62"/>
        <w:spacing w:before="120" w:after="120" w:line="360" w:lineRule="auto"/>
        <w:ind w:left="0" w:right="0"/>
        <w:rPr>
          <w:color w:val="000000"/>
          <w:sz w:val="24"/>
          <w:szCs w:val="24"/>
        </w:rPr>
      </w:pPr>
      <w:r>
        <w:rPr>
          <w:rFonts w:hint="eastAsia"/>
          <w:color w:val="000000"/>
          <w:sz w:val="24"/>
          <w:szCs w:val="24"/>
        </w:rPr>
        <w:t>　　一、词语定义及合同文件</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2、合同文件及解释顺序</w:t>
      </w:r>
      <w:r>
        <w:rPr>
          <w:color w:val="000000"/>
          <w:sz w:val="24"/>
          <w:szCs w:val="24"/>
        </w:rPr>
        <w:t xml:space="preserve"> </w:t>
      </w:r>
    </w:p>
    <w:p>
      <w:pPr>
        <w:rPr>
          <w:rFonts w:hint="eastAsia" w:ascii="宋体" w:hAnsi="宋体"/>
          <w:color w:val="000000"/>
          <w:sz w:val="24"/>
          <w:szCs w:val="24"/>
        </w:rPr>
      </w:pPr>
      <w:r>
        <w:rPr>
          <w:rFonts w:hint="eastAsia"/>
          <w:color w:val="000000"/>
          <w:sz w:val="24"/>
          <w:szCs w:val="24"/>
        </w:rPr>
        <w:t>　　合同文件组成及解释顺序：</w:t>
      </w:r>
      <w:r>
        <w:rPr>
          <w:rFonts w:hint="eastAsia"/>
          <w:color w:val="000000"/>
          <w:sz w:val="24"/>
          <w:szCs w:val="24"/>
          <w:u w:val="single"/>
        </w:rPr>
        <w:t xml:space="preserve">(l）合同协议书；(2）中标通知书；（3）招标文件；(4）投标文件；(5）专用合同条款；(6）通用合同条款；(7）技术标准和要求；(8）图纸；(9）已标价工程量清单；(10）其他合同文件； </w:t>
      </w:r>
      <w:r>
        <w:rPr>
          <w:color w:val="000000"/>
          <w:sz w:val="24"/>
          <w:szCs w:val="24"/>
          <w:u w:val="single"/>
        </w:rPr>
        <w:t>(</w:t>
      </w:r>
      <w:r>
        <w:rPr>
          <w:rFonts w:hint="eastAsia"/>
          <w:color w:val="000000"/>
          <w:sz w:val="24"/>
          <w:szCs w:val="24"/>
          <w:u w:val="single"/>
        </w:rPr>
        <w:t>11</w:t>
      </w:r>
      <w:r>
        <w:rPr>
          <w:color w:val="000000"/>
          <w:sz w:val="24"/>
          <w:szCs w:val="24"/>
          <w:u w:val="single"/>
        </w:rPr>
        <w:t xml:space="preserve">)  </w:t>
      </w:r>
      <w:r>
        <w:rPr>
          <w:rFonts w:hint="eastAsia"/>
          <w:color w:val="000000"/>
          <w:sz w:val="24"/>
          <w:szCs w:val="24"/>
          <w:u w:val="single"/>
        </w:rPr>
        <w:t>其它已纳入或将纳入本协议的具有合同约束力的信函、纪要、书面往来等文件。</w:t>
      </w:r>
    </w:p>
    <w:p>
      <w:pPr>
        <w:tabs>
          <w:tab w:val="left" w:pos="612"/>
        </w:tabs>
        <w:spacing w:line="360" w:lineRule="auto"/>
        <w:ind w:firstLine="480" w:firstLineChars="200"/>
        <w:rPr>
          <w:color w:val="000000"/>
          <w:sz w:val="24"/>
          <w:szCs w:val="24"/>
          <w:u w:val="single"/>
        </w:rPr>
      </w:pPr>
      <w:r>
        <w:rPr>
          <w:rFonts w:hint="eastAsia"/>
          <w:color w:val="000000"/>
          <w:sz w:val="24"/>
          <w:szCs w:val="24"/>
          <w:u w:val="single"/>
        </w:rPr>
        <w:t>进一步规定如下：</w:t>
      </w:r>
    </w:p>
    <w:p>
      <w:pPr>
        <w:tabs>
          <w:tab w:val="left" w:pos="612"/>
        </w:tabs>
        <w:spacing w:line="360" w:lineRule="auto"/>
        <w:ind w:firstLine="720" w:firstLineChars="300"/>
        <w:rPr>
          <w:color w:val="000000"/>
          <w:sz w:val="24"/>
          <w:szCs w:val="24"/>
          <w:u w:val="single"/>
        </w:rPr>
      </w:pPr>
      <w:r>
        <w:rPr>
          <w:rFonts w:hint="eastAsia"/>
          <w:color w:val="000000"/>
          <w:sz w:val="24"/>
          <w:szCs w:val="24"/>
          <w:u w:val="single"/>
        </w:rPr>
        <w:t>a.对于同一类合同文件，以其最新版本或最新颁发者为准；</w:t>
      </w:r>
    </w:p>
    <w:p>
      <w:pPr>
        <w:tabs>
          <w:tab w:val="left" w:pos="612"/>
        </w:tabs>
        <w:spacing w:line="360" w:lineRule="auto"/>
        <w:ind w:firstLine="720" w:firstLineChars="300"/>
        <w:rPr>
          <w:color w:val="000000"/>
          <w:sz w:val="24"/>
          <w:szCs w:val="24"/>
          <w:u w:val="single"/>
        </w:rPr>
      </w:pPr>
      <w:r>
        <w:rPr>
          <w:rFonts w:hint="eastAsia"/>
          <w:color w:val="000000"/>
          <w:sz w:val="24"/>
          <w:szCs w:val="24"/>
          <w:u w:val="single"/>
        </w:rPr>
        <w:t>b.如果在不同的合同文件之间、同一个合同文件的不同部分之间或任何合同文件本身出现模糊、矛盾或不一致之处，在无法根据合同优先解释顺序进行澄清或仍不足以澄清的情况下，除非本合同另有约定，以经发包人代表批准的监理工程师的书面澄清为准。</w:t>
      </w:r>
    </w:p>
    <w:p>
      <w:pPr>
        <w:tabs>
          <w:tab w:val="left" w:pos="612"/>
        </w:tabs>
        <w:spacing w:line="360" w:lineRule="auto"/>
        <w:ind w:firstLine="720" w:firstLineChars="300"/>
        <w:rPr>
          <w:rFonts w:hint="eastAsia"/>
          <w:color w:val="000000"/>
          <w:sz w:val="24"/>
          <w:szCs w:val="24"/>
          <w:u w:val="single"/>
        </w:rPr>
      </w:pPr>
      <w:r>
        <w:rPr>
          <w:rFonts w:hint="eastAsia"/>
          <w:sz w:val="24"/>
          <w:szCs w:val="24"/>
        </w:rPr>
        <w:t>c.除非另有约定，在合同订立和履行过程中，双方签署、签发、签收的与本合同订立或履行有关的协议、信函、纪要、备忘录、书面往来、双方有关工程的洽商变更等书面协议等文件亦构成合同组成部分，其优先解释顺序应视其内容与其它合同文件的相互关系而定。</w:t>
      </w:r>
    </w:p>
    <w:p>
      <w:pPr>
        <w:pStyle w:val="62"/>
        <w:spacing w:before="120" w:after="120" w:line="360" w:lineRule="auto"/>
        <w:ind w:left="0" w:right="0"/>
        <w:rPr>
          <w:color w:val="000000"/>
          <w:sz w:val="24"/>
          <w:szCs w:val="24"/>
        </w:rPr>
      </w:pPr>
      <w:r>
        <w:rPr>
          <w:rFonts w:hint="eastAsia"/>
          <w:color w:val="000000"/>
          <w:sz w:val="24"/>
          <w:szCs w:val="24"/>
        </w:rPr>
        <w:t>　　3、语言文字和适用法律、标准及规范</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w:t>
      </w:r>
      <w:r>
        <w:rPr>
          <w:color w:val="000000"/>
          <w:sz w:val="24"/>
          <w:szCs w:val="24"/>
        </w:rPr>
        <w:t>3.1</w:t>
      </w:r>
      <w:r>
        <w:rPr>
          <w:rFonts w:hint="eastAsia"/>
          <w:color w:val="000000"/>
          <w:sz w:val="24"/>
          <w:szCs w:val="24"/>
        </w:rPr>
        <w:t>本合同除使用汉语外，还使用</w:t>
      </w:r>
      <w:r>
        <w:rPr>
          <w:rFonts w:hint="eastAsia"/>
          <w:color w:val="000000"/>
          <w:sz w:val="24"/>
          <w:szCs w:val="24"/>
          <w:u w:val="single"/>
        </w:rPr>
        <w:t xml:space="preserve"> 无其他 </w:t>
      </w:r>
      <w:r>
        <w:rPr>
          <w:rFonts w:hint="eastAsia"/>
          <w:color w:val="000000"/>
          <w:sz w:val="24"/>
          <w:szCs w:val="24"/>
        </w:rPr>
        <w:t>语言文字。</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w:t>
      </w:r>
      <w:r>
        <w:rPr>
          <w:color w:val="000000"/>
          <w:sz w:val="24"/>
          <w:szCs w:val="24"/>
        </w:rPr>
        <w:t>3.2</w:t>
      </w:r>
      <w:r>
        <w:rPr>
          <w:rFonts w:hint="eastAsia"/>
          <w:color w:val="000000"/>
          <w:sz w:val="24"/>
          <w:szCs w:val="24"/>
        </w:rPr>
        <w:t>适用法律和法规需要明示的法律、行政法规：</w:t>
      </w:r>
      <w:r>
        <w:rPr>
          <w:rFonts w:hint="eastAsia"/>
          <w:color w:val="000000"/>
          <w:sz w:val="24"/>
          <w:szCs w:val="24"/>
          <w:u w:val="single"/>
        </w:rPr>
        <w:t>国家的法律、法规以及江西省（或赣州市）现行的法规。</w:t>
      </w:r>
    </w:p>
    <w:p>
      <w:pPr>
        <w:pStyle w:val="62"/>
        <w:spacing w:before="120" w:after="120" w:line="360" w:lineRule="auto"/>
        <w:ind w:left="0" w:right="0"/>
        <w:rPr>
          <w:color w:val="000000"/>
          <w:sz w:val="24"/>
          <w:szCs w:val="24"/>
        </w:rPr>
      </w:pPr>
      <w:r>
        <w:rPr>
          <w:rFonts w:hint="eastAsia"/>
          <w:color w:val="000000"/>
          <w:sz w:val="24"/>
          <w:szCs w:val="24"/>
        </w:rPr>
        <w:t>　　</w:t>
      </w:r>
      <w:r>
        <w:rPr>
          <w:color w:val="000000"/>
          <w:sz w:val="24"/>
          <w:szCs w:val="24"/>
        </w:rPr>
        <w:t>3.3</w:t>
      </w:r>
      <w:r>
        <w:rPr>
          <w:rFonts w:hint="eastAsia"/>
          <w:color w:val="000000"/>
          <w:sz w:val="24"/>
          <w:szCs w:val="24"/>
        </w:rPr>
        <w:t>适用标准、规范</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适用标准、规范的名称：</w:t>
      </w:r>
      <w:r>
        <w:rPr>
          <w:rFonts w:hint="eastAsia"/>
          <w:color w:val="000000"/>
          <w:sz w:val="24"/>
          <w:szCs w:val="24"/>
          <w:u w:val="single"/>
        </w:rPr>
        <w:t>国家及江西省现行的建筑、安装工程施工及验收规范，施工操作规程和质量检验标准。</w:t>
      </w:r>
    </w:p>
    <w:p>
      <w:pPr>
        <w:pStyle w:val="62"/>
        <w:spacing w:before="120" w:after="120" w:line="360" w:lineRule="auto"/>
        <w:ind w:left="0" w:right="0"/>
        <w:rPr>
          <w:rFonts w:hint="eastAsia"/>
          <w:color w:val="000000"/>
          <w:sz w:val="24"/>
          <w:szCs w:val="24"/>
        </w:rPr>
      </w:pPr>
      <w:r>
        <w:rPr>
          <w:rFonts w:hint="eastAsia"/>
          <w:color w:val="000000"/>
          <w:sz w:val="24"/>
          <w:szCs w:val="24"/>
        </w:rPr>
        <w:t>　　发包人提供标准、规范的时间：</w:t>
      </w:r>
      <w:r>
        <w:rPr>
          <w:rFonts w:hint="eastAsia"/>
          <w:color w:val="000000"/>
          <w:sz w:val="24"/>
          <w:szCs w:val="24"/>
          <w:u w:val="single"/>
        </w:rPr>
        <w:t>无</w:t>
      </w:r>
    </w:p>
    <w:p>
      <w:pPr>
        <w:pStyle w:val="62"/>
        <w:spacing w:before="120" w:after="120" w:line="360" w:lineRule="auto"/>
        <w:ind w:left="0" w:right="0"/>
        <w:rPr>
          <w:rFonts w:hint="eastAsia"/>
          <w:color w:val="000000"/>
          <w:sz w:val="24"/>
          <w:szCs w:val="24"/>
        </w:rPr>
      </w:pPr>
      <w:r>
        <w:rPr>
          <w:rFonts w:hint="eastAsia"/>
          <w:color w:val="000000"/>
          <w:sz w:val="24"/>
          <w:szCs w:val="24"/>
        </w:rPr>
        <w:t>　　国内没有相应标准、规范时的约定：</w:t>
      </w:r>
      <w:r>
        <w:rPr>
          <w:rFonts w:hint="eastAsia"/>
          <w:color w:val="000000"/>
          <w:sz w:val="24"/>
          <w:szCs w:val="24"/>
          <w:u w:val="single"/>
        </w:rPr>
        <w:t>无</w:t>
      </w:r>
    </w:p>
    <w:p>
      <w:pPr>
        <w:pStyle w:val="62"/>
        <w:spacing w:before="120" w:after="120" w:line="360" w:lineRule="auto"/>
        <w:ind w:left="0" w:right="0"/>
        <w:rPr>
          <w:color w:val="000000"/>
          <w:sz w:val="24"/>
          <w:szCs w:val="24"/>
        </w:rPr>
      </w:pPr>
      <w:r>
        <w:rPr>
          <w:rFonts w:hint="eastAsia"/>
          <w:color w:val="000000"/>
          <w:sz w:val="24"/>
          <w:szCs w:val="24"/>
        </w:rPr>
        <w:t>　　4、图纸</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w:t>
      </w:r>
      <w:r>
        <w:rPr>
          <w:color w:val="000000"/>
          <w:sz w:val="24"/>
          <w:szCs w:val="24"/>
        </w:rPr>
        <w:t>4.1</w:t>
      </w:r>
      <w:r>
        <w:rPr>
          <w:rFonts w:hint="eastAsia"/>
          <w:color w:val="000000"/>
          <w:sz w:val="24"/>
          <w:szCs w:val="24"/>
        </w:rPr>
        <w:t>发包人向承包人提供图纸日期和套数：</w:t>
      </w:r>
      <w:r>
        <w:rPr>
          <w:rFonts w:hint="eastAsia"/>
          <w:color w:val="000000"/>
          <w:sz w:val="24"/>
          <w:szCs w:val="24"/>
          <w:u w:val="single"/>
        </w:rPr>
        <w:t>于开工前提供三套施工图</w:t>
      </w:r>
    </w:p>
    <w:p>
      <w:pPr>
        <w:pStyle w:val="62"/>
        <w:spacing w:before="120" w:after="120" w:line="360" w:lineRule="auto"/>
        <w:ind w:left="0" w:right="0"/>
        <w:rPr>
          <w:rFonts w:hint="eastAsia"/>
          <w:color w:val="000000"/>
          <w:sz w:val="24"/>
          <w:szCs w:val="24"/>
        </w:rPr>
      </w:pPr>
      <w:r>
        <w:rPr>
          <w:rFonts w:hint="eastAsia"/>
          <w:color w:val="000000"/>
          <w:sz w:val="24"/>
          <w:szCs w:val="24"/>
        </w:rPr>
        <w:t>　　发包人对图纸的保密要求：</w:t>
      </w:r>
      <w:r>
        <w:rPr>
          <w:rFonts w:hint="eastAsia"/>
          <w:color w:val="000000"/>
          <w:sz w:val="24"/>
          <w:szCs w:val="24"/>
          <w:u w:val="single"/>
        </w:rPr>
        <w:t>保密</w:t>
      </w:r>
    </w:p>
    <w:p>
      <w:pPr>
        <w:pStyle w:val="62"/>
        <w:spacing w:before="120" w:after="120" w:line="360" w:lineRule="auto"/>
        <w:ind w:left="0" w:right="0"/>
        <w:rPr>
          <w:rFonts w:hint="eastAsia"/>
          <w:color w:val="000000"/>
          <w:sz w:val="24"/>
          <w:szCs w:val="24"/>
        </w:rPr>
      </w:pPr>
      <w:r>
        <w:rPr>
          <w:color w:val="000000"/>
          <w:sz w:val="24"/>
          <w:szCs w:val="24"/>
        </w:rPr>
        <w:t> </w:t>
      </w:r>
      <w:r>
        <w:rPr>
          <w:rFonts w:hint="eastAsia"/>
          <w:color w:val="000000"/>
          <w:sz w:val="24"/>
          <w:szCs w:val="24"/>
        </w:rPr>
        <w:t>　　使用国外图纸的要求及费用承担：</w:t>
      </w:r>
      <w:r>
        <w:rPr>
          <w:rFonts w:hint="eastAsia"/>
          <w:color w:val="000000"/>
          <w:sz w:val="24"/>
          <w:szCs w:val="24"/>
          <w:u w:val="single"/>
        </w:rPr>
        <w:t>无</w:t>
      </w:r>
    </w:p>
    <w:p>
      <w:pPr>
        <w:pStyle w:val="62"/>
        <w:spacing w:before="120" w:after="120" w:line="360" w:lineRule="auto"/>
        <w:ind w:left="0" w:right="0"/>
        <w:rPr>
          <w:color w:val="000000"/>
          <w:sz w:val="24"/>
          <w:szCs w:val="24"/>
        </w:rPr>
      </w:pPr>
      <w:r>
        <w:rPr>
          <w:rFonts w:hint="eastAsia"/>
          <w:color w:val="000000"/>
          <w:sz w:val="24"/>
          <w:szCs w:val="24"/>
        </w:rPr>
        <w:t>　　二、双方一般权利和义务</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5、工程师</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w:t>
      </w:r>
      <w:r>
        <w:rPr>
          <w:color w:val="000000"/>
          <w:sz w:val="24"/>
          <w:szCs w:val="24"/>
        </w:rPr>
        <w:t>5.2</w:t>
      </w:r>
      <w:r>
        <w:rPr>
          <w:rFonts w:hint="eastAsia"/>
          <w:color w:val="000000"/>
          <w:sz w:val="24"/>
          <w:szCs w:val="24"/>
        </w:rPr>
        <w:t>监理单位委派的工程师</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姓名：</w:t>
      </w:r>
      <w:r>
        <w:rPr>
          <w:rFonts w:hint="eastAsia"/>
          <w:color w:val="000000"/>
          <w:sz w:val="24"/>
          <w:szCs w:val="24"/>
          <w:u w:val="single"/>
        </w:rPr>
        <w:t xml:space="preserve"> </w:t>
      </w:r>
      <w:r>
        <w:rPr>
          <w:rFonts w:hint="eastAsia"/>
          <w:color w:val="000000"/>
          <w:sz w:val="24"/>
          <w:szCs w:val="24"/>
          <w:u w:val="single"/>
          <w:lang w:val="en-US" w:eastAsia="zh-CN"/>
        </w:rPr>
        <w:t xml:space="preserve">     </w:t>
      </w:r>
      <w:r>
        <w:rPr>
          <w:color w:val="000000"/>
          <w:sz w:val="24"/>
          <w:szCs w:val="24"/>
        </w:rPr>
        <w:t>__</w:t>
      </w:r>
      <w:r>
        <w:rPr>
          <w:rFonts w:hint="eastAsia"/>
          <w:color w:val="000000"/>
          <w:sz w:val="24"/>
          <w:szCs w:val="24"/>
        </w:rPr>
        <w:t>职务：</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rPr>
        <w:t xml:space="preserve"> 发包人委托的职权：</w:t>
      </w:r>
      <w:r>
        <w:rPr>
          <w:rFonts w:hint="eastAsia"/>
          <w:sz w:val="24"/>
          <w:szCs w:val="24"/>
          <w:u w:val="single"/>
        </w:rPr>
        <w:t xml:space="preserve">  代表建设单位对工程进度、质量、造价控制、设备材料、安全等方面进行监督与管理。 </w:t>
      </w:r>
    </w:p>
    <w:p>
      <w:pPr>
        <w:pStyle w:val="62"/>
        <w:spacing w:before="120" w:after="120" w:line="360" w:lineRule="auto"/>
        <w:ind w:left="0" w:right="0"/>
        <w:rPr>
          <w:color w:val="000000"/>
          <w:sz w:val="24"/>
          <w:szCs w:val="24"/>
        </w:rPr>
      </w:pPr>
      <w:r>
        <w:rPr>
          <w:rFonts w:hint="eastAsia"/>
          <w:color w:val="000000"/>
          <w:sz w:val="24"/>
          <w:szCs w:val="24"/>
        </w:rPr>
        <w:t>　　需要取得发包人批准才能行使的职权：</w:t>
      </w:r>
      <w:r>
        <w:rPr>
          <w:rFonts w:hint="eastAsia"/>
          <w:color w:val="000000"/>
          <w:sz w:val="24"/>
          <w:szCs w:val="24"/>
          <w:u w:val="single"/>
        </w:rPr>
        <w:t>　　签署洽商变更必须经建设单位批准　　</w:t>
      </w:r>
    </w:p>
    <w:p>
      <w:pPr>
        <w:pStyle w:val="62"/>
        <w:spacing w:before="120" w:after="120" w:line="360" w:lineRule="auto"/>
        <w:ind w:left="0" w:right="0"/>
        <w:rPr>
          <w:color w:val="000000"/>
          <w:sz w:val="24"/>
          <w:szCs w:val="24"/>
        </w:rPr>
      </w:pPr>
      <w:r>
        <w:rPr>
          <w:color w:val="000000"/>
          <w:sz w:val="24"/>
          <w:szCs w:val="24"/>
        </w:rPr>
        <w:t> </w:t>
      </w:r>
      <w:r>
        <w:rPr>
          <w:rFonts w:hint="eastAsia"/>
          <w:color w:val="000000"/>
          <w:sz w:val="24"/>
          <w:szCs w:val="24"/>
        </w:rPr>
        <w:t>　　</w:t>
      </w:r>
      <w:r>
        <w:rPr>
          <w:color w:val="000000"/>
          <w:sz w:val="24"/>
          <w:szCs w:val="24"/>
        </w:rPr>
        <w:t>5.3</w:t>
      </w:r>
      <w:r>
        <w:rPr>
          <w:rFonts w:hint="eastAsia"/>
          <w:color w:val="000000"/>
          <w:sz w:val="24"/>
          <w:szCs w:val="24"/>
        </w:rPr>
        <w:t>发包人派驻的工程师</w:t>
      </w:r>
      <w:r>
        <w:rPr>
          <w:color w:val="000000"/>
          <w:sz w:val="24"/>
          <w:szCs w:val="24"/>
        </w:rPr>
        <w:t xml:space="preserve"> </w:t>
      </w:r>
    </w:p>
    <w:p>
      <w:pPr>
        <w:pStyle w:val="62"/>
        <w:spacing w:before="120" w:after="120" w:line="360" w:lineRule="auto"/>
        <w:ind w:left="0" w:right="0"/>
        <w:rPr>
          <w:rFonts w:hint="eastAsia"/>
          <w:color w:val="000000"/>
          <w:sz w:val="24"/>
          <w:szCs w:val="24"/>
        </w:rPr>
      </w:pPr>
      <w:r>
        <w:rPr>
          <w:rFonts w:hint="eastAsia"/>
          <w:color w:val="000000"/>
          <w:sz w:val="24"/>
          <w:szCs w:val="24"/>
        </w:rPr>
        <w:t>　　姓名：</w:t>
      </w:r>
      <w:r>
        <w:rPr>
          <w:color w:val="000000"/>
          <w:sz w:val="24"/>
          <w:szCs w:val="24"/>
        </w:rPr>
        <w:t>________</w:t>
      </w:r>
      <w:r>
        <w:rPr>
          <w:rFonts w:hint="eastAsia"/>
          <w:color w:val="000000"/>
          <w:sz w:val="24"/>
          <w:szCs w:val="24"/>
        </w:rPr>
        <w:t>职务：</w:t>
      </w:r>
      <w:r>
        <w:rPr>
          <w:rFonts w:hint="eastAsia"/>
          <w:color w:val="000000"/>
          <w:sz w:val="24"/>
          <w:szCs w:val="24"/>
          <w:u w:val="single"/>
        </w:rPr>
        <w:t>　甲方代表　　</w:t>
      </w:r>
      <w:r>
        <w:rPr>
          <w:rFonts w:hint="eastAsia"/>
          <w:color w:val="000000"/>
          <w:sz w:val="24"/>
          <w:szCs w:val="24"/>
        </w:rPr>
        <w:t>　职权：</w:t>
      </w:r>
      <w:r>
        <w:rPr>
          <w:rFonts w:hint="eastAsia"/>
          <w:color w:val="000000"/>
          <w:sz w:val="24"/>
          <w:szCs w:val="24"/>
          <w:u w:val="single"/>
        </w:rPr>
        <w:t>代表建设单位处理工程施工中的问题</w:t>
      </w:r>
    </w:p>
    <w:p>
      <w:pPr>
        <w:pStyle w:val="62"/>
        <w:spacing w:before="120" w:after="120" w:line="360" w:lineRule="auto"/>
        <w:ind w:left="0" w:right="0"/>
        <w:rPr>
          <w:color w:val="000000"/>
          <w:sz w:val="24"/>
          <w:szCs w:val="24"/>
        </w:rPr>
      </w:pPr>
      <w:r>
        <w:rPr>
          <w:rFonts w:hint="eastAsia"/>
          <w:color w:val="000000"/>
          <w:sz w:val="24"/>
          <w:szCs w:val="24"/>
        </w:rPr>
        <w:t>　　7、项目经理</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姓名：</w:t>
      </w:r>
      <w:r>
        <w:rPr>
          <w:color w:val="000000"/>
          <w:sz w:val="24"/>
          <w:szCs w:val="24"/>
        </w:rPr>
        <w:t>________________</w:t>
      </w:r>
      <w:r>
        <w:rPr>
          <w:rFonts w:hint="eastAsia"/>
          <w:color w:val="000000"/>
          <w:sz w:val="24"/>
          <w:szCs w:val="24"/>
        </w:rPr>
        <w:t>职务：</w:t>
      </w:r>
      <w:r>
        <w:rPr>
          <w:rFonts w:hint="eastAsia"/>
          <w:color w:val="000000"/>
          <w:sz w:val="24"/>
          <w:szCs w:val="24"/>
          <w:u w:val="single"/>
        </w:rPr>
        <w:t xml:space="preserve">  项目经理   </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8、发包人工作</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w:t>
      </w:r>
      <w:r>
        <w:rPr>
          <w:color w:val="000000"/>
          <w:sz w:val="24"/>
          <w:szCs w:val="24"/>
        </w:rPr>
        <w:t>8.1</w:t>
      </w:r>
      <w:r>
        <w:rPr>
          <w:rFonts w:hint="eastAsia"/>
          <w:color w:val="000000"/>
          <w:sz w:val="24"/>
          <w:szCs w:val="24"/>
        </w:rPr>
        <w:t>发包人应按约定的时间和要求完成以下工作：</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）施工场地具备施工条件的要求及完成的时间：</w:t>
      </w:r>
      <w:r>
        <w:rPr>
          <w:rFonts w:hint="eastAsia"/>
          <w:color w:val="000000"/>
          <w:sz w:val="24"/>
          <w:szCs w:val="24"/>
          <w:u w:val="single"/>
        </w:rPr>
        <w:t>开工前15日完成</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）将施工所需的水、电、电讯线路接至施工场地的时间、地点和供应要求：</w:t>
      </w:r>
      <w:r>
        <w:rPr>
          <w:rFonts w:hint="eastAsia"/>
          <w:color w:val="000000"/>
          <w:sz w:val="24"/>
          <w:szCs w:val="24"/>
          <w:u w:val="single"/>
        </w:rPr>
        <w:t>开工前15日完成</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）施工场地与公共道路的通道开通时间和要求：</w:t>
      </w:r>
      <w:r>
        <w:rPr>
          <w:rFonts w:hint="eastAsia"/>
          <w:color w:val="000000"/>
          <w:sz w:val="24"/>
          <w:szCs w:val="24"/>
          <w:u w:val="single"/>
        </w:rPr>
        <w:t>开工前15日完成</w:t>
      </w:r>
    </w:p>
    <w:p>
      <w:pPr>
        <w:pStyle w:val="62"/>
        <w:spacing w:before="120" w:after="120" w:line="360" w:lineRule="auto"/>
        <w:ind w:left="0" w:right="0"/>
        <w:rPr>
          <w:rFonts w:hint="eastAsia"/>
          <w:color w:val="000000"/>
          <w:sz w:val="24"/>
          <w:szCs w:val="24"/>
          <w:u w:val="single"/>
        </w:rPr>
      </w:pPr>
      <w:r>
        <w:rPr>
          <w:rFonts w:hint="eastAsia"/>
          <w:color w:val="000000"/>
          <w:sz w:val="24"/>
          <w:szCs w:val="24"/>
        </w:rPr>
        <w:t>　　（</w:t>
      </w:r>
      <w:r>
        <w:rPr>
          <w:color w:val="000000"/>
          <w:sz w:val="24"/>
          <w:szCs w:val="24"/>
        </w:rPr>
        <w:t>4</w:t>
      </w:r>
      <w:r>
        <w:rPr>
          <w:rFonts w:hint="eastAsia"/>
          <w:color w:val="000000"/>
          <w:sz w:val="24"/>
          <w:szCs w:val="24"/>
        </w:rPr>
        <w:t>）工程地质和地下管线资料的提供时间：</w:t>
      </w:r>
      <w:r>
        <w:rPr>
          <w:rFonts w:hint="eastAsia"/>
          <w:color w:val="000000"/>
          <w:sz w:val="24"/>
          <w:szCs w:val="24"/>
          <w:u w:val="single"/>
        </w:rPr>
        <w:t>本工程无所述资料</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5</w:t>
      </w:r>
      <w:r>
        <w:rPr>
          <w:rFonts w:hint="eastAsia"/>
          <w:color w:val="000000"/>
          <w:sz w:val="24"/>
          <w:szCs w:val="24"/>
        </w:rPr>
        <w:t>）由发包人办理的施工所需证件、批件的名称和完成时间：</w:t>
      </w:r>
      <w:r>
        <w:rPr>
          <w:rFonts w:hint="eastAsia"/>
          <w:color w:val="000000"/>
          <w:sz w:val="24"/>
          <w:szCs w:val="24"/>
          <w:u w:val="single"/>
        </w:rPr>
        <w:t>开工前15日完成</w:t>
      </w:r>
    </w:p>
    <w:p>
      <w:pPr>
        <w:pStyle w:val="62"/>
        <w:spacing w:before="120" w:after="120" w:line="360" w:lineRule="auto"/>
        <w:ind w:left="0" w:right="0"/>
        <w:rPr>
          <w:color w:val="000000"/>
          <w:sz w:val="24"/>
          <w:szCs w:val="24"/>
        </w:rPr>
      </w:pPr>
      <w:r>
        <w:rPr>
          <w:rFonts w:hint="eastAsia"/>
          <w:color w:val="000000"/>
          <w:sz w:val="24"/>
          <w:szCs w:val="24"/>
        </w:rPr>
        <w:t>　　（</w:t>
      </w:r>
      <w:r>
        <w:rPr>
          <w:color w:val="000000"/>
          <w:sz w:val="24"/>
          <w:szCs w:val="24"/>
        </w:rPr>
        <w:t>6</w:t>
      </w:r>
      <w:r>
        <w:rPr>
          <w:rFonts w:hint="eastAsia"/>
          <w:color w:val="000000"/>
          <w:sz w:val="24"/>
          <w:szCs w:val="24"/>
        </w:rPr>
        <w:t>）水准点与坐标控制点交验要求：</w:t>
      </w:r>
      <w:r>
        <w:rPr>
          <w:rFonts w:hint="eastAsia"/>
          <w:color w:val="000000"/>
          <w:sz w:val="24"/>
          <w:szCs w:val="24"/>
          <w:u w:val="single"/>
        </w:rPr>
        <w:t>开工前15日完成</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7</w:t>
      </w:r>
      <w:r>
        <w:rPr>
          <w:rFonts w:hint="eastAsia"/>
          <w:color w:val="000000"/>
          <w:sz w:val="24"/>
          <w:szCs w:val="24"/>
        </w:rPr>
        <w:t>）图纸会审和设计交底时间：</w:t>
      </w:r>
      <w:r>
        <w:rPr>
          <w:rFonts w:hint="eastAsia"/>
          <w:color w:val="000000"/>
          <w:sz w:val="24"/>
          <w:szCs w:val="24"/>
          <w:u w:val="single"/>
        </w:rPr>
        <w:t>开工前15日。</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8</w:t>
      </w:r>
      <w:r>
        <w:rPr>
          <w:rFonts w:hint="eastAsia"/>
          <w:color w:val="000000"/>
          <w:sz w:val="24"/>
          <w:szCs w:val="24"/>
        </w:rPr>
        <w:t>）协调处理施工场地周围地下管线和邻近建筑物、构筑物（含文物保护建筑）、古树名木的保护工作：</w:t>
      </w:r>
      <w:r>
        <w:rPr>
          <w:rFonts w:hint="eastAsia"/>
          <w:color w:val="000000"/>
          <w:sz w:val="24"/>
          <w:szCs w:val="24"/>
          <w:u w:val="single"/>
        </w:rPr>
        <w:t>开工前15日完成</w:t>
      </w:r>
    </w:p>
    <w:p>
      <w:pPr>
        <w:pStyle w:val="62"/>
        <w:spacing w:before="120" w:after="120" w:line="360" w:lineRule="auto"/>
        <w:ind w:left="0" w:right="0" w:firstLine="420"/>
        <w:rPr>
          <w:rFonts w:hint="eastAsia"/>
          <w:color w:val="000000"/>
          <w:sz w:val="24"/>
          <w:szCs w:val="24"/>
          <w:u w:val="single"/>
        </w:rPr>
      </w:pPr>
      <w:r>
        <w:rPr>
          <w:rFonts w:hint="eastAsia"/>
          <w:color w:val="000000"/>
          <w:sz w:val="24"/>
          <w:szCs w:val="24"/>
        </w:rPr>
        <w:t>（</w:t>
      </w:r>
      <w:r>
        <w:rPr>
          <w:color w:val="000000"/>
          <w:sz w:val="24"/>
          <w:szCs w:val="24"/>
        </w:rPr>
        <w:t>9</w:t>
      </w:r>
      <w:r>
        <w:rPr>
          <w:rFonts w:hint="eastAsia"/>
          <w:color w:val="000000"/>
          <w:sz w:val="24"/>
          <w:szCs w:val="24"/>
        </w:rPr>
        <w:t>）双方约定发包人应做的其他工作：</w:t>
      </w:r>
      <w:r>
        <w:rPr>
          <w:rFonts w:hint="eastAsia"/>
          <w:color w:val="000000"/>
          <w:sz w:val="24"/>
          <w:szCs w:val="24"/>
          <w:u w:val="single"/>
        </w:rPr>
        <w:t>另行商定。</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8.2</w:t>
      </w:r>
      <w:r>
        <w:rPr>
          <w:rFonts w:hint="eastAsia"/>
          <w:color w:val="000000"/>
          <w:sz w:val="24"/>
          <w:szCs w:val="24"/>
        </w:rPr>
        <w:t>发包人委托承包人办理的工作：</w:t>
      </w:r>
      <w:r>
        <w:rPr>
          <w:rFonts w:hint="eastAsia"/>
          <w:color w:val="000000"/>
          <w:sz w:val="24"/>
          <w:szCs w:val="24"/>
          <w:u w:val="single"/>
        </w:rPr>
        <w:t xml:space="preserve">  无  </w:t>
      </w:r>
    </w:p>
    <w:p>
      <w:pPr>
        <w:pStyle w:val="62"/>
        <w:spacing w:before="120" w:after="120" w:line="360" w:lineRule="auto"/>
        <w:ind w:left="0" w:right="0" w:firstLine="420"/>
        <w:rPr>
          <w:rFonts w:hint="eastAsia"/>
          <w:color w:val="000000"/>
          <w:sz w:val="24"/>
          <w:szCs w:val="24"/>
        </w:rPr>
      </w:pPr>
      <w:r>
        <w:rPr>
          <w:rFonts w:hint="eastAsia"/>
          <w:color w:val="000000"/>
          <w:sz w:val="24"/>
          <w:szCs w:val="24"/>
        </w:rPr>
        <w:t>9、承包人工作</w:t>
      </w:r>
    </w:p>
    <w:p>
      <w:pPr>
        <w:pStyle w:val="62"/>
        <w:spacing w:before="120" w:after="120" w:line="360" w:lineRule="auto"/>
        <w:ind w:left="0" w:right="0" w:firstLine="420"/>
        <w:rPr>
          <w:rFonts w:hint="eastAsia"/>
          <w:color w:val="000000"/>
          <w:sz w:val="24"/>
          <w:szCs w:val="24"/>
        </w:rPr>
      </w:pPr>
      <w:r>
        <w:rPr>
          <w:color w:val="000000"/>
          <w:sz w:val="24"/>
          <w:szCs w:val="24"/>
        </w:rPr>
        <w:t>9.1</w:t>
      </w:r>
      <w:r>
        <w:rPr>
          <w:rFonts w:hint="eastAsia"/>
          <w:color w:val="000000"/>
          <w:sz w:val="24"/>
          <w:szCs w:val="24"/>
        </w:rPr>
        <w:t>承包人应按约定时间和要求，完成以下工作：</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）需由设计资质等级和业务范围允许的承包人完成的设计文件提交时间：</w:t>
      </w:r>
      <w:r>
        <w:rPr>
          <w:rFonts w:hint="eastAsia"/>
          <w:color w:val="000000"/>
          <w:sz w:val="24"/>
          <w:szCs w:val="24"/>
          <w:u w:val="single"/>
        </w:rPr>
        <w:t>开工前，承包人须根据图纸设计意图及现场踏勘情况对图纸中不足内容进行完善和深化，但不得低于设计标准及相关规范要求；如承包人设计资质和业务范围不能完成此设计，承包人应找具有相应资质的设计单位完善项目内容，完善设计所发生的费用列入报价中，不进行追加；完善的内容须经发包人及原设计人签字同意后方可实施。</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）应提供计划、报表的名称及完成时间：</w:t>
      </w:r>
      <w:r>
        <w:rPr>
          <w:rFonts w:hint="eastAsia"/>
          <w:color w:val="000000"/>
          <w:sz w:val="24"/>
          <w:szCs w:val="24"/>
          <w:u w:val="single"/>
        </w:rPr>
        <w:t>每月初5日前提供月度工程进度计划报表。</w:t>
      </w:r>
    </w:p>
    <w:p>
      <w:pPr>
        <w:spacing w:line="360" w:lineRule="auto"/>
        <w:rPr>
          <w:rFonts w:hint="eastAsia"/>
          <w:color w:val="000000"/>
          <w:kern w:val="0"/>
          <w:sz w:val="24"/>
          <w:szCs w:val="24"/>
        </w:rPr>
      </w:pPr>
      <w:r>
        <w:rPr>
          <w:rFonts w:hint="eastAsia"/>
          <w:color w:val="000000"/>
          <w:kern w:val="0"/>
          <w:sz w:val="24"/>
          <w:szCs w:val="24"/>
        </w:rPr>
        <w:t>　　（</w:t>
      </w:r>
      <w:r>
        <w:rPr>
          <w:color w:val="000000"/>
          <w:kern w:val="0"/>
          <w:sz w:val="24"/>
          <w:szCs w:val="24"/>
        </w:rPr>
        <w:t>3</w:t>
      </w:r>
      <w:r>
        <w:rPr>
          <w:rFonts w:hint="eastAsia"/>
          <w:color w:val="000000"/>
          <w:kern w:val="0"/>
          <w:sz w:val="24"/>
          <w:szCs w:val="24"/>
        </w:rPr>
        <w:t>）承担施工安全保卫工作及非夜间施工照明的责任和要求：</w:t>
      </w:r>
      <w:r>
        <w:rPr>
          <w:rFonts w:hint="eastAsia"/>
          <w:color w:val="000000"/>
          <w:kern w:val="0"/>
          <w:sz w:val="24"/>
          <w:szCs w:val="24"/>
          <w:u w:val="single"/>
        </w:rPr>
        <w:t>按“通用条款”二、9.1(3)款办理，</w:t>
      </w:r>
      <w:r>
        <w:rPr>
          <w:rFonts w:hint="eastAsia"/>
          <w:color w:val="000000"/>
          <w:sz w:val="24"/>
          <w:szCs w:val="24"/>
          <w:u w:val="single"/>
        </w:rPr>
        <w:t>费用列入报价中，</w:t>
      </w:r>
      <w:r>
        <w:rPr>
          <w:rFonts w:hint="eastAsia"/>
          <w:color w:val="000000"/>
          <w:kern w:val="0"/>
          <w:sz w:val="24"/>
          <w:szCs w:val="24"/>
          <w:u w:val="single"/>
        </w:rPr>
        <w:t>不进行追加</w:t>
      </w:r>
    </w:p>
    <w:p>
      <w:pPr>
        <w:pStyle w:val="62"/>
        <w:spacing w:before="120" w:after="120" w:line="360" w:lineRule="auto"/>
        <w:ind w:left="0" w:right="0" w:firstLine="420"/>
        <w:rPr>
          <w:rFonts w:hint="eastAsia"/>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）向发包人提供的办公和生活房屋及设施的要求：</w:t>
      </w:r>
      <w:r>
        <w:rPr>
          <w:rFonts w:hint="eastAsia"/>
          <w:color w:val="000000"/>
          <w:sz w:val="24"/>
          <w:szCs w:val="24"/>
          <w:u w:val="single"/>
        </w:rPr>
        <w:t>提供给发包人、监理单位办公用房和生活房屋及设施</w:t>
      </w:r>
    </w:p>
    <w:p>
      <w:pPr>
        <w:pStyle w:val="62"/>
        <w:spacing w:before="120" w:after="120" w:line="360" w:lineRule="auto"/>
        <w:ind w:left="0" w:right="0" w:firstLine="420"/>
        <w:rPr>
          <w:rFonts w:hint="eastAsia"/>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）需承包人办理的有关施工场地交通、环卫和施工噪音管理等手续：</w:t>
      </w:r>
      <w:r>
        <w:rPr>
          <w:rFonts w:hint="eastAsia"/>
          <w:color w:val="000000"/>
          <w:sz w:val="24"/>
          <w:szCs w:val="24"/>
          <w:u w:val="single"/>
        </w:rPr>
        <w:t>承包人处理，发包人协助，费用列入报价中，不进行追加</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6</w:t>
      </w:r>
      <w:r>
        <w:rPr>
          <w:rFonts w:hint="eastAsia"/>
          <w:color w:val="000000"/>
          <w:sz w:val="24"/>
          <w:szCs w:val="24"/>
        </w:rPr>
        <w:t>）已完工程成品保护的特殊要求及费用承担：</w:t>
      </w:r>
      <w:r>
        <w:rPr>
          <w:rFonts w:hint="eastAsia"/>
          <w:color w:val="000000"/>
          <w:sz w:val="24"/>
          <w:szCs w:val="24"/>
          <w:u w:val="single"/>
        </w:rPr>
        <w:t>按“通用条款”二、9.1（6）款办理。</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7</w:t>
      </w:r>
      <w:r>
        <w:rPr>
          <w:rFonts w:hint="eastAsia"/>
          <w:color w:val="000000"/>
          <w:sz w:val="24"/>
          <w:szCs w:val="24"/>
        </w:rPr>
        <w:t>）施工场地周围地下管线和邻近建筑物、构筑物（含文物保护建筑）、古树名木的保护要求及费用承担：如需承包人实施，发包人办理委托手续，并承担相关费用。</w:t>
      </w:r>
    </w:p>
    <w:p>
      <w:pPr>
        <w:pStyle w:val="62"/>
        <w:spacing w:before="120" w:after="120" w:line="360" w:lineRule="auto"/>
        <w:ind w:left="0" w:right="0" w:firstLine="420"/>
        <w:rPr>
          <w:rFonts w:hint="eastAsia"/>
          <w:color w:val="000000"/>
          <w:sz w:val="24"/>
          <w:szCs w:val="24"/>
        </w:rPr>
      </w:pPr>
      <w:r>
        <w:rPr>
          <w:rFonts w:hint="eastAsia"/>
          <w:color w:val="000000"/>
          <w:sz w:val="24"/>
          <w:szCs w:val="24"/>
        </w:rPr>
        <w:t>（</w:t>
      </w:r>
      <w:r>
        <w:rPr>
          <w:color w:val="000000"/>
          <w:sz w:val="24"/>
          <w:szCs w:val="24"/>
        </w:rPr>
        <w:t>8</w:t>
      </w:r>
      <w:r>
        <w:rPr>
          <w:rFonts w:hint="eastAsia"/>
          <w:color w:val="000000"/>
          <w:sz w:val="24"/>
          <w:szCs w:val="24"/>
        </w:rPr>
        <w:t>）施工场地清洁卫生的要求：按“通用条款”二、9.1（8）办理。</w:t>
      </w:r>
    </w:p>
    <w:p>
      <w:pPr>
        <w:ind w:firstLine="480" w:firstLineChars="200"/>
        <w:rPr>
          <w:rFonts w:hint="eastAsia"/>
          <w:sz w:val="24"/>
          <w:szCs w:val="24"/>
        </w:rPr>
      </w:pPr>
      <w:r>
        <w:rPr>
          <w:rFonts w:hint="eastAsia"/>
          <w:sz w:val="24"/>
          <w:szCs w:val="24"/>
        </w:rPr>
        <w:t>（9）</w:t>
      </w:r>
      <w:r>
        <w:rPr>
          <w:rFonts w:hint="eastAsia"/>
          <w:kern w:val="0"/>
          <w:sz w:val="24"/>
          <w:szCs w:val="24"/>
        </w:rPr>
        <w:t>施工条件具备，手续办理，扰民，民扰，夜间施工，雨季施工，冬季施工等情况承包人进行处理，发包人协助，不追加费用</w:t>
      </w:r>
    </w:p>
    <w:p>
      <w:pPr>
        <w:pStyle w:val="62"/>
        <w:spacing w:before="120" w:after="120" w:line="360" w:lineRule="auto"/>
        <w:ind w:left="0" w:right="0" w:firstLine="420"/>
        <w:rPr>
          <w:rFonts w:hint="eastAsia"/>
          <w:color w:val="000000"/>
          <w:sz w:val="24"/>
          <w:szCs w:val="24"/>
        </w:rPr>
      </w:pPr>
      <w:r>
        <w:rPr>
          <w:rFonts w:hint="eastAsia"/>
          <w:color w:val="000000"/>
          <w:sz w:val="24"/>
          <w:szCs w:val="24"/>
        </w:rPr>
        <w:t>（10）承包人应考虑不可预见费及包干费</w:t>
      </w:r>
    </w:p>
    <w:p>
      <w:pPr>
        <w:pStyle w:val="62"/>
        <w:spacing w:before="120" w:after="120" w:line="360" w:lineRule="auto"/>
        <w:ind w:left="0" w:right="0" w:firstLine="420"/>
        <w:rPr>
          <w:rFonts w:hint="eastAsia"/>
          <w:color w:val="000000"/>
          <w:sz w:val="24"/>
          <w:szCs w:val="24"/>
        </w:rPr>
      </w:pPr>
      <w:r>
        <w:rPr>
          <w:rFonts w:hint="eastAsia"/>
          <w:color w:val="000000"/>
          <w:sz w:val="24"/>
          <w:szCs w:val="24"/>
        </w:rPr>
        <w:t>（11）承包人应为完成合同而设置合理可行的现场施工项目经理部，并为此配备满足施工需要数量的具有足够经验、认真负责、精干称职的管理人员和技术人员。承包人须提供拟派本项目班子主要负责人的详细情况。除非事先获得发包人同意，承包人不得更换或撤回主要管理人员和技术人员。当发包人有实际证据并要求承包人更换不合适或不称职的现场管理人员时，承包人应自接到通知起</w:t>
      </w:r>
      <w:r>
        <w:rPr>
          <w:color w:val="000000"/>
          <w:sz w:val="24"/>
          <w:szCs w:val="24"/>
        </w:rPr>
        <w:t>7</w:t>
      </w:r>
      <w:r>
        <w:rPr>
          <w:rFonts w:hint="eastAsia"/>
          <w:color w:val="000000"/>
          <w:sz w:val="24"/>
          <w:szCs w:val="24"/>
        </w:rPr>
        <w:t>日内完成更换，撤出人员不应再从事与本工程有直接关系的工作。②由承包人负责施工现场的所有临时设施、临时道路、水、电管线等其他设施的修建安装、维护及管理，保证施工的正常运行并承担相应开支。③对于政府有关部门发送发包人的有关于本工程施工现场的任何意见及通知，其中涉及承包人（含建安工程的指定分包人）的，承包人应承担相关责任和工作。④对于承包人在施工过程中有需要发包人配合完成的工作，承包人应于施工总控进度计划中明确表述或提前通知发包人。⑤承包人确认已充分考察了解到了施工现场的使用条件，承担办理施工临建设施报批手续的有关工作。⑥承包人为本合同实施而需要的特殊工种的工人和操作人员应受过专门培训，并取得相应上岗证书。⑦竣工工程未交付之前，由承包人负责工程的成品保护工作，保护期间发生损坏，承包人自费予以修复。⑧严格遵守政府有关部门对施工场地、施工人员、治安、交通、市容环卫、施工噪音以及环保等方面的管理规定，并承担因此发生的费用和因违反规定而受到的各类处罚。</w:t>
      </w:r>
    </w:p>
    <w:p>
      <w:pPr>
        <w:pStyle w:val="62"/>
        <w:spacing w:before="120" w:after="120" w:line="360" w:lineRule="auto"/>
        <w:ind w:left="0" w:right="0"/>
        <w:rPr>
          <w:rFonts w:hint="eastAsia"/>
          <w:color w:val="000000"/>
          <w:sz w:val="24"/>
          <w:szCs w:val="24"/>
        </w:rPr>
      </w:pPr>
      <w:r>
        <w:rPr>
          <w:rFonts w:hint="eastAsia"/>
          <w:color w:val="000000"/>
          <w:sz w:val="24"/>
          <w:szCs w:val="24"/>
        </w:rPr>
        <w:t>　　（12）双方约定承包人应做的其他工作：</w:t>
      </w:r>
      <w:r>
        <w:rPr>
          <w:rFonts w:hint="eastAsia"/>
          <w:color w:val="000000"/>
          <w:sz w:val="24"/>
          <w:szCs w:val="24"/>
          <w:u w:val="single"/>
        </w:rPr>
        <w:t>另行商议。</w:t>
      </w:r>
    </w:p>
    <w:p>
      <w:pPr>
        <w:pStyle w:val="62"/>
        <w:spacing w:before="120" w:after="120" w:line="360" w:lineRule="auto"/>
        <w:ind w:left="0" w:right="0"/>
        <w:rPr>
          <w:color w:val="000000"/>
          <w:sz w:val="24"/>
          <w:szCs w:val="24"/>
        </w:rPr>
      </w:pPr>
      <w:r>
        <w:rPr>
          <w:rFonts w:hint="eastAsia"/>
          <w:color w:val="000000"/>
          <w:sz w:val="24"/>
          <w:szCs w:val="24"/>
        </w:rPr>
        <w:t>　　三、施工组织设计和工期</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10、进度计划</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w:t>
      </w:r>
      <w:r>
        <w:rPr>
          <w:color w:val="000000"/>
          <w:sz w:val="24"/>
          <w:szCs w:val="24"/>
        </w:rPr>
        <w:t>10.1</w:t>
      </w:r>
      <w:r>
        <w:rPr>
          <w:rFonts w:hint="eastAsia"/>
          <w:color w:val="000000"/>
          <w:sz w:val="24"/>
          <w:szCs w:val="24"/>
        </w:rPr>
        <w:t>承包人提供施工组织设计（施工方案）和进度计划的时间：</w:t>
      </w:r>
      <w:r>
        <w:rPr>
          <w:rFonts w:hint="eastAsia"/>
          <w:color w:val="000000"/>
          <w:sz w:val="24"/>
          <w:szCs w:val="24"/>
          <w:u w:val="single"/>
        </w:rPr>
        <w:t>收到施工图纸后7日内提供施工组织设计和总进度计划。每月25日前提供下月进度计划，每周周例会前2天提供周进度计划。</w:t>
      </w:r>
    </w:p>
    <w:p>
      <w:pPr>
        <w:pStyle w:val="62"/>
        <w:spacing w:before="120" w:after="120" w:line="360" w:lineRule="auto"/>
        <w:ind w:left="0" w:right="0"/>
        <w:rPr>
          <w:color w:val="000000"/>
          <w:sz w:val="24"/>
          <w:szCs w:val="24"/>
        </w:rPr>
      </w:pPr>
      <w:r>
        <w:rPr>
          <w:rFonts w:hint="eastAsia"/>
          <w:color w:val="000000"/>
          <w:sz w:val="24"/>
          <w:szCs w:val="24"/>
        </w:rPr>
        <w:t>　　工程师确认的时间：</w:t>
      </w:r>
      <w:r>
        <w:rPr>
          <w:rFonts w:hint="eastAsia"/>
          <w:color w:val="000000"/>
          <w:sz w:val="24"/>
          <w:szCs w:val="24"/>
          <w:u w:val="single"/>
        </w:rPr>
        <w:t>收到施工组织设计和总进度计划后7日后。月计划在收到文件5日内确认，周计划在收到文件2日内确认。</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10.2</w:t>
      </w:r>
      <w:r>
        <w:rPr>
          <w:rFonts w:hint="eastAsia"/>
          <w:color w:val="000000"/>
          <w:sz w:val="24"/>
          <w:szCs w:val="24"/>
        </w:rPr>
        <w:t>群体工程中有关进度计划的要求：</w:t>
      </w:r>
      <w:r>
        <w:rPr>
          <w:rFonts w:hint="eastAsia"/>
          <w:color w:val="000000"/>
          <w:sz w:val="24"/>
          <w:szCs w:val="24"/>
          <w:u w:val="single"/>
        </w:rPr>
        <w:t>无</w:t>
      </w:r>
    </w:p>
    <w:p>
      <w:pPr>
        <w:pStyle w:val="62"/>
        <w:spacing w:before="120" w:after="120" w:line="360" w:lineRule="auto"/>
        <w:ind w:left="0" w:right="0"/>
        <w:rPr>
          <w:color w:val="000000"/>
          <w:sz w:val="24"/>
          <w:szCs w:val="24"/>
        </w:rPr>
      </w:pPr>
      <w:r>
        <w:rPr>
          <w:color w:val="000000"/>
          <w:sz w:val="24"/>
          <w:szCs w:val="24"/>
        </w:rPr>
        <w:t> </w:t>
      </w:r>
      <w:r>
        <w:rPr>
          <w:rFonts w:hint="eastAsia"/>
          <w:color w:val="000000"/>
          <w:sz w:val="24"/>
          <w:szCs w:val="24"/>
        </w:rPr>
        <w:t>　　11、工期延误</w:t>
      </w:r>
      <w:r>
        <w:rPr>
          <w:color w:val="000000"/>
          <w:sz w:val="24"/>
          <w:szCs w:val="24"/>
        </w:rPr>
        <w:t xml:space="preserve"> </w:t>
      </w:r>
    </w:p>
    <w:p>
      <w:pPr>
        <w:pStyle w:val="62"/>
        <w:spacing w:before="120" w:after="120" w:line="360" w:lineRule="auto"/>
        <w:ind w:left="0" w:right="0" w:firstLine="405"/>
        <w:rPr>
          <w:color w:val="000000"/>
          <w:sz w:val="24"/>
          <w:szCs w:val="24"/>
        </w:rPr>
      </w:pPr>
      <w:r>
        <w:rPr>
          <w:color w:val="000000"/>
          <w:sz w:val="24"/>
          <w:szCs w:val="24"/>
        </w:rPr>
        <w:t>1</w:t>
      </w:r>
      <w:r>
        <w:rPr>
          <w:rFonts w:hint="eastAsia"/>
          <w:color w:val="000000"/>
          <w:sz w:val="24"/>
          <w:szCs w:val="24"/>
        </w:rPr>
        <w:t>1</w:t>
      </w:r>
      <w:r>
        <w:rPr>
          <w:color w:val="000000"/>
          <w:sz w:val="24"/>
          <w:szCs w:val="24"/>
        </w:rPr>
        <w:t>.1</w:t>
      </w:r>
      <w:r>
        <w:rPr>
          <w:rFonts w:hint="eastAsia"/>
          <w:color w:val="000000"/>
          <w:sz w:val="24"/>
          <w:szCs w:val="24"/>
        </w:rPr>
        <w:t>双方约定工期顺延的其他情况：</w:t>
      </w:r>
      <w:r>
        <w:rPr>
          <w:rFonts w:hint="eastAsia"/>
          <w:color w:val="000000"/>
          <w:sz w:val="24"/>
          <w:szCs w:val="24"/>
          <w:u w:val="single"/>
        </w:rPr>
        <w:t>按“通用条款”三、13.1款办理。</w:t>
      </w:r>
    </w:p>
    <w:p>
      <w:pPr>
        <w:pStyle w:val="62"/>
        <w:spacing w:before="120" w:after="120" w:line="360" w:lineRule="auto"/>
        <w:ind w:left="0" w:right="0"/>
        <w:rPr>
          <w:color w:val="000000"/>
          <w:sz w:val="24"/>
          <w:szCs w:val="24"/>
        </w:rPr>
      </w:pPr>
      <w:r>
        <w:rPr>
          <w:rFonts w:hint="eastAsia"/>
          <w:color w:val="000000"/>
          <w:sz w:val="24"/>
          <w:szCs w:val="24"/>
        </w:rPr>
        <w:t>　　四、质量与验收</w:t>
      </w:r>
      <w:r>
        <w:rPr>
          <w:color w:val="000000"/>
          <w:sz w:val="24"/>
          <w:szCs w:val="24"/>
        </w:rPr>
        <w:t xml:space="preserve"> </w:t>
      </w:r>
    </w:p>
    <w:p>
      <w:pPr>
        <w:pStyle w:val="62"/>
        <w:spacing w:before="120" w:after="120" w:line="360" w:lineRule="auto"/>
        <w:ind w:left="0" w:right="0"/>
        <w:rPr>
          <w:rFonts w:hint="eastAsia"/>
          <w:color w:val="000000"/>
          <w:sz w:val="24"/>
          <w:szCs w:val="24"/>
        </w:rPr>
      </w:pPr>
      <w:r>
        <w:rPr>
          <w:rFonts w:hint="eastAsia"/>
          <w:color w:val="000000"/>
          <w:sz w:val="24"/>
          <w:szCs w:val="24"/>
        </w:rPr>
        <w:t>　　12、隐蔽工程和中间验收</w:t>
      </w:r>
      <w:r>
        <w:rPr>
          <w:color w:val="000000"/>
          <w:sz w:val="24"/>
          <w:szCs w:val="24"/>
        </w:rPr>
        <w:t xml:space="preserve"> </w:t>
      </w:r>
    </w:p>
    <w:p>
      <w:pPr>
        <w:pStyle w:val="62"/>
        <w:spacing w:before="120" w:after="120" w:line="360" w:lineRule="auto"/>
        <w:ind w:left="0" w:right="0"/>
        <w:rPr>
          <w:rFonts w:hint="eastAsia"/>
          <w:color w:val="000000"/>
          <w:sz w:val="24"/>
          <w:szCs w:val="24"/>
          <w:u w:val="single"/>
        </w:rPr>
      </w:pPr>
      <w:r>
        <w:rPr>
          <w:rFonts w:hint="eastAsia"/>
          <w:color w:val="000000"/>
          <w:sz w:val="24"/>
          <w:szCs w:val="24"/>
        </w:rPr>
        <w:t>　　</w:t>
      </w:r>
      <w:r>
        <w:rPr>
          <w:color w:val="000000"/>
          <w:sz w:val="24"/>
          <w:szCs w:val="24"/>
        </w:rPr>
        <w:t>1</w:t>
      </w:r>
      <w:r>
        <w:rPr>
          <w:rFonts w:hint="eastAsia"/>
          <w:color w:val="000000"/>
          <w:sz w:val="24"/>
          <w:szCs w:val="24"/>
        </w:rPr>
        <w:t>2</w:t>
      </w:r>
      <w:r>
        <w:rPr>
          <w:color w:val="000000"/>
          <w:sz w:val="24"/>
          <w:szCs w:val="24"/>
        </w:rPr>
        <w:t>.1</w:t>
      </w:r>
      <w:r>
        <w:rPr>
          <w:rFonts w:hint="eastAsia"/>
          <w:color w:val="000000"/>
          <w:sz w:val="24"/>
          <w:szCs w:val="24"/>
        </w:rPr>
        <w:t>双方约定中间验收部位：</w:t>
      </w:r>
      <w:r>
        <w:rPr>
          <w:rFonts w:hint="eastAsia"/>
          <w:color w:val="000000"/>
          <w:sz w:val="24"/>
          <w:szCs w:val="24"/>
          <w:u w:val="single"/>
        </w:rPr>
        <w:t>所有隐蔽工程及规范要求部位</w:t>
      </w:r>
    </w:p>
    <w:p>
      <w:pPr>
        <w:pStyle w:val="62"/>
        <w:spacing w:before="120" w:after="120" w:line="360" w:lineRule="auto"/>
        <w:ind w:left="0" w:right="0"/>
        <w:rPr>
          <w:color w:val="000000"/>
          <w:sz w:val="24"/>
          <w:szCs w:val="24"/>
        </w:rPr>
      </w:pPr>
      <w:r>
        <w:rPr>
          <w:rFonts w:hint="eastAsia"/>
          <w:color w:val="000000"/>
          <w:sz w:val="24"/>
          <w:szCs w:val="24"/>
        </w:rPr>
        <w:t>　　13、工程试车</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3</w:t>
      </w:r>
      <w:r>
        <w:rPr>
          <w:color w:val="000000"/>
          <w:sz w:val="24"/>
          <w:szCs w:val="24"/>
        </w:rPr>
        <w:t>.</w:t>
      </w:r>
      <w:r>
        <w:rPr>
          <w:rFonts w:hint="eastAsia"/>
          <w:color w:val="000000"/>
          <w:sz w:val="24"/>
          <w:szCs w:val="24"/>
        </w:rPr>
        <w:t>1试车费用的承担：</w:t>
      </w:r>
      <w:r>
        <w:rPr>
          <w:rFonts w:hint="eastAsia"/>
          <w:color w:val="000000"/>
          <w:sz w:val="24"/>
          <w:szCs w:val="24"/>
          <w:u w:val="single"/>
        </w:rPr>
        <w:t>按“通用条款”四、19.5款规定办理。</w:t>
      </w:r>
    </w:p>
    <w:p>
      <w:pPr>
        <w:pStyle w:val="62"/>
        <w:spacing w:before="120" w:after="120" w:line="360" w:lineRule="auto"/>
        <w:ind w:left="0" w:right="0" w:firstLine="420"/>
        <w:rPr>
          <w:rFonts w:hint="eastAsia"/>
          <w:color w:val="000000"/>
          <w:sz w:val="24"/>
          <w:szCs w:val="24"/>
        </w:rPr>
      </w:pPr>
      <w:r>
        <w:rPr>
          <w:rFonts w:hint="eastAsia"/>
          <w:color w:val="000000"/>
          <w:sz w:val="24"/>
          <w:szCs w:val="24"/>
        </w:rPr>
        <w:t>五、安全施工</w:t>
      </w:r>
      <w:r>
        <w:rPr>
          <w:color w:val="000000"/>
          <w:sz w:val="24"/>
          <w:szCs w:val="24"/>
        </w:rPr>
        <w:t xml:space="preserve"> </w:t>
      </w:r>
    </w:p>
    <w:p>
      <w:pPr>
        <w:pStyle w:val="62"/>
        <w:spacing w:before="120" w:after="120" w:line="360" w:lineRule="auto"/>
        <w:ind w:left="0" w:right="0" w:firstLine="420"/>
        <w:rPr>
          <w:rFonts w:hint="eastAsia"/>
          <w:color w:val="000000"/>
          <w:sz w:val="24"/>
          <w:szCs w:val="24"/>
        </w:rPr>
      </w:pPr>
      <w:r>
        <w:rPr>
          <w:rFonts w:hint="eastAsia"/>
          <w:color w:val="000000"/>
          <w:sz w:val="24"/>
          <w:szCs w:val="24"/>
        </w:rPr>
        <w:t>14.安全施工与检查</w:t>
      </w:r>
    </w:p>
    <w:p>
      <w:pPr>
        <w:pStyle w:val="62"/>
        <w:spacing w:before="120" w:after="120" w:line="360" w:lineRule="auto"/>
        <w:ind w:left="0" w:right="0" w:firstLine="480" w:firstLineChars="200"/>
        <w:rPr>
          <w:rFonts w:hint="eastAsia"/>
          <w:color w:val="000000"/>
          <w:sz w:val="24"/>
          <w:szCs w:val="24"/>
          <w:u w:val="single"/>
        </w:rPr>
      </w:pPr>
      <w:r>
        <w:rPr>
          <w:rFonts w:hint="eastAsia"/>
          <w:color w:val="000000"/>
          <w:sz w:val="24"/>
          <w:szCs w:val="24"/>
        </w:rPr>
        <w:t xml:space="preserve">14.1 </w:t>
      </w:r>
      <w:r>
        <w:rPr>
          <w:rFonts w:hint="eastAsia"/>
          <w:color w:val="000000"/>
          <w:sz w:val="24"/>
          <w:szCs w:val="24"/>
          <w:u w:val="single"/>
        </w:rPr>
        <w:t>发包人认为承包人的安全措施</w:t>
      </w:r>
      <w:r>
        <w:rPr>
          <w:color w:val="000000"/>
          <w:sz w:val="24"/>
          <w:szCs w:val="24"/>
          <w:u w:val="single"/>
        </w:rPr>
        <w:t>/</w:t>
      </w:r>
      <w:r>
        <w:rPr>
          <w:rFonts w:hint="eastAsia"/>
          <w:color w:val="000000"/>
          <w:sz w:val="24"/>
          <w:szCs w:val="24"/>
          <w:u w:val="single"/>
        </w:rPr>
        <w:t>设施不符合国家有关规定时，可要求承包人限期整改，当承包人不能满足要求时，发包人有权自行安排予以完善，所发生的费用由承包人承担。</w:t>
      </w:r>
    </w:p>
    <w:p>
      <w:pPr>
        <w:pStyle w:val="62"/>
        <w:spacing w:before="120" w:after="120" w:line="360" w:lineRule="auto"/>
        <w:ind w:left="0" w:right="0" w:firstLine="480" w:firstLineChars="200"/>
        <w:rPr>
          <w:rFonts w:hint="eastAsia"/>
          <w:color w:val="000000"/>
          <w:sz w:val="24"/>
          <w:szCs w:val="24"/>
          <w:u w:val="single"/>
        </w:rPr>
      </w:pPr>
      <w:r>
        <w:rPr>
          <w:rFonts w:hint="eastAsia"/>
          <w:color w:val="000000"/>
          <w:sz w:val="24"/>
          <w:szCs w:val="24"/>
        </w:rPr>
        <w:t xml:space="preserve">14.2 </w:t>
      </w:r>
      <w:r>
        <w:rPr>
          <w:rFonts w:hint="eastAsia"/>
          <w:color w:val="000000"/>
          <w:sz w:val="24"/>
          <w:szCs w:val="24"/>
          <w:u w:val="single"/>
        </w:rPr>
        <w:t>安全监督管理责任：承包人应对其在施工场地的工作人员进行安全教育，并对其的安全负责。随时接受行业安全检查人员依法实施的监督检查。</w:t>
      </w:r>
    </w:p>
    <w:p>
      <w:pPr>
        <w:pStyle w:val="62"/>
        <w:spacing w:before="120" w:after="120" w:line="360" w:lineRule="auto"/>
        <w:ind w:left="0" w:right="0" w:firstLine="480" w:firstLineChars="200"/>
        <w:rPr>
          <w:rFonts w:hint="eastAsia"/>
          <w:color w:val="000000"/>
          <w:sz w:val="24"/>
          <w:szCs w:val="24"/>
        </w:rPr>
      </w:pPr>
      <w:r>
        <w:rPr>
          <w:rFonts w:hint="eastAsia"/>
          <w:color w:val="000000"/>
          <w:sz w:val="24"/>
          <w:szCs w:val="24"/>
        </w:rPr>
        <w:t>15.事故处理</w:t>
      </w:r>
    </w:p>
    <w:p>
      <w:pPr>
        <w:pStyle w:val="62"/>
        <w:spacing w:before="120" w:after="120" w:line="360" w:lineRule="auto"/>
        <w:ind w:left="0" w:right="0" w:firstLine="480" w:firstLineChars="200"/>
        <w:rPr>
          <w:rFonts w:hint="eastAsia"/>
          <w:color w:val="000000"/>
          <w:sz w:val="24"/>
          <w:szCs w:val="24"/>
        </w:rPr>
      </w:pPr>
      <w:r>
        <w:rPr>
          <w:rFonts w:hint="eastAsia"/>
          <w:color w:val="000000"/>
          <w:sz w:val="24"/>
          <w:szCs w:val="24"/>
        </w:rPr>
        <w:t>15.1 奖罚规定：</w:t>
      </w:r>
      <w:r>
        <w:rPr>
          <w:rFonts w:hint="eastAsia"/>
          <w:color w:val="000000"/>
          <w:sz w:val="24"/>
          <w:szCs w:val="24"/>
          <w:u w:val="single"/>
        </w:rPr>
        <w:t>发生重大伤亡及其它安全事故，承包人应按有关规定立即上报有关部门并通知工程师，同时按政府有关部门要求处理，由事故责任方承担发生的费用。由此造成的工程质量及工期影响，按本专用条款中有关质量和进度违约的约定执行。</w:t>
      </w:r>
    </w:p>
    <w:p>
      <w:pPr>
        <w:pStyle w:val="62"/>
        <w:spacing w:before="120" w:after="120" w:line="360" w:lineRule="auto"/>
        <w:ind w:left="0" w:right="0" w:firstLine="480" w:firstLineChars="200"/>
        <w:rPr>
          <w:rFonts w:hint="eastAsia"/>
          <w:color w:val="000000"/>
          <w:sz w:val="24"/>
          <w:szCs w:val="24"/>
          <w:u w:val="single"/>
        </w:rPr>
      </w:pPr>
      <w:r>
        <w:rPr>
          <w:rFonts w:hint="eastAsia"/>
          <w:color w:val="000000"/>
          <w:sz w:val="24"/>
          <w:szCs w:val="24"/>
        </w:rPr>
        <w:t>15.2 安全目标：</w:t>
      </w:r>
      <w:r>
        <w:rPr>
          <w:rFonts w:hint="eastAsia"/>
          <w:color w:val="000000"/>
          <w:sz w:val="24"/>
          <w:szCs w:val="24"/>
          <w:u w:val="single"/>
        </w:rPr>
        <w:t>无重大伤亡及安全事故，杜绝安全隐患。</w:t>
      </w:r>
    </w:p>
    <w:p>
      <w:pPr>
        <w:pStyle w:val="62"/>
        <w:spacing w:before="120" w:after="120" w:line="360" w:lineRule="auto"/>
        <w:ind w:left="0" w:right="0" w:firstLine="480" w:firstLineChars="200"/>
        <w:rPr>
          <w:rFonts w:hint="eastAsia"/>
          <w:color w:val="000000"/>
          <w:sz w:val="24"/>
          <w:szCs w:val="24"/>
          <w:u w:val="single"/>
        </w:rPr>
      </w:pPr>
      <w:r>
        <w:rPr>
          <w:rFonts w:hint="eastAsia"/>
          <w:color w:val="000000"/>
          <w:sz w:val="24"/>
          <w:szCs w:val="24"/>
        </w:rPr>
        <w:t>15.3 岗位人员要求：</w:t>
      </w:r>
      <w:r>
        <w:rPr>
          <w:rFonts w:hint="eastAsia"/>
          <w:color w:val="000000"/>
          <w:sz w:val="24"/>
          <w:szCs w:val="24"/>
          <w:u w:val="single"/>
        </w:rPr>
        <w:t>按江西省有关规定执行。</w:t>
      </w:r>
    </w:p>
    <w:p>
      <w:pPr>
        <w:pStyle w:val="62"/>
        <w:spacing w:before="120" w:after="120" w:line="360" w:lineRule="auto"/>
        <w:ind w:left="0" w:right="0"/>
        <w:rPr>
          <w:color w:val="000000"/>
          <w:sz w:val="24"/>
          <w:szCs w:val="24"/>
        </w:rPr>
      </w:pPr>
      <w:r>
        <w:rPr>
          <w:rFonts w:hint="eastAsia"/>
          <w:color w:val="000000"/>
          <w:sz w:val="24"/>
          <w:szCs w:val="24"/>
        </w:rPr>
        <w:t>　　六、合同价款与支付</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16、合同价款及调整</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16</w:t>
      </w:r>
      <w:r>
        <w:rPr>
          <w:color w:val="000000"/>
          <w:sz w:val="24"/>
          <w:szCs w:val="24"/>
        </w:rPr>
        <w:t>.</w:t>
      </w:r>
      <w:r>
        <w:rPr>
          <w:rFonts w:hint="eastAsia"/>
          <w:color w:val="000000"/>
          <w:sz w:val="24"/>
          <w:szCs w:val="24"/>
        </w:rPr>
        <w:t>1本合同价款采用</w:t>
      </w:r>
      <w:r>
        <w:rPr>
          <w:rFonts w:hint="eastAsia"/>
          <w:color w:val="000000"/>
          <w:sz w:val="24"/>
          <w:szCs w:val="24"/>
          <w:u w:val="single"/>
        </w:rPr>
        <w:t xml:space="preserve"> （1） </w:t>
      </w:r>
      <w:r>
        <w:rPr>
          <w:rFonts w:hint="eastAsia"/>
          <w:color w:val="000000"/>
          <w:sz w:val="24"/>
          <w:szCs w:val="24"/>
        </w:rPr>
        <w:t>方式确定。</w:t>
      </w:r>
      <w:r>
        <w:rPr>
          <w:color w:val="000000"/>
          <w:sz w:val="24"/>
          <w:szCs w:val="24"/>
        </w:rPr>
        <w:t xml:space="preserve"> </w:t>
      </w:r>
    </w:p>
    <w:p>
      <w:pPr>
        <w:pStyle w:val="62"/>
        <w:spacing w:before="120" w:after="120" w:line="360" w:lineRule="auto"/>
        <w:ind w:left="0" w:right="0" w:firstLine="420"/>
        <w:rPr>
          <w:rFonts w:hint="eastAsia"/>
          <w:color w:val="000000"/>
          <w:sz w:val="24"/>
          <w:szCs w:val="24"/>
          <w:u w:val="single"/>
        </w:rPr>
      </w:pPr>
      <w:r>
        <w:rPr>
          <w:rFonts w:hint="eastAsia"/>
          <w:color w:val="000000"/>
          <w:sz w:val="24"/>
          <w:szCs w:val="24"/>
        </w:rPr>
        <w:t>（</w:t>
      </w:r>
      <w:r>
        <w:rPr>
          <w:color w:val="000000"/>
          <w:sz w:val="24"/>
          <w:szCs w:val="24"/>
        </w:rPr>
        <w:t>1</w:t>
      </w:r>
      <w:r>
        <w:rPr>
          <w:rFonts w:hint="eastAsia"/>
          <w:color w:val="000000"/>
          <w:sz w:val="24"/>
          <w:szCs w:val="24"/>
        </w:rPr>
        <w:t>）采用固定价格合同，合同价款中包括的风险范围：</w:t>
      </w:r>
      <w:r>
        <w:rPr>
          <w:rFonts w:hint="eastAsia"/>
          <w:color w:val="000000"/>
          <w:sz w:val="24"/>
          <w:szCs w:val="24"/>
          <w:u w:val="single"/>
        </w:rPr>
        <w:t>无</w:t>
      </w:r>
    </w:p>
    <w:p>
      <w:pPr>
        <w:pStyle w:val="62"/>
        <w:spacing w:before="120" w:after="120" w:line="360" w:lineRule="auto"/>
        <w:ind w:left="0" w:right="0" w:firstLine="1080" w:firstLineChars="450"/>
        <w:rPr>
          <w:rFonts w:hint="eastAsia"/>
          <w:color w:val="000000"/>
          <w:sz w:val="24"/>
          <w:szCs w:val="24"/>
          <w:u w:val="single"/>
        </w:rPr>
      </w:pPr>
      <w:r>
        <w:rPr>
          <w:rFonts w:hint="eastAsia"/>
          <w:color w:val="000000"/>
          <w:sz w:val="24"/>
          <w:szCs w:val="24"/>
        </w:rPr>
        <w:t>风险费用的计算方法：</w:t>
      </w:r>
      <w:r>
        <w:rPr>
          <w:rFonts w:hint="eastAsia"/>
          <w:color w:val="000000"/>
          <w:sz w:val="24"/>
          <w:szCs w:val="24"/>
          <w:u w:val="single"/>
        </w:rPr>
        <w:t>无</w:t>
      </w:r>
    </w:p>
    <w:p>
      <w:pPr>
        <w:pStyle w:val="62"/>
        <w:spacing w:before="120" w:after="120" w:line="360" w:lineRule="auto"/>
        <w:ind w:left="462" w:leftChars="220" w:right="0" w:firstLine="600" w:firstLineChars="250"/>
        <w:rPr>
          <w:rFonts w:hint="eastAsia"/>
          <w:color w:val="000000"/>
          <w:sz w:val="24"/>
          <w:szCs w:val="24"/>
          <w:u w:val="single"/>
        </w:rPr>
      </w:pPr>
      <w:r>
        <w:rPr>
          <w:rFonts w:hint="eastAsia"/>
          <w:color w:val="000000"/>
          <w:sz w:val="24"/>
          <w:szCs w:val="24"/>
        </w:rPr>
        <w:t>风险范围以外的合同价款调整方法：</w:t>
      </w:r>
      <w:r>
        <w:rPr>
          <w:rFonts w:hint="eastAsia"/>
          <w:color w:val="000000"/>
          <w:sz w:val="24"/>
          <w:szCs w:val="24"/>
          <w:u w:val="single"/>
        </w:rPr>
        <w:t>无</w:t>
      </w:r>
    </w:p>
    <w:p>
      <w:pPr>
        <w:pStyle w:val="62"/>
        <w:spacing w:before="120" w:after="120" w:line="360" w:lineRule="auto"/>
        <w:ind w:left="359" w:leftChars="171" w:right="0"/>
        <w:rPr>
          <w:rFonts w:hint="eastAsia"/>
          <w:color w:val="000000"/>
          <w:sz w:val="24"/>
          <w:szCs w:val="24"/>
          <w:u w:val="single"/>
        </w:rPr>
      </w:pPr>
      <w:r>
        <w:rPr>
          <w:rFonts w:hint="eastAsia"/>
          <w:color w:val="000000"/>
          <w:sz w:val="24"/>
          <w:szCs w:val="24"/>
        </w:rPr>
        <w:t>（2）用可调价格合同，合同价款调整方法：</w:t>
      </w:r>
      <w:r>
        <w:rPr>
          <w:rFonts w:hint="eastAsia"/>
          <w:color w:val="000000"/>
          <w:sz w:val="24"/>
          <w:szCs w:val="24"/>
          <w:u w:val="single"/>
        </w:rPr>
        <w:t>无</w:t>
      </w:r>
    </w:p>
    <w:p>
      <w:pPr>
        <w:pStyle w:val="62"/>
        <w:spacing w:before="120" w:after="120" w:line="360" w:lineRule="auto"/>
        <w:ind w:left="0" w:right="0" w:firstLine="480" w:firstLineChars="200"/>
        <w:rPr>
          <w:rFonts w:hint="eastAsia"/>
          <w:color w:val="000000"/>
          <w:sz w:val="24"/>
          <w:szCs w:val="24"/>
        </w:rPr>
      </w:pPr>
      <w:r>
        <w:rPr>
          <w:rFonts w:hint="eastAsia"/>
          <w:color w:val="000000"/>
          <w:sz w:val="24"/>
          <w:szCs w:val="24"/>
        </w:rPr>
        <w:t>（3）用成本加酬金合同，有关成本和酬金的约定：</w:t>
      </w:r>
      <w:r>
        <w:rPr>
          <w:rFonts w:hint="eastAsia"/>
          <w:color w:val="000000"/>
          <w:sz w:val="24"/>
          <w:szCs w:val="24"/>
          <w:u w:val="single"/>
        </w:rPr>
        <w:t>无</w:t>
      </w:r>
    </w:p>
    <w:p>
      <w:pPr>
        <w:pStyle w:val="62"/>
        <w:spacing w:before="120" w:after="120" w:line="360" w:lineRule="auto"/>
        <w:ind w:left="0" w:right="0"/>
        <w:rPr>
          <w:rFonts w:hint="eastAsia"/>
          <w:color w:val="000000"/>
          <w:sz w:val="24"/>
          <w:szCs w:val="24"/>
        </w:rPr>
      </w:pPr>
      <w:r>
        <w:rPr>
          <w:rFonts w:hint="eastAsia"/>
          <w:color w:val="000000"/>
          <w:sz w:val="24"/>
          <w:szCs w:val="24"/>
        </w:rPr>
        <w:t>　　16</w:t>
      </w:r>
      <w:r>
        <w:rPr>
          <w:color w:val="000000"/>
          <w:sz w:val="24"/>
          <w:szCs w:val="24"/>
        </w:rPr>
        <w:t>.</w:t>
      </w:r>
      <w:r>
        <w:rPr>
          <w:rFonts w:hint="eastAsia"/>
          <w:color w:val="000000"/>
          <w:sz w:val="24"/>
          <w:szCs w:val="24"/>
        </w:rPr>
        <w:t>2双方约定合同价款的其他调整因素：</w:t>
      </w:r>
      <w:r>
        <w:rPr>
          <w:rFonts w:hint="eastAsia"/>
          <w:color w:val="000000"/>
          <w:sz w:val="24"/>
          <w:szCs w:val="24"/>
          <w:u w:val="single"/>
        </w:rPr>
        <w:t>除非出现工程变更，否则不作合同价款调整。</w:t>
      </w:r>
    </w:p>
    <w:p>
      <w:pPr>
        <w:pStyle w:val="62"/>
        <w:spacing w:before="120" w:after="120" w:line="360" w:lineRule="auto"/>
        <w:ind w:left="0" w:right="0"/>
        <w:rPr>
          <w:rFonts w:hint="eastAsia" w:eastAsiaTheme="minorEastAsia"/>
          <w:sz w:val="24"/>
          <w:szCs w:val="24"/>
          <w:lang w:eastAsia="zh-CN"/>
        </w:rPr>
      </w:pPr>
      <w:r>
        <w:rPr>
          <w:rFonts w:hint="eastAsia"/>
          <w:color w:val="000000"/>
          <w:sz w:val="24"/>
          <w:szCs w:val="24"/>
        </w:rPr>
        <w:t>　　</w:t>
      </w:r>
      <w:r>
        <w:rPr>
          <w:rFonts w:hint="eastAsia"/>
          <w:sz w:val="24"/>
          <w:szCs w:val="24"/>
        </w:rPr>
        <w:t>17、工程预付款</w:t>
      </w:r>
      <w:r>
        <w:rPr>
          <w:rFonts w:hint="eastAsia"/>
          <w:sz w:val="24"/>
          <w:szCs w:val="24"/>
          <w:lang w:eastAsia="zh-CN"/>
        </w:rPr>
        <w:t>及付款方式</w:t>
      </w:r>
    </w:p>
    <w:p>
      <w:pPr>
        <w:pStyle w:val="62"/>
        <w:spacing w:before="120" w:after="120" w:line="360" w:lineRule="auto"/>
        <w:ind w:left="0" w:right="0" w:firstLine="420"/>
        <w:rPr>
          <w:rFonts w:hint="eastAsia"/>
          <w:color w:val="000000"/>
          <w:sz w:val="24"/>
          <w:szCs w:val="24"/>
          <w:u w:val="single"/>
        </w:rPr>
      </w:pPr>
      <w:r>
        <w:rPr>
          <w:rFonts w:hint="eastAsia"/>
          <w:sz w:val="24"/>
          <w:szCs w:val="24"/>
        </w:rPr>
        <w:t>17.1发包人向承包人预付工程款的时间和金额或占合同价款总额的比例：</w:t>
      </w:r>
      <w:r>
        <w:rPr>
          <w:rFonts w:hint="eastAsia"/>
          <w:color w:val="FF0000"/>
          <w:sz w:val="24"/>
          <w:szCs w:val="24"/>
          <w:u w:val="single"/>
        </w:rPr>
        <w:t>按工程进度支付</w:t>
      </w:r>
      <w:r>
        <w:rPr>
          <w:rFonts w:hint="eastAsia"/>
          <w:sz w:val="24"/>
          <w:szCs w:val="24"/>
          <w:u w:val="single"/>
        </w:rPr>
        <w:t>，当完成总工程量的30%时，支付已完成合格工程量工程款的75%，当完成总工程量的70%时，支付已完成合格工程量工程款的75%（扣除前期已支付工程款），待工程竣工验收合格后，支付已完成工程量工程款的80%（扣除前期已支付工程款）；办理审计结算后28天内付清余款（扣除工程质量保修金5%），质量保修金在保修期满1年后退2%，满3年退剩余的3%。(预付工程款中包含全部安全防护、文明施工措施费)。</w:t>
      </w:r>
    </w:p>
    <w:p>
      <w:pPr>
        <w:pStyle w:val="62"/>
        <w:spacing w:before="120" w:after="120" w:line="360" w:lineRule="auto"/>
        <w:ind w:left="0" w:firstLine="480" w:firstLineChars="200"/>
        <w:rPr>
          <w:rFonts w:hint="eastAsia"/>
          <w:color w:val="000000"/>
          <w:sz w:val="24"/>
          <w:szCs w:val="24"/>
        </w:rPr>
      </w:pPr>
      <w:r>
        <w:rPr>
          <w:rFonts w:hint="eastAsia"/>
          <w:color w:val="000000"/>
          <w:sz w:val="24"/>
          <w:szCs w:val="24"/>
        </w:rPr>
        <w:t>17.2当出现下列不良履约情况时，发包人有权停止支付工程价款，直至不良履约情况消除，情节严重的，如果发包人在书面通知承包人并给与合理的救济时间和机会后仍无法纠正的，可单方终止承包合同，并没收履约保证金。</w:t>
      </w:r>
    </w:p>
    <w:p>
      <w:pPr>
        <w:pStyle w:val="62"/>
        <w:spacing w:before="120" w:after="120" w:line="360" w:lineRule="auto"/>
        <w:rPr>
          <w:rFonts w:hint="eastAsia"/>
          <w:color w:val="000000"/>
          <w:sz w:val="24"/>
          <w:szCs w:val="24"/>
        </w:rPr>
      </w:pPr>
      <w:r>
        <w:rPr>
          <w:rFonts w:hint="eastAsia"/>
          <w:color w:val="000000"/>
          <w:sz w:val="24"/>
          <w:szCs w:val="24"/>
        </w:rPr>
        <w:t>（1）承包人所提供的材料检验不合格或要求厂家人员上门验货而不到场验货的；</w:t>
      </w:r>
    </w:p>
    <w:p>
      <w:pPr>
        <w:pStyle w:val="62"/>
        <w:spacing w:before="120" w:after="120" w:line="360" w:lineRule="auto"/>
        <w:rPr>
          <w:rFonts w:hint="eastAsia"/>
          <w:color w:val="000000"/>
          <w:sz w:val="24"/>
          <w:szCs w:val="24"/>
        </w:rPr>
      </w:pPr>
      <w:r>
        <w:rPr>
          <w:rFonts w:hint="eastAsia"/>
          <w:color w:val="000000"/>
          <w:sz w:val="24"/>
          <w:szCs w:val="24"/>
        </w:rPr>
        <w:t>（2）承包人在施工中不符合文明施工及安全施工要求；</w:t>
      </w:r>
    </w:p>
    <w:p>
      <w:pPr>
        <w:pStyle w:val="62"/>
        <w:spacing w:before="120" w:after="120" w:line="360" w:lineRule="auto"/>
        <w:rPr>
          <w:rFonts w:hint="eastAsia"/>
          <w:color w:val="000000"/>
          <w:sz w:val="24"/>
          <w:szCs w:val="24"/>
        </w:rPr>
      </w:pPr>
      <w:r>
        <w:rPr>
          <w:rFonts w:hint="eastAsia"/>
          <w:color w:val="000000"/>
          <w:sz w:val="24"/>
          <w:szCs w:val="24"/>
        </w:rPr>
        <w:t>（3）承包人未按本合同条款履行合同；</w:t>
      </w:r>
    </w:p>
    <w:p>
      <w:pPr>
        <w:pStyle w:val="62"/>
        <w:spacing w:before="120" w:after="120" w:line="360" w:lineRule="auto"/>
        <w:rPr>
          <w:rFonts w:hint="eastAsia"/>
          <w:color w:val="000000"/>
          <w:sz w:val="24"/>
          <w:szCs w:val="24"/>
        </w:rPr>
      </w:pPr>
      <w:r>
        <w:rPr>
          <w:rFonts w:hint="eastAsia"/>
          <w:color w:val="000000"/>
          <w:sz w:val="24"/>
          <w:szCs w:val="24"/>
        </w:rPr>
        <w:t>（4）承包人无故停工；</w:t>
      </w:r>
    </w:p>
    <w:p>
      <w:pPr>
        <w:pStyle w:val="62"/>
        <w:spacing w:before="120" w:after="120" w:line="360" w:lineRule="auto"/>
        <w:rPr>
          <w:rFonts w:hint="eastAsia"/>
          <w:color w:val="000000"/>
          <w:sz w:val="24"/>
          <w:szCs w:val="24"/>
        </w:rPr>
      </w:pPr>
      <w:r>
        <w:rPr>
          <w:rFonts w:hint="eastAsia"/>
          <w:color w:val="000000"/>
          <w:sz w:val="24"/>
          <w:szCs w:val="24"/>
        </w:rPr>
        <w:t>（5）承包人故意拒绝或拖延发包人、顾问公司和监理工程师的指示；</w:t>
      </w:r>
    </w:p>
    <w:p>
      <w:pPr>
        <w:pStyle w:val="62"/>
        <w:spacing w:before="120" w:after="120" w:line="360" w:lineRule="auto"/>
        <w:rPr>
          <w:rFonts w:hint="eastAsia"/>
          <w:color w:val="000000"/>
          <w:sz w:val="24"/>
          <w:szCs w:val="24"/>
        </w:rPr>
      </w:pPr>
      <w:r>
        <w:rPr>
          <w:rFonts w:hint="eastAsia"/>
          <w:color w:val="000000"/>
          <w:sz w:val="24"/>
          <w:szCs w:val="24"/>
        </w:rPr>
        <w:t>（6）承包人在投标文件中所列现场主要管理人员不到位；</w:t>
      </w:r>
    </w:p>
    <w:p>
      <w:pPr>
        <w:pStyle w:val="62"/>
        <w:spacing w:before="120" w:after="120" w:line="360" w:lineRule="auto"/>
        <w:rPr>
          <w:rFonts w:hint="eastAsia"/>
          <w:color w:val="000000"/>
          <w:sz w:val="24"/>
          <w:szCs w:val="24"/>
        </w:rPr>
      </w:pPr>
      <w:r>
        <w:rPr>
          <w:rFonts w:hint="eastAsia"/>
          <w:color w:val="000000"/>
          <w:sz w:val="24"/>
          <w:szCs w:val="24"/>
        </w:rPr>
        <w:t>（7）承包人在投标文件中所列主要施工机械设备不到位；</w:t>
      </w:r>
    </w:p>
    <w:p>
      <w:pPr>
        <w:pStyle w:val="62"/>
        <w:spacing w:before="120" w:after="120" w:line="360" w:lineRule="auto"/>
        <w:rPr>
          <w:rFonts w:hint="eastAsia"/>
          <w:color w:val="000000"/>
          <w:sz w:val="24"/>
          <w:szCs w:val="24"/>
        </w:rPr>
      </w:pPr>
      <w:r>
        <w:rPr>
          <w:rFonts w:hint="eastAsia"/>
          <w:color w:val="000000"/>
          <w:sz w:val="24"/>
          <w:szCs w:val="24"/>
        </w:rPr>
        <w:t>（8）工程进度达不到工程师审核确认的施工进度计划要求；</w:t>
      </w:r>
    </w:p>
    <w:p>
      <w:pPr>
        <w:pStyle w:val="62"/>
        <w:spacing w:before="120" w:after="120" w:line="360" w:lineRule="auto"/>
        <w:ind w:left="0" w:right="0" w:firstLine="420"/>
        <w:rPr>
          <w:rFonts w:hint="eastAsia"/>
          <w:color w:val="000000"/>
          <w:sz w:val="24"/>
          <w:szCs w:val="24"/>
        </w:rPr>
      </w:pPr>
      <w:r>
        <w:rPr>
          <w:rFonts w:hint="eastAsia"/>
          <w:color w:val="000000"/>
          <w:sz w:val="24"/>
          <w:szCs w:val="24"/>
        </w:rPr>
        <w:t>（9）承包方未在接到中标通知书后7天内，派代表到中标通知书规定的地点与招标人签订施工合同的。</w:t>
      </w:r>
    </w:p>
    <w:p>
      <w:pPr>
        <w:pStyle w:val="62"/>
        <w:spacing w:before="120" w:after="120" w:line="360" w:lineRule="auto"/>
        <w:ind w:left="0" w:right="0"/>
        <w:rPr>
          <w:color w:val="000000"/>
          <w:sz w:val="24"/>
          <w:szCs w:val="24"/>
        </w:rPr>
      </w:pPr>
      <w:r>
        <w:rPr>
          <w:rFonts w:hint="eastAsia"/>
          <w:color w:val="000000"/>
          <w:sz w:val="24"/>
          <w:szCs w:val="24"/>
        </w:rPr>
        <w:t>　　18、工程量确认</w:t>
      </w:r>
      <w:r>
        <w:rPr>
          <w:color w:val="000000"/>
          <w:sz w:val="24"/>
          <w:szCs w:val="24"/>
        </w:rPr>
        <w:t xml:space="preserve"> </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25.1</w:t>
      </w:r>
      <w:r>
        <w:rPr>
          <w:rFonts w:hint="eastAsia"/>
          <w:color w:val="000000"/>
          <w:sz w:val="24"/>
          <w:szCs w:val="24"/>
        </w:rPr>
        <w:t>承包人向工程师提交已完工程量报告的时间：</w:t>
      </w:r>
      <w:r>
        <w:rPr>
          <w:rFonts w:hint="eastAsia"/>
          <w:color w:val="000000"/>
          <w:sz w:val="24"/>
          <w:szCs w:val="24"/>
          <w:u w:val="single"/>
        </w:rPr>
        <w:t>每月20日报监理工程师，监理工程师于7日内审核完毕并报发包人，发包人收到报告后7日内审核完毕。</w:t>
      </w:r>
    </w:p>
    <w:p>
      <w:pPr>
        <w:pStyle w:val="62"/>
        <w:spacing w:before="120" w:after="120" w:line="360" w:lineRule="auto"/>
        <w:ind w:left="0" w:right="0" w:firstLine="420"/>
        <w:rPr>
          <w:color w:val="000000"/>
          <w:sz w:val="24"/>
          <w:szCs w:val="24"/>
        </w:rPr>
      </w:pPr>
      <w:r>
        <w:rPr>
          <w:rFonts w:hint="eastAsia"/>
          <w:color w:val="000000"/>
          <w:sz w:val="24"/>
          <w:szCs w:val="24"/>
        </w:rPr>
        <w:t>七、材料设备供应</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19、发包人供应</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19</w:t>
      </w:r>
      <w:r>
        <w:rPr>
          <w:color w:val="000000"/>
          <w:sz w:val="24"/>
          <w:szCs w:val="24"/>
        </w:rPr>
        <w:t>.</w:t>
      </w:r>
      <w:r>
        <w:rPr>
          <w:rFonts w:hint="eastAsia"/>
          <w:color w:val="000000"/>
          <w:sz w:val="24"/>
          <w:szCs w:val="24"/>
        </w:rPr>
        <w:t>1发包人供应的材料设备与一览表不符时，双方约定发包人承担责任如下：</w:t>
      </w:r>
      <w:r>
        <w:rPr>
          <w:color w:val="000000"/>
          <w:sz w:val="24"/>
          <w:szCs w:val="24"/>
        </w:rPr>
        <w:t xml:space="preserve"> </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）材料设备单价与一览表不符：</w:t>
      </w:r>
      <w:r>
        <w:rPr>
          <w:rFonts w:hint="eastAsia"/>
          <w:color w:val="000000"/>
          <w:sz w:val="24"/>
          <w:szCs w:val="24"/>
          <w:u w:val="single"/>
        </w:rPr>
        <w:t>无</w:t>
      </w:r>
    </w:p>
    <w:p>
      <w:pPr>
        <w:pStyle w:val="62"/>
        <w:spacing w:before="120" w:after="120" w:line="360" w:lineRule="auto"/>
        <w:ind w:left="0" w:right="0"/>
        <w:rPr>
          <w:color w:val="000000"/>
          <w:sz w:val="24"/>
          <w:szCs w:val="24"/>
        </w:rPr>
      </w:pPr>
      <w:r>
        <w:rPr>
          <w:rFonts w:hint="eastAsia"/>
          <w:color w:val="000000"/>
          <w:sz w:val="24"/>
          <w:szCs w:val="24"/>
        </w:rPr>
        <w:t>　　（</w:t>
      </w:r>
      <w:r>
        <w:rPr>
          <w:color w:val="000000"/>
          <w:sz w:val="24"/>
          <w:szCs w:val="24"/>
        </w:rPr>
        <w:t>2</w:t>
      </w:r>
      <w:r>
        <w:rPr>
          <w:rFonts w:hint="eastAsia"/>
          <w:color w:val="000000"/>
          <w:sz w:val="24"/>
          <w:szCs w:val="24"/>
        </w:rPr>
        <w:t>）材料设备的品种、规格、型号、质量等级与一览表不符：</w:t>
      </w:r>
      <w:r>
        <w:rPr>
          <w:rFonts w:hint="eastAsia"/>
          <w:color w:val="000000"/>
          <w:sz w:val="24"/>
          <w:szCs w:val="24"/>
          <w:u w:val="single"/>
        </w:rPr>
        <w:t>无</w:t>
      </w:r>
      <w:r>
        <w:rPr>
          <w:color w:val="000000"/>
          <w:sz w:val="24"/>
          <w:szCs w:val="24"/>
        </w:rPr>
        <w:t xml:space="preserve"> </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3</w:t>
      </w:r>
      <w:r>
        <w:rPr>
          <w:rFonts w:hint="eastAsia"/>
          <w:color w:val="000000"/>
          <w:sz w:val="24"/>
          <w:szCs w:val="24"/>
        </w:rPr>
        <w:t>）承包人可代为调剂串换的材料：</w:t>
      </w:r>
      <w:r>
        <w:rPr>
          <w:rFonts w:hint="eastAsia"/>
          <w:color w:val="000000"/>
          <w:sz w:val="24"/>
          <w:szCs w:val="24"/>
          <w:u w:val="single"/>
        </w:rPr>
        <w:t>无</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4</w:t>
      </w:r>
      <w:r>
        <w:rPr>
          <w:rFonts w:hint="eastAsia"/>
          <w:color w:val="000000"/>
          <w:sz w:val="24"/>
          <w:szCs w:val="24"/>
        </w:rPr>
        <w:t>）到货地点与一览表不符：</w:t>
      </w:r>
      <w:r>
        <w:rPr>
          <w:rFonts w:hint="eastAsia"/>
          <w:color w:val="000000"/>
          <w:sz w:val="24"/>
          <w:szCs w:val="24"/>
          <w:u w:val="single"/>
        </w:rPr>
        <w:t>无</w:t>
      </w:r>
    </w:p>
    <w:p>
      <w:pPr>
        <w:pStyle w:val="62"/>
        <w:spacing w:before="120" w:after="120" w:line="360" w:lineRule="auto"/>
        <w:ind w:left="0" w:right="0"/>
        <w:rPr>
          <w:color w:val="000000"/>
          <w:sz w:val="24"/>
          <w:szCs w:val="24"/>
        </w:rPr>
      </w:pPr>
      <w:r>
        <w:rPr>
          <w:rFonts w:hint="eastAsia"/>
          <w:color w:val="000000"/>
          <w:sz w:val="24"/>
          <w:szCs w:val="24"/>
        </w:rPr>
        <w:t>　　（</w:t>
      </w:r>
      <w:r>
        <w:rPr>
          <w:color w:val="000000"/>
          <w:sz w:val="24"/>
          <w:szCs w:val="24"/>
        </w:rPr>
        <w:t>5</w:t>
      </w:r>
      <w:r>
        <w:rPr>
          <w:rFonts w:hint="eastAsia"/>
          <w:color w:val="000000"/>
          <w:sz w:val="24"/>
          <w:szCs w:val="24"/>
        </w:rPr>
        <w:t>）供应数量与一览表不符：</w:t>
      </w:r>
      <w:r>
        <w:rPr>
          <w:rFonts w:hint="eastAsia"/>
          <w:color w:val="000000"/>
          <w:sz w:val="24"/>
          <w:szCs w:val="24"/>
          <w:u w:val="single"/>
        </w:rPr>
        <w:t>无</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w:t>
      </w:r>
      <w:r>
        <w:rPr>
          <w:color w:val="000000"/>
          <w:sz w:val="24"/>
          <w:szCs w:val="24"/>
        </w:rPr>
        <w:t>6</w:t>
      </w:r>
      <w:r>
        <w:rPr>
          <w:rFonts w:hint="eastAsia"/>
          <w:color w:val="000000"/>
          <w:sz w:val="24"/>
          <w:szCs w:val="24"/>
        </w:rPr>
        <w:t>）到货时间与一览表不符：</w:t>
      </w:r>
      <w:r>
        <w:rPr>
          <w:rFonts w:hint="eastAsia"/>
          <w:color w:val="000000"/>
          <w:sz w:val="24"/>
          <w:szCs w:val="24"/>
          <w:u w:val="single"/>
        </w:rPr>
        <w:t>无</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19</w:t>
      </w:r>
      <w:r>
        <w:rPr>
          <w:color w:val="000000"/>
          <w:sz w:val="24"/>
          <w:szCs w:val="24"/>
        </w:rPr>
        <w:t>.</w:t>
      </w:r>
      <w:r>
        <w:rPr>
          <w:rFonts w:hint="eastAsia"/>
          <w:color w:val="000000"/>
          <w:sz w:val="24"/>
          <w:szCs w:val="24"/>
        </w:rPr>
        <w:t>2发包人供应材料设备的结算方法：</w:t>
      </w:r>
      <w:r>
        <w:rPr>
          <w:rFonts w:hint="eastAsia"/>
          <w:color w:val="000000"/>
          <w:sz w:val="24"/>
          <w:szCs w:val="24"/>
          <w:u w:val="single"/>
        </w:rPr>
        <w:t>无</w:t>
      </w:r>
    </w:p>
    <w:p>
      <w:pPr>
        <w:pStyle w:val="62"/>
        <w:spacing w:before="120" w:after="120" w:line="360" w:lineRule="auto"/>
        <w:ind w:left="0" w:right="0"/>
        <w:rPr>
          <w:color w:val="000000"/>
          <w:sz w:val="24"/>
          <w:szCs w:val="24"/>
        </w:rPr>
      </w:pPr>
      <w:r>
        <w:rPr>
          <w:rFonts w:hint="eastAsia"/>
          <w:color w:val="000000"/>
          <w:sz w:val="24"/>
          <w:szCs w:val="24"/>
        </w:rPr>
        <w:t>　　20、承包人采购材料设备</w:t>
      </w:r>
      <w:r>
        <w:rPr>
          <w:color w:val="000000"/>
          <w:sz w:val="24"/>
          <w:szCs w:val="24"/>
        </w:rPr>
        <w:t xml:space="preserve"> </w:t>
      </w:r>
    </w:p>
    <w:p>
      <w:pPr>
        <w:pStyle w:val="62"/>
        <w:spacing w:before="120" w:after="120" w:line="360" w:lineRule="auto"/>
        <w:ind w:left="0" w:right="0" w:firstLine="420"/>
        <w:rPr>
          <w:rFonts w:hint="eastAsia"/>
          <w:color w:val="000000"/>
          <w:sz w:val="24"/>
          <w:szCs w:val="24"/>
        </w:rPr>
      </w:pPr>
      <w:r>
        <w:rPr>
          <w:rFonts w:hint="eastAsia"/>
          <w:color w:val="000000"/>
          <w:sz w:val="24"/>
          <w:szCs w:val="24"/>
        </w:rPr>
        <w:t>20</w:t>
      </w:r>
      <w:r>
        <w:rPr>
          <w:color w:val="000000"/>
          <w:sz w:val="24"/>
          <w:szCs w:val="24"/>
        </w:rPr>
        <w:t>.1</w:t>
      </w:r>
      <w:r>
        <w:rPr>
          <w:rFonts w:hint="eastAsia"/>
          <w:color w:val="000000"/>
          <w:sz w:val="24"/>
          <w:szCs w:val="24"/>
        </w:rPr>
        <w:t>承包人采购材料设备的约定：</w:t>
      </w:r>
    </w:p>
    <w:p>
      <w:pPr>
        <w:pStyle w:val="62"/>
        <w:spacing w:before="120" w:after="120" w:line="360" w:lineRule="auto"/>
        <w:ind w:left="0" w:right="0" w:firstLine="420"/>
        <w:rPr>
          <w:rFonts w:hint="eastAsia"/>
          <w:color w:val="000000"/>
          <w:sz w:val="24"/>
          <w:szCs w:val="24"/>
          <w:u w:val="single"/>
        </w:rPr>
      </w:pPr>
      <w:r>
        <w:rPr>
          <w:rFonts w:hint="eastAsia"/>
          <w:color w:val="000000"/>
          <w:sz w:val="24"/>
          <w:szCs w:val="24"/>
        </w:rPr>
        <w:t>a.</w:t>
      </w:r>
      <w:r>
        <w:rPr>
          <w:rFonts w:hint="eastAsia"/>
          <w:color w:val="000000"/>
          <w:sz w:val="24"/>
          <w:szCs w:val="24"/>
          <w:u w:val="single"/>
        </w:rPr>
        <w:t>满足设计材质或技术参数要求，具有建材质检部门出具产品合格证的工程材料；</w:t>
      </w:r>
    </w:p>
    <w:p>
      <w:pPr>
        <w:pStyle w:val="62"/>
        <w:spacing w:before="120" w:after="120" w:line="360" w:lineRule="auto"/>
        <w:ind w:left="0" w:right="0" w:firstLine="420"/>
        <w:rPr>
          <w:rFonts w:hint="eastAsia"/>
          <w:color w:val="000000"/>
          <w:sz w:val="24"/>
          <w:szCs w:val="24"/>
          <w:u w:val="single"/>
        </w:rPr>
      </w:pPr>
      <w:r>
        <w:rPr>
          <w:rFonts w:hint="eastAsia"/>
          <w:color w:val="000000"/>
          <w:sz w:val="24"/>
          <w:szCs w:val="24"/>
          <w:u w:val="single"/>
        </w:rPr>
        <w:t>b.特殊材料设备的采购应事先经过发包人同意；</w:t>
      </w:r>
    </w:p>
    <w:p>
      <w:pPr>
        <w:pStyle w:val="62"/>
        <w:spacing w:before="120" w:after="120" w:line="360" w:lineRule="auto"/>
        <w:ind w:left="0" w:right="0" w:firstLine="420"/>
        <w:rPr>
          <w:rFonts w:hint="eastAsia"/>
          <w:color w:val="000000"/>
          <w:sz w:val="24"/>
          <w:szCs w:val="24"/>
          <w:u w:val="single"/>
        </w:rPr>
      </w:pPr>
      <w:r>
        <w:rPr>
          <w:rFonts w:hint="eastAsia"/>
          <w:color w:val="000000"/>
          <w:sz w:val="24"/>
          <w:szCs w:val="24"/>
          <w:u w:val="single"/>
        </w:rPr>
        <w:t>c.</w:t>
      </w:r>
      <w:r>
        <w:rPr>
          <w:rFonts w:hint="eastAsia" w:hAnsi="宋体"/>
          <w:sz w:val="24"/>
          <w:szCs w:val="24"/>
          <w:u w:val="single"/>
        </w:rPr>
        <w:t xml:space="preserve"> </w:t>
      </w:r>
      <w:r>
        <w:rPr>
          <w:rFonts w:hint="eastAsia"/>
          <w:color w:val="000000"/>
          <w:sz w:val="24"/>
          <w:szCs w:val="24"/>
          <w:u w:val="single"/>
        </w:rPr>
        <w:t>发包人约定品牌的设备、材料（详见本工程工程量清单），主要材料(详见《主要设备材料品牌选型表》)投标时需要提供原厂授权书（代理商、经销商出具的授权书无效），进场验收时承包人应提供厂家为本次项目采购出具的证明函，其品质不得低于招标文件及设计规定的质量等级要求，质量等级要求是指必须提供厂家授权书、售后服务书，按照《主要设备材料品牌选型表》的要求，需要厂家验货的主材，厂家验收人员须携带厂家授权书上门验货，否则不予采用及施工；</w:t>
      </w:r>
    </w:p>
    <w:p>
      <w:pPr>
        <w:pStyle w:val="62"/>
        <w:spacing w:before="120" w:after="120" w:line="360" w:lineRule="auto"/>
        <w:ind w:left="0" w:right="0" w:firstLine="420"/>
        <w:rPr>
          <w:rFonts w:hint="eastAsia"/>
          <w:color w:val="000000"/>
          <w:sz w:val="24"/>
          <w:szCs w:val="24"/>
        </w:rPr>
      </w:pPr>
      <w:r>
        <w:rPr>
          <w:rFonts w:hint="eastAsia"/>
          <w:color w:val="000000"/>
          <w:sz w:val="24"/>
          <w:szCs w:val="24"/>
          <w:u w:val="single"/>
        </w:rPr>
        <w:t>d. 在暂估价材料</w:t>
      </w:r>
      <w:r>
        <w:rPr>
          <w:color w:val="000000"/>
          <w:sz w:val="24"/>
          <w:szCs w:val="24"/>
          <w:u w:val="single"/>
        </w:rPr>
        <w:t>/</w:t>
      </w:r>
      <w:r>
        <w:rPr>
          <w:rFonts w:hint="eastAsia"/>
          <w:color w:val="000000"/>
          <w:sz w:val="24"/>
          <w:szCs w:val="24"/>
          <w:u w:val="single"/>
        </w:rPr>
        <w:t>设备采购前（一般为</w:t>
      </w:r>
      <w:r>
        <w:rPr>
          <w:color w:val="000000"/>
          <w:sz w:val="24"/>
          <w:szCs w:val="24"/>
          <w:u w:val="single"/>
        </w:rPr>
        <w:t>30</w:t>
      </w:r>
      <w:r>
        <w:rPr>
          <w:rFonts w:hint="eastAsia"/>
          <w:color w:val="000000"/>
          <w:sz w:val="24"/>
          <w:szCs w:val="24"/>
          <w:u w:val="single"/>
        </w:rPr>
        <w:t>天），承包人应按设计图纸及规范要求向工程师提交材料</w:t>
      </w:r>
      <w:r>
        <w:rPr>
          <w:color w:val="000000"/>
          <w:sz w:val="24"/>
          <w:szCs w:val="24"/>
          <w:u w:val="single"/>
        </w:rPr>
        <w:t>/</w:t>
      </w:r>
      <w:r>
        <w:rPr>
          <w:rFonts w:hint="eastAsia"/>
          <w:color w:val="000000"/>
          <w:sz w:val="24"/>
          <w:szCs w:val="24"/>
          <w:u w:val="single"/>
        </w:rPr>
        <w:t>设备的采购计划，采购计划的内容至少包括：材料</w:t>
      </w:r>
      <w:r>
        <w:rPr>
          <w:color w:val="000000"/>
          <w:sz w:val="24"/>
          <w:szCs w:val="24"/>
          <w:u w:val="single"/>
        </w:rPr>
        <w:t>/</w:t>
      </w:r>
      <w:r>
        <w:rPr>
          <w:rFonts w:hint="eastAsia"/>
          <w:color w:val="000000"/>
          <w:sz w:val="24"/>
          <w:szCs w:val="24"/>
          <w:u w:val="single"/>
        </w:rPr>
        <w:t>设备的品牌（至少推荐三家，仅供发包人确定材料</w:t>
      </w:r>
      <w:r>
        <w:rPr>
          <w:color w:val="000000"/>
          <w:sz w:val="24"/>
          <w:szCs w:val="24"/>
          <w:u w:val="single"/>
        </w:rPr>
        <w:t>/</w:t>
      </w:r>
      <w:r>
        <w:rPr>
          <w:rFonts w:hint="eastAsia"/>
          <w:color w:val="000000"/>
          <w:sz w:val="24"/>
          <w:szCs w:val="24"/>
          <w:u w:val="single"/>
        </w:rPr>
        <w:t>设备时参考）、规格、单价、质量标准、材料</w:t>
      </w:r>
      <w:r>
        <w:rPr>
          <w:color w:val="000000"/>
          <w:sz w:val="24"/>
          <w:szCs w:val="24"/>
          <w:u w:val="single"/>
        </w:rPr>
        <w:t>/</w:t>
      </w:r>
      <w:r>
        <w:rPr>
          <w:rFonts w:hint="eastAsia"/>
          <w:color w:val="000000"/>
          <w:sz w:val="24"/>
          <w:szCs w:val="24"/>
          <w:u w:val="single"/>
        </w:rPr>
        <w:t>设备样品或样本等；在发包人经过相关程序确认材料</w:t>
      </w:r>
      <w:r>
        <w:rPr>
          <w:color w:val="000000"/>
          <w:sz w:val="24"/>
          <w:szCs w:val="24"/>
          <w:u w:val="single"/>
        </w:rPr>
        <w:t>/</w:t>
      </w:r>
      <w:r>
        <w:rPr>
          <w:rFonts w:hint="eastAsia"/>
          <w:color w:val="000000"/>
          <w:sz w:val="24"/>
          <w:szCs w:val="24"/>
          <w:u w:val="single"/>
        </w:rPr>
        <w:t>设备品牌、价格后，发包人、承包人、工程师共同封样（仅限材料），承包人方可采购；承包人应给予发包人足够的完成上述相关确认程序的时间，必要时发包人可能到厂家考察。当暂估价材料</w:t>
      </w:r>
      <w:r>
        <w:rPr>
          <w:color w:val="000000"/>
          <w:sz w:val="24"/>
          <w:szCs w:val="24"/>
          <w:u w:val="single"/>
        </w:rPr>
        <w:t>/</w:t>
      </w:r>
      <w:r>
        <w:rPr>
          <w:rFonts w:hint="eastAsia"/>
          <w:color w:val="000000"/>
          <w:sz w:val="24"/>
          <w:szCs w:val="24"/>
          <w:u w:val="single"/>
        </w:rPr>
        <w:t>设备的认价工作由于承包人的原因影响到工程进度时，工期不予顺延。</w:t>
      </w:r>
    </w:p>
    <w:p>
      <w:pPr>
        <w:pStyle w:val="62"/>
        <w:spacing w:before="120" w:after="120" w:line="360" w:lineRule="auto"/>
        <w:ind w:left="0" w:right="0" w:firstLine="420"/>
        <w:rPr>
          <w:rFonts w:hint="eastAsia"/>
          <w:color w:val="000000"/>
          <w:sz w:val="24"/>
          <w:szCs w:val="24"/>
        </w:rPr>
      </w:pPr>
      <w:r>
        <w:rPr>
          <w:rFonts w:hint="eastAsia"/>
          <w:color w:val="000000"/>
          <w:sz w:val="24"/>
          <w:szCs w:val="24"/>
        </w:rPr>
        <w:t>八、工程变更</w:t>
      </w:r>
    </w:p>
    <w:p>
      <w:pPr>
        <w:pStyle w:val="62"/>
        <w:spacing w:before="120" w:after="120" w:line="360" w:lineRule="auto"/>
        <w:ind w:left="0" w:right="0" w:firstLine="420"/>
        <w:rPr>
          <w:rFonts w:hint="eastAsia"/>
          <w:color w:val="000000"/>
          <w:sz w:val="24"/>
          <w:szCs w:val="24"/>
        </w:rPr>
      </w:pPr>
      <w:r>
        <w:rPr>
          <w:rFonts w:hint="eastAsia"/>
          <w:color w:val="000000"/>
          <w:sz w:val="24"/>
          <w:szCs w:val="24"/>
        </w:rPr>
        <w:t>21、变更流程</w:t>
      </w:r>
    </w:p>
    <w:p>
      <w:pPr>
        <w:pStyle w:val="62"/>
        <w:spacing w:before="120" w:after="120" w:line="360" w:lineRule="auto"/>
        <w:ind w:left="0" w:right="0" w:firstLine="420"/>
        <w:rPr>
          <w:rFonts w:hint="eastAsia"/>
          <w:color w:val="000000"/>
          <w:sz w:val="24"/>
          <w:szCs w:val="24"/>
        </w:rPr>
      </w:pPr>
      <w:r>
        <w:rPr>
          <w:rFonts w:hint="eastAsia"/>
          <w:color w:val="000000"/>
          <w:sz w:val="24"/>
          <w:szCs w:val="24"/>
        </w:rPr>
        <w:t>21.1承包人提出变更设计，需经发包方和顾问和监理方审核同意后，由设计单位出具设计变更通知书。</w:t>
      </w:r>
    </w:p>
    <w:p>
      <w:pPr>
        <w:pStyle w:val="62"/>
        <w:spacing w:before="120" w:after="120" w:line="360" w:lineRule="auto"/>
        <w:rPr>
          <w:rFonts w:hint="eastAsia"/>
          <w:color w:val="000000"/>
          <w:sz w:val="24"/>
          <w:szCs w:val="24"/>
        </w:rPr>
      </w:pPr>
      <w:r>
        <w:rPr>
          <w:rFonts w:hint="eastAsia"/>
          <w:color w:val="000000"/>
          <w:sz w:val="24"/>
          <w:szCs w:val="24"/>
        </w:rPr>
        <w:t>22、变更估价</w:t>
      </w:r>
    </w:p>
    <w:p>
      <w:pPr>
        <w:pStyle w:val="62"/>
        <w:spacing w:before="120" w:after="120" w:line="360" w:lineRule="auto"/>
        <w:rPr>
          <w:rFonts w:hint="eastAsia"/>
          <w:color w:val="000000"/>
          <w:sz w:val="24"/>
          <w:szCs w:val="24"/>
        </w:rPr>
      </w:pPr>
      <w:r>
        <w:rPr>
          <w:rFonts w:hint="eastAsia"/>
          <w:color w:val="000000"/>
          <w:sz w:val="24"/>
          <w:szCs w:val="24"/>
        </w:rPr>
        <w:t>承包人提交变更报价书的期限:变更发生后14天内 。</w:t>
      </w:r>
    </w:p>
    <w:p>
      <w:pPr>
        <w:pStyle w:val="62"/>
        <w:spacing w:before="120" w:after="120" w:line="360" w:lineRule="auto"/>
        <w:ind w:left="0" w:right="0" w:firstLine="420"/>
        <w:rPr>
          <w:color w:val="000000"/>
          <w:sz w:val="24"/>
          <w:szCs w:val="24"/>
        </w:rPr>
      </w:pPr>
      <w:r>
        <w:rPr>
          <w:rFonts w:hint="eastAsia"/>
          <w:color w:val="000000"/>
          <w:sz w:val="24"/>
          <w:szCs w:val="24"/>
        </w:rPr>
        <w:t>监理人商定或确定变更价格的期限:接到变更报价完整资料后14天内。</w:t>
      </w:r>
      <w:r>
        <w:rPr>
          <w:color w:val="000000"/>
          <w:sz w:val="24"/>
          <w:szCs w:val="24"/>
        </w:rPr>
        <w:t xml:space="preserve"> </w:t>
      </w:r>
    </w:p>
    <w:p>
      <w:pPr>
        <w:pStyle w:val="62"/>
        <w:spacing w:before="120" w:after="120" w:line="360" w:lineRule="auto"/>
        <w:ind w:left="0" w:right="0" w:firstLine="420"/>
        <w:rPr>
          <w:rFonts w:hint="eastAsia"/>
          <w:color w:val="000000"/>
          <w:sz w:val="24"/>
          <w:szCs w:val="24"/>
        </w:rPr>
      </w:pPr>
      <w:r>
        <w:rPr>
          <w:rFonts w:hint="eastAsia"/>
          <w:color w:val="000000"/>
          <w:sz w:val="24"/>
          <w:szCs w:val="24"/>
        </w:rPr>
        <w:t>九、竣工验收与结算</w:t>
      </w:r>
    </w:p>
    <w:p>
      <w:pPr>
        <w:pStyle w:val="62"/>
        <w:spacing w:before="120" w:after="120" w:line="360" w:lineRule="auto"/>
        <w:ind w:left="0" w:right="0" w:firstLine="420"/>
        <w:rPr>
          <w:color w:val="000000"/>
          <w:sz w:val="24"/>
          <w:szCs w:val="24"/>
        </w:rPr>
      </w:pPr>
      <w:r>
        <w:rPr>
          <w:rFonts w:hint="eastAsia"/>
          <w:color w:val="000000"/>
          <w:sz w:val="24"/>
          <w:szCs w:val="24"/>
        </w:rPr>
        <w:t>23、竣工验收</w:t>
      </w:r>
      <w:r>
        <w:rPr>
          <w:color w:val="000000"/>
          <w:sz w:val="24"/>
          <w:szCs w:val="24"/>
        </w:rPr>
        <w:t xml:space="preserve"> </w:t>
      </w:r>
    </w:p>
    <w:p>
      <w:pPr>
        <w:pStyle w:val="62"/>
        <w:spacing w:before="120" w:after="120" w:line="360" w:lineRule="auto"/>
        <w:ind w:left="0" w:right="0"/>
        <w:rPr>
          <w:rFonts w:hint="eastAsia"/>
          <w:color w:val="000000"/>
          <w:sz w:val="24"/>
          <w:szCs w:val="24"/>
        </w:rPr>
      </w:pPr>
      <w:r>
        <w:rPr>
          <w:rFonts w:hint="eastAsia"/>
          <w:color w:val="000000"/>
          <w:sz w:val="24"/>
          <w:szCs w:val="24"/>
        </w:rPr>
        <w:t>　　23</w:t>
      </w:r>
      <w:r>
        <w:rPr>
          <w:color w:val="000000"/>
          <w:sz w:val="24"/>
          <w:szCs w:val="24"/>
        </w:rPr>
        <w:t>.1</w:t>
      </w:r>
      <w:r>
        <w:rPr>
          <w:rFonts w:hint="eastAsia"/>
          <w:color w:val="000000"/>
          <w:sz w:val="24"/>
          <w:szCs w:val="24"/>
        </w:rPr>
        <w:t>承包人提供竣工图的约定：发包人负责向承包人提供三套施工图，承包负责绘制三套竣工图在竣工验收后45天以内提供给发包人。</w:t>
      </w:r>
    </w:p>
    <w:p>
      <w:pPr>
        <w:pStyle w:val="62"/>
        <w:spacing w:before="120" w:after="120" w:line="360" w:lineRule="auto"/>
        <w:ind w:left="0" w:right="0" w:firstLine="420"/>
        <w:rPr>
          <w:rFonts w:hint="eastAsia"/>
          <w:color w:val="000000"/>
          <w:sz w:val="24"/>
          <w:szCs w:val="24"/>
        </w:rPr>
      </w:pPr>
      <w:r>
        <w:rPr>
          <w:rFonts w:hint="eastAsia"/>
          <w:color w:val="000000"/>
          <w:sz w:val="24"/>
          <w:szCs w:val="24"/>
        </w:rPr>
        <w:t>23</w:t>
      </w:r>
      <w:r>
        <w:rPr>
          <w:color w:val="000000"/>
          <w:sz w:val="24"/>
          <w:szCs w:val="24"/>
        </w:rPr>
        <w:t>.</w:t>
      </w:r>
      <w:r>
        <w:rPr>
          <w:rFonts w:hint="eastAsia"/>
          <w:color w:val="000000"/>
          <w:sz w:val="24"/>
          <w:szCs w:val="24"/>
        </w:rPr>
        <w:t>2工程竣工结算经发包人审核后报送审核部门审核，审核部门审核数为本项目最终工程结算数。</w:t>
      </w:r>
    </w:p>
    <w:p>
      <w:pPr>
        <w:pStyle w:val="62"/>
        <w:spacing w:before="120" w:after="120" w:line="360" w:lineRule="auto"/>
        <w:ind w:left="0" w:right="0" w:firstLine="420"/>
        <w:rPr>
          <w:color w:val="000000"/>
          <w:sz w:val="24"/>
          <w:szCs w:val="24"/>
        </w:rPr>
      </w:pPr>
      <w:r>
        <w:rPr>
          <w:rFonts w:hint="eastAsia"/>
          <w:color w:val="000000"/>
          <w:sz w:val="24"/>
          <w:szCs w:val="24"/>
        </w:rPr>
        <w:t>23.3实际竣工日期: 工程一次性验收合格的，提交“交验报告”日为实际竣工日；工程验收存在需整改的内容，整改工作完成后，经复验合格的，复验日为实际竣工日</w:t>
      </w:r>
    </w:p>
    <w:p>
      <w:pPr>
        <w:pStyle w:val="62"/>
        <w:spacing w:before="120" w:after="120" w:line="360" w:lineRule="auto"/>
        <w:ind w:left="0" w:right="0"/>
        <w:rPr>
          <w:color w:val="000000"/>
          <w:sz w:val="24"/>
          <w:szCs w:val="24"/>
        </w:rPr>
      </w:pPr>
      <w:r>
        <w:rPr>
          <w:rFonts w:hint="eastAsia"/>
          <w:color w:val="000000"/>
          <w:sz w:val="24"/>
          <w:szCs w:val="24"/>
        </w:rPr>
        <w:t>　　十、违约、索赔和争议</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24、违约</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24</w:t>
      </w:r>
      <w:r>
        <w:rPr>
          <w:color w:val="000000"/>
          <w:sz w:val="24"/>
          <w:szCs w:val="24"/>
        </w:rPr>
        <w:t>.1</w:t>
      </w:r>
      <w:r>
        <w:rPr>
          <w:rFonts w:hint="eastAsia"/>
          <w:color w:val="000000"/>
          <w:sz w:val="24"/>
          <w:szCs w:val="24"/>
        </w:rPr>
        <w:t>本合同中关于发包人违约的具体责任如下：</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本合同通用条款第</w:t>
      </w:r>
      <w:r>
        <w:rPr>
          <w:color w:val="000000"/>
          <w:sz w:val="24"/>
          <w:szCs w:val="24"/>
        </w:rPr>
        <w:t>24</w:t>
      </w:r>
      <w:r>
        <w:rPr>
          <w:rFonts w:hint="eastAsia"/>
          <w:color w:val="000000"/>
          <w:sz w:val="24"/>
          <w:szCs w:val="24"/>
        </w:rPr>
        <w:t>条约定发包人违约应承担的违约责任：</w:t>
      </w:r>
      <w:r>
        <w:rPr>
          <w:rFonts w:hint="eastAsia"/>
          <w:color w:val="000000"/>
          <w:sz w:val="24"/>
          <w:szCs w:val="24"/>
          <w:u w:val="single"/>
        </w:rPr>
        <w:t>执行通用条款</w:t>
      </w:r>
    </w:p>
    <w:p>
      <w:pPr>
        <w:pStyle w:val="62"/>
        <w:spacing w:before="120" w:after="120" w:line="360" w:lineRule="auto"/>
        <w:ind w:left="0" w:right="0"/>
        <w:rPr>
          <w:color w:val="000000"/>
          <w:sz w:val="24"/>
          <w:szCs w:val="24"/>
        </w:rPr>
      </w:pPr>
      <w:r>
        <w:rPr>
          <w:rFonts w:hint="eastAsia"/>
          <w:color w:val="000000"/>
          <w:sz w:val="24"/>
          <w:szCs w:val="24"/>
        </w:rPr>
        <w:t>　　本合同通用条款第</w:t>
      </w:r>
      <w:r>
        <w:rPr>
          <w:color w:val="000000"/>
          <w:sz w:val="24"/>
          <w:szCs w:val="24"/>
        </w:rPr>
        <w:t>26.4</w:t>
      </w:r>
      <w:r>
        <w:rPr>
          <w:rFonts w:hint="eastAsia"/>
          <w:color w:val="000000"/>
          <w:sz w:val="24"/>
          <w:szCs w:val="24"/>
        </w:rPr>
        <w:t>款约定发包人违约应承担的违约责任：</w:t>
      </w:r>
      <w:r>
        <w:rPr>
          <w:rFonts w:hint="eastAsia"/>
          <w:color w:val="000000"/>
          <w:sz w:val="24"/>
          <w:szCs w:val="24"/>
          <w:u w:val="single"/>
        </w:rPr>
        <w:t>执行通用条款</w:t>
      </w:r>
    </w:p>
    <w:p>
      <w:pPr>
        <w:pStyle w:val="62"/>
        <w:spacing w:before="120" w:after="120" w:line="360" w:lineRule="auto"/>
        <w:ind w:left="0" w:right="0"/>
        <w:rPr>
          <w:color w:val="000000"/>
          <w:sz w:val="24"/>
          <w:szCs w:val="24"/>
        </w:rPr>
      </w:pPr>
      <w:r>
        <w:rPr>
          <w:rFonts w:hint="eastAsia"/>
          <w:color w:val="000000"/>
          <w:sz w:val="24"/>
          <w:szCs w:val="24"/>
        </w:rPr>
        <w:t>　　本合同通用条款第</w:t>
      </w:r>
      <w:r>
        <w:rPr>
          <w:color w:val="000000"/>
          <w:sz w:val="24"/>
          <w:szCs w:val="24"/>
        </w:rPr>
        <w:t>33.3</w:t>
      </w:r>
      <w:r>
        <w:rPr>
          <w:rFonts w:hint="eastAsia"/>
          <w:color w:val="000000"/>
          <w:sz w:val="24"/>
          <w:szCs w:val="24"/>
        </w:rPr>
        <w:t>款约定发包人违约应承担的违约责任：</w:t>
      </w:r>
      <w:r>
        <w:rPr>
          <w:rFonts w:hint="eastAsia"/>
          <w:color w:val="000000"/>
          <w:sz w:val="24"/>
          <w:szCs w:val="24"/>
          <w:u w:val="single"/>
        </w:rPr>
        <w:t>执行通用条款</w:t>
      </w:r>
    </w:p>
    <w:p>
      <w:pPr>
        <w:pStyle w:val="62"/>
        <w:spacing w:before="120" w:after="120" w:line="360" w:lineRule="auto"/>
        <w:ind w:left="0" w:right="0"/>
        <w:rPr>
          <w:color w:val="000000"/>
          <w:sz w:val="24"/>
          <w:szCs w:val="24"/>
        </w:rPr>
      </w:pPr>
      <w:r>
        <w:rPr>
          <w:rFonts w:hint="eastAsia"/>
          <w:color w:val="000000"/>
          <w:sz w:val="24"/>
          <w:szCs w:val="24"/>
        </w:rPr>
        <w:t>　　双方约定的发包人其他违约责任：</w:t>
      </w:r>
      <w:r>
        <w:rPr>
          <w:rFonts w:hint="eastAsia"/>
          <w:color w:val="000000"/>
          <w:sz w:val="24"/>
          <w:szCs w:val="24"/>
          <w:u w:val="single"/>
        </w:rPr>
        <w:t>无</w:t>
      </w:r>
    </w:p>
    <w:p>
      <w:pPr>
        <w:pStyle w:val="62"/>
        <w:spacing w:before="120" w:after="120" w:line="360" w:lineRule="auto"/>
        <w:ind w:left="0" w:right="0"/>
        <w:rPr>
          <w:color w:val="000000"/>
          <w:sz w:val="24"/>
          <w:szCs w:val="24"/>
        </w:rPr>
      </w:pPr>
      <w:r>
        <w:rPr>
          <w:rFonts w:hint="eastAsia"/>
          <w:color w:val="000000"/>
          <w:sz w:val="24"/>
          <w:szCs w:val="24"/>
        </w:rPr>
        <w:t>　　24</w:t>
      </w:r>
      <w:r>
        <w:rPr>
          <w:color w:val="000000"/>
          <w:sz w:val="24"/>
          <w:szCs w:val="24"/>
        </w:rPr>
        <w:t>.2</w:t>
      </w:r>
      <w:r>
        <w:rPr>
          <w:rFonts w:hint="eastAsia"/>
          <w:color w:val="000000"/>
          <w:sz w:val="24"/>
          <w:szCs w:val="24"/>
        </w:rPr>
        <w:t>本合同中关于承包人违约的具体责任如下：</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本合同通用条款第</w:t>
      </w:r>
      <w:r>
        <w:rPr>
          <w:color w:val="000000"/>
          <w:sz w:val="24"/>
          <w:szCs w:val="24"/>
        </w:rPr>
        <w:t>14.2</w:t>
      </w:r>
      <w:r>
        <w:rPr>
          <w:rFonts w:hint="eastAsia"/>
          <w:color w:val="000000"/>
          <w:sz w:val="24"/>
          <w:szCs w:val="24"/>
        </w:rPr>
        <w:t>款约定承包人违约承担的违约责任：</w:t>
      </w:r>
      <w:r>
        <w:rPr>
          <w:rFonts w:hint="eastAsia"/>
          <w:color w:val="000000"/>
          <w:sz w:val="24"/>
          <w:szCs w:val="24"/>
          <w:u w:val="single"/>
        </w:rPr>
        <w:t>每拖期1天，按合同价的万分之二支付违约金，但累计不超过合同价的百分之三。</w:t>
      </w:r>
    </w:p>
    <w:p>
      <w:pPr>
        <w:pStyle w:val="62"/>
        <w:spacing w:before="120" w:after="120" w:line="360" w:lineRule="auto"/>
        <w:ind w:left="0" w:right="0"/>
        <w:rPr>
          <w:rFonts w:hint="eastAsia"/>
          <w:color w:val="000000"/>
          <w:sz w:val="24"/>
          <w:szCs w:val="24"/>
        </w:rPr>
      </w:pPr>
      <w:r>
        <w:rPr>
          <w:rFonts w:hint="eastAsia"/>
          <w:color w:val="000000"/>
          <w:sz w:val="24"/>
          <w:szCs w:val="24"/>
        </w:rPr>
        <w:t>　　本合同通用条款第</w:t>
      </w:r>
      <w:r>
        <w:rPr>
          <w:color w:val="000000"/>
          <w:sz w:val="24"/>
          <w:szCs w:val="24"/>
        </w:rPr>
        <w:t>15.1</w:t>
      </w:r>
      <w:r>
        <w:rPr>
          <w:rFonts w:hint="eastAsia"/>
          <w:color w:val="000000"/>
          <w:sz w:val="24"/>
          <w:szCs w:val="24"/>
        </w:rPr>
        <w:t>款约定承包人违约应承担的违约责任：</w:t>
      </w:r>
      <w:r>
        <w:rPr>
          <w:rFonts w:hint="eastAsia"/>
          <w:color w:val="000000"/>
          <w:sz w:val="24"/>
          <w:szCs w:val="24"/>
          <w:u w:val="single"/>
        </w:rPr>
        <w:t>因承包人原因工程质量达不到约定质量标准的，发包人有权要求承包人在合理期限内无偿修理或者返工、改建，直至达到合同约定的质量标准，经验收合格为止。发包人因此遭受的损失由承包人承担，且工期不予顺延。</w:t>
      </w:r>
    </w:p>
    <w:p>
      <w:pPr>
        <w:pStyle w:val="62"/>
        <w:spacing w:before="120" w:after="120" w:line="360" w:lineRule="auto"/>
        <w:rPr>
          <w:rFonts w:hint="eastAsia"/>
          <w:color w:val="000000"/>
          <w:sz w:val="24"/>
          <w:szCs w:val="24"/>
        </w:rPr>
      </w:pPr>
      <w:r>
        <w:rPr>
          <w:rFonts w:hint="eastAsia"/>
          <w:color w:val="000000"/>
          <w:sz w:val="24"/>
          <w:szCs w:val="24"/>
        </w:rPr>
        <w:t>24.3违约金处罚</w:t>
      </w:r>
    </w:p>
    <w:p>
      <w:pPr>
        <w:pStyle w:val="62"/>
        <w:spacing w:before="120" w:after="120" w:line="360" w:lineRule="auto"/>
        <w:rPr>
          <w:rFonts w:hint="eastAsia"/>
          <w:color w:val="000000"/>
          <w:sz w:val="24"/>
          <w:szCs w:val="24"/>
        </w:rPr>
      </w:pPr>
      <w:r>
        <w:rPr>
          <w:rFonts w:hint="eastAsia"/>
          <w:color w:val="000000"/>
          <w:sz w:val="24"/>
          <w:szCs w:val="24"/>
        </w:rPr>
        <w:t>有以下行为之一均视为承包人违约，承包人应当按下表规定支付违约金。</w:t>
      </w:r>
    </w:p>
    <w:tbl>
      <w:tblPr>
        <w:tblStyle w:val="24"/>
        <w:tblW w:w="963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6"/>
        <w:gridCol w:w="39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pPr>
              <w:pStyle w:val="62"/>
              <w:spacing w:before="120" w:after="120" w:line="360" w:lineRule="auto"/>
              <w:ind w:left="0"/>
              <w:rPr>
                <w:rFonts w:hint="eastAsia"/>
                <w:color w:val="000000"/>
                <w:sz w:val="24"/>
                <w:szCs w:val="24"/>
              </w:rPr>
            </w:pPr>
            <w:r>
              <w:rPr>
                <w:rFonts w:hint="eastAsia"/>
                <w:color w:val="000000"/>
                <w:sz w:val="24"/>
                <w:szCs w:val="24"/>
              </w:rPr>
              <w:t>序号</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违约情形</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违约责任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pPr>
              <w:pStyle w:val="62"/>
              <w:spacing w:before="120" w:after="120" w:line="360" w:lineRule="auto"/>
              <w:ind w:right="780"/>
              <w:jc w:val="center"/>
              <w:rPr>
                <w:rFonts w:hint="eastAsia"/>
                <w:color w:val="000000"/>
                <w:sz w:val="24"/>
                <w:szCs w:val="24"/>
              </w:rPr>
            </w:pPr>
            <w:r>
              <w:rPr>
                <w:rFonts w:hint="eastAsia"/>
                <w:color w:val="000000"/>
                <w:sz w:val="24"/>
                <w:szCs w:val="24"/>
              </w:rPr>
              <w:t>1</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按照要求，厂家未按时派人上门验货的</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支付违约金3万元/次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noWrap w:val="0"/>
            <w:vAlign w:val="center"/>
          </w:tcPr>
          <w:p>
            <w:pPr>
              <w:pStyle w:val="62"/>
              <w:spacing w:before="120" w:after="120" w:line="360" w:lineRule="auto"/>
              <w:jc w:val="right"/>
              <w:rPr>
                <w:rFonts w:hint="eastAsia"/>
                <w:color w:val="000000"/>
                <w:sz w:val="24"/>
                <w:szCs w:val="24"/>
              </w:rPr>
            </w:pPr>
            <w:r>
              <w:rPr>
                <w:rFonts w:hint="eastAsia"/>
                <w:color w:val="000000"/>
                <w:sz w:val="24"/>
                <w:szCs w:val="24"/>
              </w:rPr>
              <w:t>2</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项目负责人、技术负责人无正当理由未到位或擅自无故撤换的</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支付违约金8万元/次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34" w:type="dxa"/>
            <w:noWrap w:val="0"/>
            <w:vAlign w:val="center"/>
          </w:tcPr>
          <w:p>
            <w:pPr>
              <w:pStyle w:val="62"/>
              <w:spacing w:before="120" w:after="120" w:line="360" w:lineRule="auto"/>
              <w:jc w:val="right"/>
              <w:rPr>
                <w:rFonts w:hint="eastAsia"/>
                <w:color w:val="000000"/>
                <w:sz w:val="24"/>
                <w:szCs w:val="24"/>
              </w:rPr>
            </w:pPr>
            <w:r>
              <w:rPr>
                <w:rFonts w:hint="eastAsia"/>
                <w:color w:val="000000"/>
                <w:sz w:val="24"/>
                <w:szCs w:val="24"/>
              </w:rPr>
              <w:t>3</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项目负责人、技术负责人经业主同意更换或业主要求撤换的</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支付违约金2万元/次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noWrap w:val="0"/>
            <w:vAlign w:val="center"/>
          </w:tcPr>
          <w:p>
            <w:pPr>
              <w:pStyle w:val="62"/>
              <w:spacing w:before="120" w:after="120" w:line="360" w:lineRule="auto"/>
              <w:jc w:val="right"/>
              <w:rPr>
                <w:rFonts w:hint="eastAsia"/>
                <w:color w:val="000000"/>
                <w:sz w:val="24"/>
                <w:szCs w:val="24"/>
              </w:rPr>
            </w:pPr>
            <w:r>
              <w:rPr>
                <w:rFonts w:hint="eastAsia"/>
                <w:color w:val="000000"/>
                <w:sz w:val="24"/>
                <w:szCs w:val="24"/>
              </w:rPr>
              <w:t>4</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其他工作人员无正当理由未到位或擅自无故撤换的</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支付违约金1万元/次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noWrap w:val="0"/>
            <w:vAlign w:val="center"/>
          </w:tcPr>
          <w:p>
            <w:pPr>
              <w:pStyle w:val="62"/>
              <w:spacing w:before="120" w:after="120" w:line="360" w:lineRule="auto"/>
              <w:jc w:val="right"/>
              <w:rPr>
                <w:rFonts w:hint="eastAsia"/>
                <w:color w:val="000000"/>
                <w:sz w:val="24"/>
                <w:szCs w:val="24"/>
              </w:rPr>
            </w:pPr>
            <w:r>
              <w:rPr>
                <w:rFonts w:hint="eastAsia"/>
                <w:color w:val="000000"/>
                <w:sz w:val="24"/>
                <w:szCs w:val="24"/>
              </w:rPr>
              <w:t>5</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其他工作人员经业主同意更换或业主要求撤换的</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支付违约金1万元/次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noWrap w:val="0"/>
            <w:vAlign w:val="center"/>
          </w:tcPr>
          <w:p>
            <w:pPr>
              <w:pStyle w:val="62"/>
              <w:spacing w:before="120" w:after="120" w:line="360" w:lineRule="auto"/>
              <w:jc w:val="right"/>
              <w:rPr>
                <w:rFonts w:hint="eastAsia"/>
                <w:color w:val="000000"/>
                <w:sz w:val="24"/>
                <w:szCs w:val="24"/>
              </w:rPr>
            </w:pPr>
            <w:r>
              <w:rPr>
                <w:rFonts w:hint="eastAsia"/>
                <w:color w:val="000000"/>
                <w:sz w:val="24"/>
                <w:szCs w:val="24"/>
              </w:rPr>
              <w:t>6</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不管任何理由，项目负责人、技术负责人在其他项目中任职</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支付违约金5万元/次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34" w:type="dxa"/>
            <w:noWrap w:val="0"/>
            <w:vAlign w:val="center"/>
          </w:tcPr>
          <w:p>
            <w:pPr>
              <w:pStyle w:val="62"/>
              <w:spacing w:before="120" w:after="120" w:line="360" w:lineRule="auto"/>
              <w:jc w:val="right"/>
              <w:rPr>
                <w:rFonts w:hint="eastAsia"/>
                <w:color w:val="000000"/>
                <w:sz w:val="24"/>
                <w:szCs w:val="24"/>
              </w:rPr>
            </w:pPr>
            <w:r>
              <w:rPr>
                <w:rFonts w:hint="eastAsia"/>
                <w:color w:val="000000"/>
                <w:sz w:val="24"/>
                <w:szCs w:val="24"/>
              </w:rPr>
              <w:t>7</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技术负责人无正当理由并未经发包人认可的缺勤</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每缺勤1天，支付违约金2000元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34" w:type="dxa"/>
            <w:noWrap w:val="0"/>
            <w:vAlign w:val="center"/>
          </w:tcPr>
          <w:p>
            <w:pPr>
              <w:pStyle w:val="62"/>
              <w:spacing w:before="120" w:after="120" w:line="360" w:lineRule="auto"/>
              <w:jc w:val="right"/>
              <w:rPr>
                <w:rFonts w:hint="eastAsia"/>
                <w:color w:val="000000"/>
                <w:sz w:val="24"/>
                <w:szCs w:val="24"/>
              </w:rPr>
            </w:pPr>
            <w:r>
              <w:rPr>
                <w:rFonts w:hint="eastAsia"/>
                <w:color w:val="000000"/>
                <w:sz w:val="24"/>
                <w:szCs w:val="24"/>
              </w:rPr>
              <w:t>8</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技术负责人经业主同意缺勤</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每缺勤1天，支付违约金200元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34" w:type="dxa"/>
            <w:noWrap w:val="0"/>
            <w:vAlign w:val="center"/>
          </w:tcPr>
          <w:p>
            <w:pPr>
              <w:pStyle w:val="62"/>
              <w:spacing w:before="120" w:after="120" w:line="360" w:lineRule="auto"/>
              <w:jc w:val="right"/>
              <w:rPr>
                <w:rFonts w:hint="eastAsia"/>
                <w:color w:val="000000"/>
                <w:sz w:val="24"/>
                <w:szCs w:val="24"/>
              </w:rPr>
            </w:pPr>
            <w:r>
              <w:rPr>
                <w:rFonts w:hint="eastAsia"/>
                <w:color w:val="000000"/>
                <w:sz w:val="24"/>
                <w:szCs w:val="24"/>
              </w:rPr>
              <w:t>9</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其它人员无正当理由并未经发包人业主认可的缺勤</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每人每缺勤1天，支付违约金200元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34" w:type="dxa"/>
            <w:noWrap w:val="0"/>
            <w:vAlign w:val="center"/>
          </w:tcPr>
          <w:p>
            <w:pPr>
              <w:pStyle w:val="62"/>
              <w:spacing w:before="120" w:after="120" w:line="360" w:lineRule="auto"/>
              <w:ind w:left="0"/>
              <w:jc w:val="center"/>
              <w:rPr>
                <w:rFonts w:hint="eastAsia"/>
                <w:color w:val="000000"/>
                <w:sz w:val="24"/>
                <w:szCs w:val="24"/>
              </w:rPr>
            </w:pPr>
            <w:r>
              <w:rPr>
                <w:rFonts w:hint="eastAsia"/>
                <w:color w:val="000000"/>
                <w:sz w:val="24"/>
                <w:szCs w:val="24"/>
              </w:rPr>
              <w:t xml:space="preserve">  10                             </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其它人员经业主同意缺勤</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每人每缺勤1天，支付违约金100元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34" w:type="dxa"/>
            <w:noWrap w:val="0"/>
            <w:vAlign w:val="center"/>
          </w:tcPr>
          <w:p>
            <w:pPr>
              <w:pStyle w:val="62"/>
              <w:spacing w:before="120" w:after="120" w:line="360" w:lineRule="auto"/>
              <w:ind w:left="0"/>
              <w:jc w:val="center"/>
              <w:rPr>
                <w:rFonts w:hint="eastAsia"/>
                <w:color w:val="000000"/>
                <w:sz w:val="24"/>
                <w:szCs w:val="24"/>
              </w:rPr>
            </w:pPr>
            <w:r>
              <w:rPr>
                <w:rFonts w:hint="eastAsia"/>
                <w:color w:val="000000"/>
                <w:sz w:val="24"/>
                <w:szCs w:val="24"/>
              </w:rPr>
              <w:t xml:space="preserve">   11</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施工期间，承包人施工管理人员未挂牌上岗</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每1人次，支付违约金200元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34" w:type="dxa"/>
            <w:noWrap w:val="0"/>
            <w:vAlign w:val="center"/>
          </w:tcPr>
          <w:p>
            <w:pPr>
              <w:pStyle w:val="62"/>
              <w:spacing w:before="120" w:after="120" w:line="360" w:lineRule="auto"/>
              <w:ind w:left="0"/>
              <w:jc w:val="center"/>
              <w:rPr>
                <w:rFonts w:hint="eastAsia"/>
                <w:color w:val="000000"/>
                <w:sz w:val="24"/>
                <w:szCs w:val="24"/>
              </w:rPr>
            </w:pPr>
            <w:r>
              <w:rPr>
                <w:rFonts w:hint="eastAsia"/>
                <w:color w:val="000000"/>
                <w:sz w:val="24"/>
                <w:szCs w:val="24"/>
              </w:rPr>
              <w:t xml:space="preserve">  12</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因工作人员过错，而致使工程发生质量、安全事故，或受到责令停工整顿</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除受到法律法规的处罚外，还应每次按合同价的15%支付违约金；给委托人造成损失的应当按照合同的规定赔偿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134" w:type="dxa"/>
            <w:noWrap w:val="0"/>
            <w:vAlign w:val="center"/>
          </w:tcPr>
          <w:p>
            <w:pPr>
              <w:pStyle w:val="62"/>
              <w:spacing w:before="120" w:after="120" w:line="360" w:lineRule="auto"/>
              <w:ind w:left="0"/>
              <w:jc w:val="center"/>
              <w:rPr>
                <w:rFonts w:hint="eastAsia"/>
                <w:color w:val="000000"/>
                <w:sz w:val="24"/>
                <w:szCs w:val="24"/>
              </w:rPr>
            </w:pPr>
            <w:r>
              <w:rPr>
                <w:rFonts w:hint="eastAsia"/>
                <w:color w:val="000000"/>
                <w:sz w:val="24"/>
                <w:szCs w:val="24"/>
              </w:rPr>
              <w:t xml:space="preserve">  13</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在工程质量或合同价款审查中，有重大失误、弄虚作假或伪造签字的</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每人次按合同价的120%支付违约金；给委托人造成损失的，应当按照合同的规定赔偿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34" w:type="dxa"/>
            <w:noWrap w:val="0"/>
            <w:vAlign w:val="center"/>
          </w:tcPr>
          <w:p>
            <w:pPr>
              <w:pStyle w:val="62"/>
              <w:spacing w:before="120" w:after="120" w:line="360" w:lineRule="auto"/>
              <w:ind w:left="0"/>
              <w:jc w:val="center"/>
              <w:rPr>
                <w:rFonts w:hint="eastAsia"/>
                <w:color w:val="000000"/>
                <w:sz w:val="24"/>
                <w:szCs w:val="24"/>
              </w:rPr>
            </w:pPr>
            <w:r>
              <w:rPr>
                <w:rFonts w:hint="eastAsia"/>
                <w:color w:val="000000"/>
                <w:sz w:val="24"/>
                <w:szCs w:val="24"/>
              </w:rPr>
              <w:t xml:space="preserve">  14</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未兑现投标文件承诺的仪器设备及手段</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每台设备支付违约金人民币壹万元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34" w:type="dxa"/>
            <w:noWrap w:val="0"/>
            <w:vAlign w:val="center"/>
          </w:tcPr>
          <w:p>
            <w:pPr>
              <w:pStyle w:val="62"/>
              <w:spacing w:before="120" w:after="120" w:line="360" w:lineRule="auto"/>
              <w:ind w:left="0"/>
              <w:jc w:val="center"/>
              <w:rPr>
                <w:rFonts w:hint="eastAsia"/>
                <w:color w:val="000000"/>
                <w:sz w:val="24"/>
                <w:szCs w:val="24"/>
              </w:rPr>
            </w:pPr>
            <w:r>
              <w:rPr>
                <w:rFonts w:hint="eastAsia"/>
                <w:color w:val="000000"/>
                <w:sz w:val="24"/>
                <w:szCs w:val="24"/>
              </w:rPr>
              <w:t xml:space="preserve">  15</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投标书内的施工机械设备不能按时进场</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每迟到一日，支付违约金1000 元/台；直到设备进场为止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34" w:type="dxa"/>
            <w:noWrap w:val="0"/>
            <w:vAlign w:val="center"/>
          </w:tcPr>
          <w:p>
            <w:pPr>
              <w:pStyle w:val="62"/>
              <w:spacing w:before="120" w:after="120" w:line="360" w:lineRule="auto"/>
              <w:ind w:left="0"/>
              <w:jc w:val="center"/>
              <w:rPr>
                <w:rFonts w:hint="eastAsia"/>
                <w:color w:val="000000"/>
                <w:sz w:val="24"/>
                <w:szCs w:val="24"/>
              </w:rPr>
            </w:pPr>
            <w:r>
              <w:rPr>
                <w:rFonts w:hint="eastAsia"/>
                <w:color w:val="000000"/>
                <w:sz w:val="24"/>
                <w:szCs w:val="24"/>
              </w:rPr>
              <w:t xml:space="preserve">   16</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由于承包人的原因，或者与其他施工部门产生矛盾无法协调，造成工期延误的</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每延迟一天罚款1000元；并承担后续工程承包人的因工期延误造成的经济损失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34" w:type="dxa"/>
            <w:noWrap w:val="0"/>
            <w:vAlign w:val="center"/>
          </w:tcPr>
          <w:p>
            <w:pPr>
              <w:pStyle w:val="62"/>
              <w:spacing w:before="120" w:after="120" w:line="360" w:lineRule="auto"/>
              <w:ind w:left="0"/>
              <w:jc w:val="center"/>
              <w:rPr>
                <w:rFonts w:hint="eastAsia"/>
                <w:color w:val="000000"/>
                <w:sz w:val="24"/>
                <w:szCs w:val="24"/>
              </w:rPr>
            </w:pPr>
            <w:r>
              <w:rPr>
                <w:rFonts w:hint="eastAsia"/>
                <w:color w:val="000000"/>
                <w:sz w:val="24"/>
                <w:szCs w:val="24"/>
              </w:rPr>
              <w:t xml:space="preserve">   17</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不是由于发包人原因引起逾期竣工的</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每延迟一天，支付违约金5000元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34" w:type="dxa"/>
            <w:noWrap w:val="0"/>
            <w:vAlign w:val="center"/>
          </w:tcPr>
          <w:p>
            <w:pPr>
              <w:pStyle w:val="62"/>
              <w:spacing w:before="120" w:after="120" w:line="360" w:lineRule="auto"/>
              <w:ind w:left="0"/>
              <w:jc w:val="center"/>
              <w:rPr>
                <w:rFonts w:hint="eastAsia"/>
                <w:color w:val="000000"/>
                <w:sz w:val="24"/>
                <w:szCs w:val="24"/>
              </w:rPr>
            </w:pPr>
            <w:r>
              <w:rPr>
                <w:rFonts w:hint="eastAsia"/>
                <w:color w:val="000000"/>
                <w:sz w:val="24"/>
                <w:szCs w:val="24"/>
              </w:rPr>
              <w:t xml:space="preserve">   18</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若不能按时提供完整的竣工图纸和竣工资料的</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每延迟一天，支付违约金1000元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34" w:type="dxa"/>
            <w:noWrap w:val="0"/>
            <w:vAlign w:val="center"/>
          </w:tcPr>
          <w:p>
            <w:pPr>
              <w:pStyle w:val="62"/>
              <w:spacing w:before="120" w:after="120" w:line="360" w:lineRule="auto"/>
              <w:ind w:left="0"/>
              <w:jc w:val="center"/>
              <w:rPr>
                <w:rFonts w:hint="eastAsia"/>
                <w:color w:val="000000"/>
                <w:sz w:val="24"/>
                <w:szCs w:val="24"/>
              </w:rPr>
            </w:pPr>
            <w:r>
              <w:rPr>
                <w:rFonts w:hint="eastAsia"/>
                <w:color w:val="000000"/>
                <w:sz w:val="24"/>
                <w:szCs w:val="24"/>
              </w:rPr>
              <w:t xml:space="preserve">   19</w:t>
            </w:r>
          </w:p>
        </w:tc>
        <w:tc>
          <w:tcPr>
            <w:tcW w:w="4536"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工程竣工验收通过后15日内，承包人未撤离完的</w:t>
            </w:r>
          </w:p>
        </w:tc>
        <w:tc>
          <w:tcPr>
            <w:tcW w:w="3969" w:type="dxa"/>
            <w:noWrap w:val="0"/>
            <w:vAlign w:val="center"/>
          </w:tcPr>
          <w:p>
            <w:pPr>
              <w:pStyle w:val="62"/>
              <w:spacing w:before="120" w:after="120" w:line="360" w:lineRule="auto"/>
              <w:rPr>
                <w:rFonts w:hint="eastAsia"/>
                <w:color w:val="000000"/>
                <w:sz w:val="24"/>
                <w:szCs w:val="24"/>
              </w:rPr>
            </w:pPr>
            <w:r>
              <w:rPr>
                <w:rFonts w:hint="eastAsia"/>
                <w:color w:val="000000"/>
                <w:sz w:val="24"/>
                <w:szCs w:val="24"/>
              </w:rPr>
              <w:t>每延迟一天，支付违约金1000元</w:t>
            </w:r>
          </w:p>
        </w:tc>
      </w:tr>
    </w:tbl>
    <w:p>
      <w:pPr>
        <w:pStyle w:val="62"/>
        <w:spacing w:before="120" w:after="120" w:line="360" w:lineRule="auto"/>
        <w:rPr>
          <w:rFonts w:hint="eastAsia"/>
          <w:color w:val="000000"/>
          <w:sz w:val="24"/>
          <w:szCs w:val="24"/>
        </w:rPr>
      </w:pPr>
      <w:r>
        <w:rPr>
          <w:rFonts w:hint="eastAsia"/>
          <w:color w:val="000000"/>
          <w:sz w:val="24"/>
          <w:szCs w:val="24"/>
        </w:rPr>
        <w:t>注：</w:t>
      </w:r>
    </w:p>
    <w:p>
      <w:pPr>
        <w:pStyle w:val="62"/>
        <w:spacing w:before="120" w:after="120" w:line="360" w:lineRule="auto"/>
        <w:rPr>
          <w:rFonts w:hint="eastAsia"/>
          <w:color w:val="000000"/>
          <w:sz w:val="24"/>
          <w:szCs w:val="24"/>
        </w:rPr>
      </w:pPr>
      <w:r>
        <w:rPr>
          <w:rFonts w:hint="eastAsia"/>
          <w:color w:val="000000"/>
          <w:sz w:val="24"/>
          <w:szCs w:val="24"/>
        </w:rPr>
        <w:t>（1）工作人员未按合同规定履行职责，3次缺勤，或未参加工地例会达2次，均视同未到位。</w:t>
      </w:r>
    </w:p>
    <w:p>
      <w:pPr>
        <w:pStyle w:val="62"/>
        <w:spacing w:before="120" w:after="120" w:line="360" w:lineRule="auto"/>
        <w:rPr>
          <w:rFonts w:hint="eastAsia"/>
          <w:color w:val="000000"/>
          <w:sz w:val="24"/>
          <w:szCs w:val="24"/>
        </w:rPr>
      </w:pPr>
      <w:r>
        <w:rPr>
          <w:rFonts w:hint="eastAsia"/>
          <w:color w:val="000000"/>
          <w:sz w:val="24"/>
          <w:szCs w:val="24"/>
        </w:rPr>
        <w:t>（2）以上违约金可直接从合同总额中扣除。</w:t>
      </w:r>
    </w:p>
    <w:p>
      <w:pPr>
        <w:pStyle w:val="62"/>
        <w:spacing w:before="120" w:after="120" w:line="360" w:lineRule="auto"/>
        <w:rPr>
          <w:rFonts w:hint="eastAsia"/>
          <w:color w:val="000000"/>
          <w:sz w:val="24"/>
          <w:szCs w:val="24"/>
        </w:rPr>
      </w:pPr>
      <w:r>
        <w:rPr>
          <w:rFonts w:hint="eastAsia"/>
          <w:color w:val="000000"/>
          <w:sz w:val="24"/>
          <w:szCs w:val="24"/>
        </w:rPr>
        <w:t>（3）投标时安排的人员不得擅自更换，特殊情况经委托人同意后方可更换。</w:t>
      </w:r>
    </w:p>
    <w:p>
      <w:pPr>
        <w:pStyle w:val="62"/>
        <w:spacing w:before="120" w:after="120" w:line="360" w:lineRule="auto"/>
        <w:rPr>
          <w:rFonts w:hint="eastAsia"/>
          <w:color w:val="000000"/>
          <w:sz w:val="24"/>
          <w:szCs w:val="24"/>
        </w:rPr>
      </w:pPr>
      <w:r>
        <w:rPr>
          <w:rFonts w:hint="eastAsia"/>
          <w:color w:val="000000"/>
          <w:sz w:val="24"/>
          <w:szCs w:val="24"/>
        </w:rPr>
        <w:t>（4）违约金总额累计不超过合同总额的5%</w:t>
      </w:r>
    </w:p>
    <w:p>
      <w:pPr>
        <w:pStyle w:val="62"/>
        <w:spacing w:before="120" w:after="120" w:line="360" w:lineRule="auto"/>
        <w:rPr>
          <w:color w:val="000000"/>
          <w:sz w:val="24"/>
          <w:szCs w:val="24"/>
        </w:rPr>
      </w:pPr>
      <w:r>
        <w:rPr>
          <w:rFonts w:hint="eastAsia"/>
          <w:color w:val="000000"/>
          <w:sz w:val="24"/>
          <w:szCs w:val="24"/>
        </w:rPr>
        <w:t>（5）除人身伤害（包括死亡）外，承包人的全部责任，包括但不限于所有违约金、直接损失等，将累计仅限于承包人就作为索赔标的的设备或专业服务所已经支付的款项。同时约定了违约金的违约事项，如果违约金不足以弥补直接损失，承包人对超出部分赔偿。</w:t>
      </w:r>
    </w:p>
    <w:p>
      <w:pPr>
        <w:pStyle w:val="62"/>
        <w:spacing w:before="120" w:after="120" w:line="360" w:lineRule="auto"/>
        <w:ind w:left="0" w:right="0"/>
        <w:rPr>
          <w:color w:val="000000"/>
          <w:sz w:val="24"/>
          <w:szCs w:val="24"/>
        </w:rPr>
      </w:pPr>
      <w:r>
        <w:rPr>
          <w:rFonts w:hint="eastAsia"/>
          <w:color w:val="000000"/>
          <w:sz w:val="24"/>
          <w:szCs w:val="24"/>
        </w:rPr>
        <w:t>　　25、争议</w:t>
      </w:r>
      <w:r>
        <w:rPr>
          <w:color w:val="000000"/>
          <w:sz w:val="24"/>
          <w:szCs w:val="24"/>
        </w:rPr>
        <w:t xml:space="preserve"> </w:t>
      </w:r>
    </w:p>
    <w:p>
      <w:pPr>
        <w:pStyle w:val="62"/>
        <w:spacing w:before="120" w:after="120" w:line="360" w:lineRule="auto"/>
        <w:ind w:left="0" w:right="0"/>
        <w:rPr>
          <w:rFonts w:hint="eastAsia"/>
          <w:color w:val="000000"/>
          <w:sz w:val="24"/>
          <w:szCs w:val="24"/>
        </w:rPr>
      </w:pPr>
      <w:r>
        <w:rPr>
          <w:rFonts w:hint="eastAsia"/>
          <w:color w:val="000000"/>
          <w:sz w:val="24"/>
          <w:szCs w:val="24"/>
        </w:rPr>
        <w:t>　　25</w:t>
      </w:r>
      <w:r>
        <w:rPr>
          <w:color w:val="000000"/>
          <w:sz w:val="24"/>
          <w:szCs w:val="24"/>
        </w:rPr>
        <w:t>.1</w:t>
      </w:r>
      <w:r>
        <w:rPr>
          <w:rFonts w:hint="eastAsia"/>
          <w:color w:val="000000"/>
          <w:sz w:val="24"/>
          <w:szCs w:val="24"/>
        </w:rPr>
        <w:t>本合同履行过程中发生的争议，由双方当事人协商解决，协商不成的，按下列第</w:t>
      </w:r>
      <w:r>
        <w:rPr>
          <w:rFonts w:hint="eastAsia"/>
          <w:color w:val="000000"/>
          <w:sz w:val="24"/>
          <w:szCs w:val="24"/>
          <w:u w:val="single"/>
        </w:rPr>
        <w:t>（2）</w:t>
      </w:r>
      <w:r>
        <w:rPr>
          <w:rFonts w:hint="eastAsia"/>
          <w:color w:val="000000"/>
          <w:sz w:val="24"/>
          <w:szCs w:val="24"/>
        </w:rPr>
        <w:t>种方式解决：</w:t>
      </w:r>
    </w:p>
    <w:p>
      <w:pPr>
        <w:spacing w:line="360" w:lineRule="auto"/>
        <w:ind w:firstLine="480" w:firstLineChars="200"/>
        <w:rPr>
          <w:rFonts w:hint="eastAsia"/>
          <w:color w:val="000000"/>
          <w:sz w:val="24"/>
          <w:szCs w:val="24"/>
        </w:rPr>
      </w:pPr>
      <w:r>
        <w:rPr>
          <w:rFonts w:hint="eastAsia"/>
          <w:color w:val="000000"/>
          <w:sz w:val="24"/>
          <w:szCs w:val="24"/>
        </w:rPr>
        <w:t>（1）提交江西省仲裁委员会仲裁；</w:t>
      </w:r>
    </w:p>
    <w:p>
      <w:pPr>
        <w:spacing w:line="360" w:lineRule="auto"/>
        <w:ind w:firstLine="480" w:firstLineChars="200"/>
        <w:rPr>
          <w:rFonts w:hint="eastAsia"/>
          <w:color w:val="000000"/>
          <w:sz w:val="24"/>
          <w:szCs w:val="24"/>
        </w:rPr>
      </w:pPr>
      <w:r>
        <w:rPr>
          <w:rFonts w:hint="eastAsia"/>
          <w:color w:val="000000"/>
          <w:sz w:val="24"/>
          <w:szCs w:val="24"/>
        </w:rPr>
        <w:t>（2）依法向发包方所在地人民法院提起诉讼。</w:t>
      </w:r>
    </w:p>
    <w:p>
      <w:pPr>
        <w:pStyle w:val="62"/>
        <w:spacing w:before="120" w:after="120" w:line="360" w:lineRule="auto"/>
        <w:ind w:left="0" w:right="0" w:firstLine="480"/>
        <w:rPr>
          <w:rFonts w:hint="eastAsia"/>
          <w:color w:val="000000"/>
          <w:sz w:val="24"/>
          <w:szCs w:val="24"/>
        </w:rPr>
      </w:pPr>
      <w:r>
        <w:rPr>
          <w:rFonts w:hint="eastAsia"/>
          <w:color w:val="000000"/>
          <w:sz w:val="24"/>
          <w:szCs w:val="24"/>
        </w:rPr>
        <w:t>十一、其他</w:t>
      </w:r>
    </w:p>
    <w:p>
      <w:pPr>
        <w:pStyle w:val="62"/>
        <w:spacing w:before="120" w:after="120" w:line="360" w:lineRule="auto"/>
        <w:ind w:left="0" w:right="0" w:firstLine="480"/>
        <w:rPr>
          <w:color w:val="000000"/>
          <w:sz w:val="24"/>
          <w:szCs w:val="24"/>
        </w:rPr>
      </w:pPr>
      <w:r>
        <w:rPr>
          <w:rFonts w:hint="eastAsia"/>
          <w:color w:val="000000"/>
          <w:sz w:val="24"/>
          <w:szCs w:val="24"/>
        </w:rPr>
        <w:t>26、工程分包</w:t>
      </w:r>
      <w:r>
        <w:rPr>
          <w:color w:val="000000"/>
          <w:sz w:val="24"/>
          <w:szCs w:val="24"/>
        </w:rPr>
        <w:t xml:space="preserve"> </w:t>
      </w:r>
    </w:p>
    <w:p>
      <w:pPr>
        <w:pStyle w:val="62"/>
        <w:spacing w:before="120" w:after="120" w:line="360" w:lineRule="auto"/>
        <w:ind w:left="0" w:right="0"/>
        <w:rPr>
          <w:rFonts w:hint="eastAsia"/>
          <w:color w:val="000000"/>
          <w:sz w:val="24"/>
          <w:szCs w:val="24"/>
        </w:rPr>
      </w:pPr>
      <w:r>
        <w:rPr>
          <w:rFonts w:hint="eastAsia"/>
          <w:color w:val="000000"/>
          <w:sz w:val="24"/>
          <w:szCs w:val="24"/>
        </w:rPr>
        <w:t>　　26</w:t>
      </w:r>
      <w:r>
        <w:rPr>
          <w:color w:val="000000"/>
          <w:sz w:val="24"/>
          <w:szCs w:val="24"/>
        </w:rPr>
        <w:t>.1</w:t>
      </w:r>
      <w:r>
        <w:rPr>
          <w:rFonts w:hint="eastAsia"/>
          <w:color w:val="000000"/>
          <w:sz w:val="24"/>
          <w:szCs w:val="24"/>
        </w:rPr>
        <w:t>本工程发包人同意承包人分包的工程：</w:t>
      </w:r>
      <w:r>
        <w:rPr>
          <w:rFonts w:hint="eastAsia"/>
          <w:color w:val="000000"/>
          <w:sz w:val="24"/>
          <w:szCs w:val="24"/>
          <w:u w:val="single"/>
        </w:rPr>
        <w:t>消防工程和防雷工程</w:t>
      </w:r>
    </w:p>
    <w:p>
      <w:pPr>
        <w:pStyle w:val="62"/>
        <w:spacing w:before="120" w:after="120" w:line="360" w:lineRule="auto"/>
        <w:ind w:left="0" w:right="0"/>
        <w:rPr>
          <w:color w:val="000000"/>
          <w:sz w:val="24"/>
          <w:szCs w:val="24"/>
        </w:rPr>
      </w:pPr>
      <w:r>
        <w:rPr>
          <w:rFonts w:hint="eastAsia"/>
          <w:color w:val="000000"/>
          <w:sz w:val="24"/>
          <w:szCs w:val="24"/>
        </w:rPr>
        <w:t>　　分包施工单位为：</w:t>
      </w:r>
      <w:r>
        <w:rPr>
          <w:rFonts w:hint="eastAsia"/>
          <w:color w:val="000000"/>
          <w:sz w:val="24"/>
          <w:szCs w:val="24"/>
          <w:u w:val="single"/>
        </w:rPr>
        <w:t xml:space="preserve">                             </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27、不可抗力</w:t>
      </w:r>
      <w:r>
        <w:rPr>
          <w:color w:val="000000"/>
          <w:sz w:val="24"/>
          <w:szCs w:val="24"/>
        </w:rPr>
        <w:t xml:space="preserve"> </w:t>
      </w:r>
    </w:p>
    <w:p>
      <w:pPr>
        <w:pStyle w:val="62"/>
        <w:spacing w:before="120" w:after="120" w:line="360" w:lineRule="auto"/>
        <w:ind w:left="0" w:right="0"/>
        <w:rPr>
          <w:rFonts w:hint="eastAsia"/>
          <w:color w:val="000000"/>
          <w:sz w:val="24"/>
          <w:szCs w:val="24"/>
        </w:rPr>
      </w:pPr>
      <w:r>
        <w:rPr>
          <w:rFonts w:hint="eastAsia"/>
          <w:color w:val="000000"/>
          <w:sz w:val="24"/>
          <w:szCs w:val="24"/>
        </w:rPr>
        <w:t>　　27</w:t>
      </w:r>
      <w:r>
        <w:rPr>
          <w:color w:val="000000"/>
          <w:sz w:val="24"/>
          <w:szCs w:val="24"/>
        </w:rPr>
        <w:t>.1</w:t>
      </w:r>
      <w:r>
        <w:rPr>
          <w:rFonts w:hint="eastAsia"/>
          <w:color w:val="000000"/>
          <w:sz w:val="24"/>
          <w:szCs w:val="24"/>
        </w:rPr>
        <w:t>双方关于不可抗力的约定：</w:t>
      </w:r>
      <w:r>
        <w:rPr>
          <w:rFonts w:hint="eastAsia"/>
          <w:color w:val="000000"/>
          <w:sz w:val="24"/>
          <w:szCs w:val="24"/>
          <w:u w:val="single"/>
        </w:rPr>
        <w:t>按“通用条款”十一、38.1款执行。</w:t>
      </w:r>
    </w:p>
    <w:p>
      <w:pPr>
        <w:pStyle w:val="62"/>
        <w:spacing w:before="120" w:after="120" w:line="360" w:lineRule="auto"/>
        <w:ind w:left="0" w:right="0"/>
        <w:rPr>
          <w:color w:val="000000"/>
          <w:sz w:val="24"/>
          <w:szCs w:val="24"/>
        </w:rPr>
      </w:pPr>
      <w:r>
        <w:rPr>
          <w:rFonts w:hint="eastAsia"/>
          <w:color w:val="000000"/>
          <w:sz w:val="24"/>
          <w:szCs w:val="24"/>
        </w:rPr>
        <w:t>　　28、保险</w:t>
      </w:r>
      <w:r>
        <w:rPr>
          <w:color w:val="000000"/>
          <w:sz w:val="24"/>
          <w:szCs w:val="24"/>
        </w:rPr>
        <w:t xml:space="preserve"> </w:t>
      </w:r>
    </w:p>
    <w:p>
      <w:pPr>
        <w:pStyle w:val="62"/>
        <w:spacing w:before="120" w:after="120" w:line="360" w:lineRule="auto"/>
        <w:ind w:left="0" w:right="0"/>
        <w:rPr>
          <w:color w:val="000000"/>
          <w:sz w:val="24"/>
          <w:szCs w:val="24"/>
        </w:rPr>
      </w:pPr>
      <w:r>
        <w:rPr>
          <w:rFonts w:hint="eastAsia"/>
          <w:color w:val="000000"/>
          <w:sz w:val="24"/>
          <w:szCs w:val="24"/>
        </w:rPr>
        <w:t>　　28</w:t>
      </w:r>
      <w:r>
        <w:rPr>
          <w:color w:val="000000"/>
          <w:sz w:val="24"/>
          <w:szCs w:val="24"/>
        </w:rPr>
        <w:t>.</w:t>
      </w:r>
      <w:r>
        <w:rPr>
          <w:rFonts w:hint="eastAsia"/>
          <w:color w:val="000000"/>
          <w:sz w:val="24"/>
          <w:szCs w:val="24"/>
        </w:rPr>
        <w:t>1本工程双方约定投保内容如下：</w:t>
      </w:r>
      <w:r>
        <w:rPr>
          <w:color w:val="000000"/>
          <w:sz w:val="24"/>
          <w:szCs w:val="24"/>
        </w:rPr>
        <w:t xml:space="preserve"> </w:t>
      </w:r>
    </w:p>
    <w:p>
      <w:pPr>
        <w:pStyle w:val="62"/>
        <w:spacing w:before="120" w:after="120" w:line="360" w:lineRule="auto"/>
        <w:ind w:left="0" w:right="0"/>
        <w:rPr>
          <w:rFonts w:hint="eastAsia"/>
          <w:color w:val="000000"/>
          <w:sz w:val="24"/>
          <w:szCs w:val="24"/>
        </w:rPr>
      </w:pPr>
      <w:r>
        <w:rPr>
          <w:rFonts w:hint="eastAsia"/>
          <w:color w:val="000000"/>
          <w:sz w:val="24"/>
          <w:szCs w:val="24"/>
        </w:rPr>
        <w:t>　　（</w:t>
      </w:r>
      <w:r>
        <w:rPr>
          <w:color w:val="000000"/>
          <w:sz w:val="24"/>
          <w:szCs w:val="24"/>
        </w:rPr>
        <w:t>1</w:t>
      </w:r>
      <w:r>
        <w:rPr>
          <w:rFonts w:hint="eastAsia"/>
          <w:color w:val="000000"/>
          <w:sz w:val="24"/>
          <w:szCs w:val="24"/>
        </w:rPr>
        <w:t>）发包人投保内容：</w:t>
      </w:r>
      <w:r>
        <w:rPr>
          <w:rFonts w:hint="eastAsia"/>
          <w:color w:val="000000"/>
          <w:sz w:val="24"/>
          <w:szCs w:val="24"/>
          <w:u w:val="single"/>
        </w:rPr>
        <w:t>无</w:t>
      </w:r>
    </w:p>
    <w:p>
      <w:pPr>
        <w:pStyle w:val="62"/>
        <w:spacing w:before="120" w:after="120" w:line="360" w:lineRule="auto"/>
        <w:ind w:left="0" w:right="0"/>
        <w:rPr>
          <w:rFonts w:hint="eastAsia"/>
          <w:color w:val="000000"/>
          <w:sz w:val="24"/>
          <w:szCs w:val="24"/>
        </w:rPr>
      </w:pPr>
      <w:r>
        <w:rPr>
          <w:rFonts w:hint="eastAsia"/>
          <w:color w:val="000000"/>
          <w:sz w:val="24"/>
          <w:szCs w:val="24"/>
        </w:rPr>
        <w:t>　　发包人委托承包人办理的保险事项：</w:t>
      </w:r>
      <w:r>
        <w:rPr>
          <w:rFonts w:hint="eastAsia"/>
          <w:color w:val="000000"/>
          <w:sz w:val="24"/>
          <w:szCs w:val="24"/>
          <w:u w:val="single"/>
        </w:rPr>
        <w:t>无</w:t>
      </w:r>
    </w:p>
    <w:p>
      <w:pPr>
        <w:pStyle w:val="62"/>
        <w:spacing w:before="120" w:after="120" w:line="360" w:lineRule="auto"/>
        <w:ind w:left="0" w:right="0"/>
        <w:rPr>
          <w:rFonts w:hint="eastAsia"/>
          <w:color w:val="000000"/>
          <w:sz w:val="24"/>
          <w:szCs w:val="24"/>
          <w:u w:val="single"/>
        </w:rPr>
      </w:pPr>
      <w:r>
        <w:rPr>
          <w:rFonts w:hint="eastAsia"/>
          <w:color w:val="000000"/>
          <w:sz w:val="24"/>
          <w:szCs w:val="24"/>
        </w:rPr>
        <w:t>　　（</w:t>
      </w:r>
      <w:r>
        <w:rPr>
          <w:color w:val="000000"/>
          <w:sz w:val="24"/>
          <w:szCs w:val="24"/>
        </w:rPr>
        <w:t>2</w:t>
      </w:r>
      <w:r>
        <w:rPr>
          <w:rFonts w:hint="eastAsia"/>
          <w:color w:val="000000"/>
          <w:sz w:val="24"/>
          <w:szCs w:val="24"/>
        </w:rPr>
        <w:t>）承包人投保内容：</w:t>
      </w:r>
      <w:r>
        <w:rPr>
          <w:rFonts w:hint="eastAsia"/>
          <w:color w:val="000000"/>
          <w:sz w:val="24"/>
          <w:szCs w:val="24"/>
          <w:u w:val="single"/>
        </w:rPr>
        <w:t>承包人应按规定投保相关保险（包括但不限于其工作人员的基本医疗保险、基本养老保险、事业保险、农民工工伤保险），此费用已包含在承包人的投标报价中。</w:t>
      </w:r>
    </w:p>
    <w:p>
      <w:pPr>
        <w:pStyle w:val="62"/>
        <w:spacing w:before="120" w:after="120" w:line="360" w:lineRule="auto"/>
        <w:ind w:left="0" w:right="0" w:firstLine="405"/>
        <w:rPr>
          <w:rFonts w:hint="eastAsia"/>
          <w:color w:val="000000"/>
          <w:sz w:val="24"/>
          <w:szCs w:val="24"/>
        </w:rPr>
      </w:pPr>
      <w:r>
        <w:rPr>
          <w:rFonts w:hint="eastAsia"/>
          <w:color w:val="000000"/>
          <w:sz w:val="24"/>
          <w:szCs w:val="24"/>
        </w:rPr>
        <w:t>29、培训服务</w:t>
      </w:r>
    </w:p>
    <w:p>
      <w:pPr>
        <w:pStyle w:val="62"/>
        <w:spacing w:before="120" w:after="120" w:line="360" w:lineRule="auto"/>
        <w:ind w:left="0" w:right="0" w:firstLine="405"/>
        <w:rPr>
          <w:rFonts w:hint="eastAsia"/>
          <w:bCs/>
          <w:color w:val="000000"/>
          <w:sz w:val="24"/>
          <w:szCs w:val="24"/>
        </w:rPr>
      </w:pPr>
      <w:r>
        <w:rPr>
          <w:rFonts w:hint="eastAsia"/>
          <w:color w:val="000000"/>
          <w:sz w:val="24"/>
          <w:szCs w:val="24"/>
        </w:rPr>
        <w:t>29.1</w:t>
      </w:r>
      <w:r>
        <w:rPr>
          <w:rFonts w:hint="eastAsia"/>
          <w:bCs/>
          <w:color w:val="000000"/>
          <w:sz w:val="24"/>
          <w:szCs w:val="24"/>
        </w:rPr>
        <w:t>承包方提供培训人员所需的设备、工具、测试仪表及相关教材和培训课程。确保发包方的工作人员对所提供的系统装置、设备的各方面的情况能加以掌握，比如装置的设计，每天的运转，损坏和例行的维修保养等。此外也使工作人员掌握所有装置，设备的故障如何排除等。</w:t>
      </w:r>
    </w:p>
    <w:p>
      <w:pPr>
        <w:pStyle w:val="62"/>
        <w:spacing w:before="120" w:after="120" w:line="360" w:lineRule="auto"/>
        <w:rPr>
          <w:rFonts w:hint="eastAsia"/>
          <w:bCs/>
          <w:color w:val="000000"/>
          <w:sz w:val="24"/>
          <w:szCs w:val="24"/>
        </w:rPr>
      </w:pPr>
      <w:r>
        <w:rPr>
          <w:rFonts w:hint="eastAsia"/>
          <w:bCs/>
          <w:color w:val="000000"/>
          <w:sz w:val="24"/>
          <w:szCs w:val="24"/>
        </w:rPr>
        <w:t>29.2承包方提供如下两种技术培训：现场培训和中高级技术培训。</w:t>
      </w:r>
    </w:p>
    <w:p>
      <w:pPr>
        <w:pStyle w:val="62"/>
        <w:spacing w:before="120" w:after="120" w:line="360" w:lineRule="auto"/>
        <w:ind w:firstLine="405"/>
        <w:rPr>
          <w:rFonts w:hint="eastAsia"/>
          <w:bCs/>
          <w:color w:val="000000"/>
          <w:sz w:val="24"/>
          <w:szCs w:val="24"/>
        </w:rPr>
      </w:pPr>
      <w:r>
        <w:rPr>
          <w:rFonts w:hint="eastAsia"/>
          <w:bCs/>
          <w:color w:val="000000"/>
          <w:sz w:val="24"/>
          <w:szCs w:val="24"/>
        </w:rPr>
        <w:t>（1）现场培训</w:t>
      </w:r>
    </w:p>
    <w:p>
      <w:pPr>
        <w:pStyle w:val="62"/>
        <w:spacing w:before="120" w:after="120" w:line="360" w:lineRule="auto"/>
        <w:ind w:firstLine="405"/>
        <w:rPr>
          <w:rFonts w:hint="eastAsia"/>
          <w:bCs/>
          <w:color w:val="000000"/>
          <w:sz w:val="24"/>
          <w:szCs w:val="24"/>
        </w:rPr>
      </w:pPr>
      <w:r>
        <w:rPr>
          <w:rFonts w:hint="eastAsia"/>
          <w:bCs/>
          <w:color w:val="000000"/>
          <w:sz w:val="24"/>
          <w:szCs w:val="24"/>
        </w:rPr>
        <w:t>培训对象：发包方的技术人员</w:t>
      </w:r>
    </w:p>
    <w:p>
      <w:pPr>
        <w:pStyle w:val="62"/>
        <w:spacing w:before="120" w:after="120" w:line="360" w:lineRule="auto"/>
        <w:ind w:firstLine="405"/>
        <w:rPr>
          <w:rFonts w:hint="eastAsia"/>
          <w:bCs/>
          <w:color w:val="000000"/>
          <w:sz w:val="24"/>
          <w:szCs w:val="24"/>
        </w:rPr>
      </w:pPr>
      <w:r>
        <w:rPr>
          <w:rFonts w:hint="eastAsia"/>
          <w:bCs/>
          <w:color w:val="000000"/>
          <w:sz w:val="24"/>
          <w:szCs w:val="24"/>
        </w:rPr>
        <w:t>培训内容：讲解设备/系统的使用方法和设置等</w:t>
      </w:r>
    </w:p>
    <w:p>
      <w:pPr>
        <w:pStyle w:val="62"/>
        <w:spacing w:before="120" w:after="120" w:line="360" w:lineRule="auto"/>
        <w:ind w:firstLine="405"/>
        <w:rPr>
          <w:rFonts w:hint="eastAsia"/>
          <w:bCs/>
          <w:color w:val="000000"/>
          <w:sz w:val="24"/>
          <w:szCs w:val="24"/>
        </w:rPr>
      </w:pPr>
      <w:r>
        <w:rPr>
          <w:rFonts w:hint="eastAsia"/>
          <w:bCs/>
          <w:color w:val="000000"/>
          <w:sz w:val="24"/>
          <w:szCs w:val="24"/>
        </w:rPr>
        <w:t>培训日期：现场安装时</w:t>
      </w:r>
    </w:p>
    <w:p>
      <w:pPr>
        <w:pStyle w:val="62"/>
        <w:spacing w:before="120" w:after="120" w:line="360" w:lineRule="auto"/>
        <w:ind w:firstLine="405"/>
        <w:rPr>
          <w:rFonts w:hint="eastAsia"/>
          <w:bCs/>
          <w:color w:val="000000"/>
          <w:sz w:val="24"/>
          <w:szCs w:val="24"/>
        </w:rPr>
      </w:pPr>
      <w:r>
        <w:rPr>
          <w:rFonts w:hint="eastAsia"/>
          <w:bCs/>
          <w:color w:val="000000"/>
          <w:sz w:val="24"/>
          <w:szCs w:val="24"/>
        </w:rPr>
        <w:t>培训人数：10人</w:t>
      </w:r>
    </w:p>
    <w:p>
      <w:pPr>
        <w:pStyle w:val="62"/>
        <w:spacing w:before="120" w:after="120" w:line="360" w:lineRule="auto"/>
        <w:ind w:firstLine="405"/>
        <w:rPr>
          <w:rFonts w:hint="eastAsia"/>
          <w:bCs/>
          <w:color w:val="000000"/>
          <w:sz w:val="24"/>
          <w:szCs w:val="24"/>
        </w:rPr>
      </w:pPr>
      <w:r>
        <w:rPr>
          <w:rFonts w:hint="eastAsia"/>
          <w:bCs/>
          <w:color w:val="000000"/>
          <w:sz w:val="24"/>
          <w:szCs w:val="24"/>
        </w:rPr>
        <w:t>培训地点：安装现场</w:t>
      </w:r>
    </w:p>
    <w:p>
      <w:pPr>
        <w:pStyle w:val="62"/>
        <w:spacing w:before="120" w:after="120" w:line="360" w:lineRule="auto"/>
        <w:ind w:firstLine="405"/>
        <w:rPr>
          <w:rFonts w:hint="eastAsia"/>
          <w:bCs/>
          <w:color w:val="000000"/>
          <w:sz w:val="24"/>
          <w:szCs w:val="24"/>
        </w:rPr>
      </w:pPr>
      <w:r>
        <w:rPr>
          <w:rFonts w:hint="eastAsia"/>
          <w:bCs/>
          <w:color w:val="000000"/>
          <w:sz w:val="24"/>
          <w:szCs w:val="24"/>
        </w:rPr>
        <w:t>培训教材：承包方提供</w:t>
      </w:r>
    </w:p>
    <w:p>
      <w:pPr>
        <w:pStyle w:val="62"/>
        <w:spacing w:before="120" w:after="120" w:line="360" w:lineRule="auto"/>
        <w:ind w:firstLine="405"/>
        <w:rPr>
          <w:rFonts w:hint="eastAsia"/>
          <w:bCs/>
          <w:color w:val="000000"/>
          <w:sz w:val="24"/>
          <w:szCs w:val="24"/>
        </w:rPr>
      </w:pPr>
      <w:r>
        <w:rPr>
          <w:rFonts w:hint="eastAsia"/>
          <w:bCs/>
          <w:color w:val="000000"/>
          <w:sz w:val="24"/>
          <w:szCs w:val="24"/>
        </w:rPr>
        <w:t>（2）中高级技术培训</w:t>
      </w:r>
    </w:p>
    <w:p>
      <w:pPr>
        <w:pStyle w:val="62"/>
        <w:spacing w:before="120" w:after="120" w:line="360" w:lineRule="auto"/>
        <w:ind w:firstLine="405"/>
        <w:rPr>
          <w:rFonts w:hint="eastAsia"/>
          <w:bCs/>
          <w:color w:val="000000"/>
          <w:sz w:val="24"/>
          <w:szCs w:val="24"/>
        </w:rPr>
      </w:pPr>
      <w:r>
        <w:rPr>
          <w:rFonts w:hint="eastAsia"/>
          <w:bCs/>
          <w:color w:val="000000"/>
          <w:sz w:val="24"/>
          <w:szCs w:val="24"/>
        </w:rPr>
        <w:t>培训对象：发包人及与本项目有关的其它人员；</w:t>
      </w:r>
    </w:p>
    <w:p>
      <w:pPr>
        <w:pStyle w:val="62"/>
        <w:spacing w:before="120" w:after="120" w:line="360" w:lineRule="auto"/>
        <w:ind w:firstLine="405"/>
        <w:rPr>
          <w:rFonts w:hint="eastAsia"/>
          <w:bCs/>
          <w:color w:val="000000"/>
          <w:sz w:val="24"/>
          <w:szCs w:val="24"/>
        </w:rPr>
      </w:pPr>
      <w:r>
        <w:rPr>
          <w:rFonts w:hint="eastAsia"/>
          <w:bCs/>
          <w:color w:val="000000"/>
          <w:sz w:val="24"/>
          <w:szCs w:val="24"/>
        </w:rPr>
        <w:t>培训内容：设备/系统操作与使用、管理、日常维护与保养、故障排除、系统及产品结构与原理以及其它内容；</w:t>
      </w:r>
    </w:p>
    <w:p>
      <w:pPr>
        <w:pStyle w:val="62"/>
        <w:spacing w:before="120" w:after="120" w:line="360" w:lineRule="auto"/>
        <w:ind w:firstLine="405"/>
        <w:rPr>
          <w:rFonts w:hint="eastAsia"/>
          <w:bCs/>
          <w:color w:val="000000"/>
          <w:sz w:val="24"/>
          <w:szCs w:val="24"/>
        </w:rPr>
      </w:pPr>
      <w:r>
        <w:rPr>
          <w:rFonts w:hint="eastAsia"/>
          <w:bCs/>
          <w:color w:val="000000"/>
          <w:sz w:val="24"/>
          <w:szCs w:val="24"/>
        </w:rPr>
        <w:t>培训日期：双方协商确定</w:t>
      </w:r>
    </w:p>
    <w:p>
      <w:pPr>
        <w:pStyle w:val="62"/>
        <w:spacing w:before="120" w:after="120" w:line="360" w:lineRule="auto"/>
        <w:ind w:firstLine="405"/>
        <w:rPr>
          <w:rFonts w:hint="eastAsia"/>
          <w:bCs/>
          <w:color w:val="000000"/>
          <w:sz w:val="24"/>
          <w:szCs w:val="24"/>
        </w:rPr>
      </w:pPr>
      <w:r>
        <w:rPr>
          <w:rFonts w:hint="eastAsia"/>
          <w:bCs/>
          <w:color w:val="000000"/>
          <w:sz w:val="24"/>
          <w:szCs w:val="24"/>
        </w:rPr>
        <w:t>培训天数：5天</w:t>
      </w:r>
    </w:p>
    <w:p>
      <w:pPr>
        <w:pStyle w:val="62"/>
        <w:spacing w:before="120" w:after="120" w:line="360" w:lineRule="auto"/>
        <w:ind w:firstLine="405"/>
        <w:rPr>
          <w:rFonts w:hint="eastAsia"/>
          <w:bCs/>
          <w:color w:val="000000"/>
          <w:sz w:val="24"/>
          <w:szCs w:val="24"/>
        </w:rPr>
      </w:pPr>
      <w:r>
        <w:rPr>
          <w:rFonts w:hint="eastAsia"/>
          <w:bCs/>
          <w:color w:val="000000"/>
          <w:sz w:val="24"/>
          <w:szCs w:val="24"/>
        </w:rPr>
        <w:t>培训人数：5人</w:t>
      </w:r>
    </w:p>
    <w:p>
      <w:pPr>
        <w:pStyle w:val="62"/>
        <w:spacing w:before="120" w:after="120" w:line="360" w:lineRule="auto"/>
        <w:ind w:firstLine="405"/>
        <w:rPr>
          <w:rFonts w:hint="eastAsia" w:eastAsiaTheme="minorEastAsia"/>
          <w:bCs/>
          <w:color w:val="000000"/>
          <w:sz w:val="24"/>
          <w:szCs w:val="24"/>
          <w:lang w:eastAsia="zh-CN"/>
        </w:rPr>
      </w:pPr>
      <w:r>
        <w:rPr>
          <w:rFonts w:hint="eastAsia"/>
          <w:bCs/>
          <w:color w:val="000000"/>
          <w:sz w:val="24"/>
          <w:szCs w:val="24"/>
        </w:rPr>
        <w:t>培训地点：</w:t>
      </w:r>
    </w:p>
    <w:p>
      <w:pPr>
        <w:pStyle w:val="62"/>
        <w:spacing w:before="120" w:after="120" w:line="360" w:lineRule="auto"/>
        <w:ind w:left="0" w:right="0" w:firstLine="816" w:firstLineChars="340"/>
        <w:rPr>
          <w:rFonts w:hint="eastAsia"/>
          <w:bCs/>
          <w:color w:val="000000"/>
          <w:sz w:val="24"/>
          <w:szCs w:val="24"/>
        </w:rPr>
      </w:pPr>
      <w:r>
        <w:rPr>
          <w:rFonts w:hint="eastAsia"/>
          <w:bCs/>
          <w:color w:val="000000"/>
          <w:sz w:val="24"/>
          <w:szCs w:val="24"/>
        </w:rPr>
        <w:t>培训教材：为每位学员提供中文教材，教材包括纸质版和电子版。</w:t>
      </w:r>
    </w:p>
    <w:p>
      <w:pPr>
        <w:pStyle w:val="62"/>
        <w:spacing w:before="120" w:after="120" w:line="360" w:lineRule="auto"/>
        <w:ind w:left="0" w:right="0" w:firstLine="405"/>
        <w:rPr>
          <w:rFonts w:hint="eastAsia"/>
          <w:bCs/>
          <w:color w:val="000000"/>
          <w:sz w:val="24"/>
          <w:szCs w:val="24"/>
        </w:rPr>
      </w:pPr>
      <w:r>
        <w:rPr>
          <w:rFonts w:hint="eastAsia"/>
          <w:bCs/>
          <w:color w:val="000000"/>
          <w:sz w:val="24"/>
          <w:szCs w:val="24"/>
        </w:rPr>
        <w:t>29.3所有培训作为服务要求的一部分，发包方不用支付与培训相关的任何费用。</w:t>
      </w:r>
    </w:p>
    <w:p>
      <w:pPr>
        <w:pStyle w:val="62"/>
        <w:spacing w:before="120" w:after="120" w:line="360" w:lineRule="auto"/>
        <w:ind w:left="0" w:right="0" w:firstLine="405"/>
        <w:rPr>
          <w:color w:val="000000"/>
          <w:sz w:val="24"/>
          <w:szCs w:val="24"/>
        </w:rPr>
      </w:pPr>
      <w:r>
        <w:rPr>
          <w:rFonts w:hint="eastAsia"/>
          <w:color w:val="000000"/>
          <w:sz w:val="24"/>
          <w:szCs w:val="24"/>
        </w:rPr>
        <w:t>30、合同份数</w:t>
      </w:r>
      <w:r>
        <w:rPr>
          <w:color w:val="000000"/>
          <w:sz w:val="24"/>
          <w:szCs w:val="24"/>
        </w:rPr>
        <w:t xml:space="preserve"> </w:t>
      </w:r>
    </w:p>
    <w:p>
      <w:pPr>
        <w:pStyle w:val="62"/>
        <w:spacing w:before="120" w:after="120" w:line="360" w:lineRule="auto"/>
        <w:ind w:left="0" w:right="0" w:firstLine="480" w:firstLineChars="200"/>
        <w:rPr>
          <w:rFonts w:hint="eastAsia"/>
          <w:color w:val="000000"/>
          <w:sz w:val="24"/>
          <w:szCs w:val="24"/>
        </w:rPr>
      </w:pPr>
      <w:r>
        <w:rPr>
          <w:rFonts w:hint="eastAsia"/>
          <w:color w:val="000000"/>
          <w:sz w:val="24"/>
          <w:szCs w:val="24"/>
        </w:rPr>
        <w:t>30</w:t>
      </w:r>
      <w:r>
        <w:rPr>
          <w:color w:val="000000"/>
          <w:sz w:val="24"/>
          <w:szCs w:val="24"/>
        </w:rPr>
        <w:t>.1</w:t>
      </w:r>
      <w:r>
        <w:rPr>
          <w:rFonts w:hint="eastAsia"/>
          <w:color w:val="000000"/>
          <w:sz w:val="24"/>
          <w:szCs w:val="24"/>
        </w:rPr>
        <w:t>双方约定合同份数：</w:t>
      </w:r>
      <w:r>
        <w:rPr>
          <w:rFonts w:hint="eastAsia"/>
          <w:color w:val="000000"/>
          <w:sz w:val="24"/>
          <w:szCs w:val="24"/>
          <w:u w:val="single"/>
        </w:rPr>
        <w:t>正本贰份，双方各执壹份；副本贰份，双方各执壹份。</w:t>
      </w:r>
    </w:p>
    <w:p>
      <w:pPr>
        <w:pStyle w:val="62"/>
        <w:spacing w:before="120" w:after="120" w:line="360" w:lineRule="auto"/>
        <w:ind w:left="0" w:right="0"/>
        <w:rPr>
          <w:rFonts w:hint="eastAsia"/>
          <w:color w:val="000000"/>
          <w:sz w:val="24"/>
          <w:szCs w:val="24"/>
        </w:rPr>
      </w:pPr>
      <w:r>
        <w:rPr>
          <w:rFonts w:hint="eastAsia"/>
          <w:color w:val="000000"/>
          <w:sz w:val="24"/>
          <w:szCs w:val="24"/>
        </w:rPr>
        <w:t>　　</w:t>
      </w:r>
    </w:p>
    <w:p>
      <w:pPr>
        <w:pStyle w:val="62"/>
        <w:spacing w:before="120" w:after="120" w:line="360" w:lineRule="auto"/>
        <w:ind w:left="0" w:right="0"/>
        <w:rPr>
          <w:rFonts w:hint="eastAsia"/>
          <w:color w:val="000000"/>
          <w:sz w:val="24"/>
          <w:szCs w:val="24"/>
        </w:rPr>
      </w:pPr>
    </w:p>
    <w:p>
      <w:pPr>
        <w:pStyle w:val="62"/>
        <w:spacing w:before="120" w:after="120" w:line="360" w:lineRule="auto"/>
        <w:ind w:left="0" w:right="0"/>
        <w:rPr>
          <w:rFonts w:hint="eastAsia"/>
          <w:color w:val="000000"/>
          <w:sz w:val="24"/>
          <w:szCs w:val="24"/>
        </w:rPr>
      </w:pPr>
    </w:p>
    <w:p>
      <w:pPr>
        <w:pStyle w:val="62"/>
        <w:spacing w:before="120" w:after="120" w:line="360" w:lineRule="auto"/>
        <w:ind w:left="0" w:right="0"/>
        <w:rPr>
          <w:rFonts w:hint="eastAsia"/>
          <w:color w:val="000000"/>
          <w:sz w:val="24"/>
          <w:szCs w:val="24"/>
        </w:rPr>
      </w:pPr>
    </w:p>
    <w:p>
      <w:pPr>
        <w:pStyle w:val="62"/>
        <w:spacing w:before="120" w:after="120" w:line="360" w:lineRule="auto"/>
        <w:ind w:left="0" w:right="0"/>
        <w:rPr>
          <w:rFonts w:hint="eastAsia"/>
          <w:color w:val="000000"/>
          <w:sz w:val="24"/>
          <w:szCs w:val="24"/>
        </w:rPr>
      </w:pPr>
    </w:p>
    <w:p>
      <w:pPr>
        <w:pStyle w:val="62"/>
        <w:spacing w:before="120" w:after="120" w:line="360" w:lineRule="auto"/>
        <w:ind w:left="0" w:right="0"/>
        <w:rPr>
          <w:rFonts w:hint="eastAsia"/>
          <w:color w:val="000000"/>
          <w:sz w:val="24"/>
          <w:szCs w:val="24"/>
        </w:rPr>
      </w:pPr>
    </w:p>
    <w:p>
      <w:pPr>
        <w:pStyle w:val="62"/>
        <w:spacing w:before="120" w:after="120" w:line="360" w:lineRule="auto"/>
        <w:ind w:left="0" w:right="0"/>
        <w:rPr>
          <w:rFonts w:hint="eastAsia"/>
          <w:color w:val="000000"/>
          <w:sz w:val="24"/>
          <w:szCs w:val="24"/>
        </w:rPr>
      </w:pPr>
    </w:p>
    <w:p>
      <w:pPr>
        <w:pStyle w:val="62"/>
        <w:spacing w:before="120" w:after="120" w:line="360" w:lineRule="auto"/>
        <w:ind w:left="0" w:right="0"/>
        <w:rPr>
          <w:rFonts w:hint="eastAsia"/>
          <w:color w:val="000000"/>
          <w:sz w:val="24"/>
          <w:szCs w:val="24"/>
        </w:rPr>
      </w:pPr>
    </w:p>
    <w:p>
      <w:pPr>
        <w:pStyle w:val="62"/>
        <w:spacing w:before="120" w:after="120" w:line="360" w:lineRule="auto"/>
        <w:ind w:left="0" w:right="0"/>
        <w:rPr>
          <w:rFonts w:hint="eastAsia"/>
          <w:color w:val="000000"/>
          <w:sz w:val="24"/>
          <w:szCs w:val="24"/>
        </w:rPr>
      </w:pPr>
    </w:p>
    <w:p>
      <w:pPr>
        <w:adjustRightInd w:val="0"/>
        <w:snapToGrid w:val="0"/>
        <w:spacing w:before="120" w:after="120" w:line="360" w:lineRule="auto"/>
        <w:jc w:val="center"/>
        <w:rPr>
          <w:rFonts w:hint="eastAsia" w:ascii="宋体" w:hAnsi="宋体"/>
          <w:b/>
          <w:color w:val="000000"/>
          <w:sz w:val="24"/>
          <w:szCs w:val="24"/>
        </w:rPr>
      </w:pPr>
      <w:r>
        <w:rPr>
          <w:rFonts w:hint="eastAsia" w:ascii="宋体" w:hAnsi="宋体"/>
          <w:b/>
          <w:color w:val="000000"/>
          <w:sz w:val="24"/>
          <w:szCs w:val="24"/>
        </w:rPr>
        <w:t>第四部分、</w:t>
      </w:r>
      <w:r>
        <w:rPr>
          <w:rFonts w:hint="eastAsia"/>
          <w:b/>
          <w:bCs/>
          <w:color w:val="000000"/>
          <w:sz w:val="24"/>
          <w:szCs w:val="24"/>
        </w:rPr>
        <w:t>安全生产协议书</w:t>
      </w:r>
    </w:p>
    <w:p>
      <w:pPr>
        <w:adjustRightInd w:val="0"/>
        <w:snapToGrid w:val="0"/>
        <w:spacing w:before="120" w:after="120" w:line="360" w:lineRule="auto"/>
        <w:jc w:val="center"/>
        <w:rPr>
          <w:rFonts w:hint="eastAsia" w:ascii="宋体" w:hAnsi="宋体"/>
          <w:b/>
          <w:color w:val="000000"/>
          <w:sz w:val="24"/>
          <w:szCs w:val="24"/>
        </w:rPr>
      </w:pPr>
    </w:p>
    <w:p>
      <w:pPr>
        <w:rPr>
          <w:rFonts w:hint="eastAsia" w:ascii="宋体" w:hAnsi="宋体"/>
          <w:color w:val="000000"/>
          <w:sz w:val="24"/>
          <w:szCs w:val="24"/>
          <w:u w:val="single"/>
        </w:rPr>
      </w:pPr>
      <w:r>
        <w:rPr>
          <w:rFonts w:hint="eastAsia" w:ascii="宋体" w:hAnsi="宋体"/>
          <w:color w:val="000000"/>
          <w:sz w:val="24"/>
          <w:szCs w:val="24"/>
        </w:rPr>
        <w:t>发包人（全称）：</w:t>
      </w:r>
      <w:r>
        <w:rPr>
          <w:rFonts w:hint="eastAsia" w:ascii="宋体" w:hAnsi="宋体"/>
          <w:color w:val="000000"/>
          <w:sz w:val="24"/>
          <w:szCs w:val="24"/>
          <w:u w:val="single"/>
        </w:rPr>
        <w:t xml:space="preserve">  </w:t>
      </w:r>
      <w:r>
        <w:rPr>
          <w:rFonts w:hint="eastAsia" w:hAnsi="宋体"/>
          <w:color w:val="000000"/>
          <w:sz w:val="24"/>
          <w:szCs w:val="24"/>
          <w:u w:val="single"/>
        </w:rPr>
        <w:t xml:space="preserve">                                 </w:t>
      </w:r>
    </w:p>
    <w:p>
      <w:pPr>
        <w:rPr>
          <w:rFonts w:hint="eastAsia" w:ascii="宋体" w:hAnsi="宋体"/>
          <w:color w:val="000000"/>
          <w:sz w:val="24"/>
          <w:szCs w:val="24"/>
        </w:rPr>
      </w:pPr>
      <w:r>
        <w:rPr>
          <w:rFonts w:hint="eastAsia" w:ascii="宋体" w:hAnsi="宋体"/>
          <w:color w:val="000000"/>
          <w:sz w:val="24"/>
          <w:szCs w:val="24"/>
        </w:rPr>
        <w:t>承包人（全称）：</w:t>
      </w:r>
      <w:r>
        <w:rPr>
          <w:rFonts w:hint="eastAsia" w:ascii="宋体" w:hAnsi="宋体"/>
          <w:color w:val="000000"/>
          <w:sz w:val="24"/>
          <w:szCs w:val="24"/>
          <w:u w:val="single"/>
        </w:rPr>
        <w:t xml:space="preserve">                                   </w:t>
      </w:r>
    </w:p>
    <w:p>
      <w:pPr>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为贯彻“安全第一、预防为主”的方针，确保</w:t>
      </w:r>
      <w:r>
        <w:rPr>
          <w:rFonts w:hint="eastAsia" w:ascii="宋体" w:hAnsi="宋体"/>
          <w:color w:val="000000"/>
          <w:sz w:val="24"/>
          <w:szCs w:val="24"/>
          <w:u w:val="single"/>
        </w:rPr>
        <w:t xml:space="preserve">                                 </w:t>
      </w:r>
      <w:r>
        <w:rPr>
          <w:rFonts w:hint="eastAsia" w:ascii="宋体" w:hAnsi="宋体"/>
          <w:color w:val="000000"/>
          <w:sz w:val="24"/>
          <w:szCs w:val="24"/>
        </w:rPr>
        <w:t>工程的施工安全，依照国家、江西省的有关法规和政策，甲、乙双方经充分协调，特签订本安全生产协议书。</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一、本安全生产协议书作为本合同的附件，与该合同具有同等效力。</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二、承包人的法定代表人、项目经理、安全生产负责人、工地的现场安全员应对本工程安全生产工作各负其责。</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三、根据江西省建设工程文明安全施工管理规定的有关要求，发包人有权审查承包人安全管理体制是否符合市、区政府及有关主管部门的规定，有权向承包人提出安全施工的要求以及日常施工现场的督促检查。</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承包人在承包工程施工中，必须根据设计图纸和施工规范，针对工程特点编制施工组织设计和落实相应的安全措施，健全安全管理体制，组织有关安全知识学习，安全教育等活动，建立各项安全操作规程、安全生产责任制和安全检查制度。</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五、承包人在施工中要认真执行江西省工地安全管理的有关规定。发包人将严格执行各项标准作为施工过程中安全检查和安全奖惩的依据。</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承包人施工人员的电工、焊工、起重吊运指挥、挂勾工等特殊工种必须按国家《特种作业人员安全技术培训考核管理规定》持有劳动部门签发的有效操作证件上岗，严禁无证、违章操作；施工机具中的受压容器、电气设备必须具有符合安全要求的保护设施。</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承包人在施工过程中，必须注意对地下管线及周围绿化和地面构筑物的保护。承包人要采取合理施工方案严格施工工艺，加强对地下管线和地面构造物的监控量测，及时采取有效措施保证地下管线和地表构筑物的安全。如遇有不明情况，应及时向有关部门联系，采取有效保护措施，在施工过程中造成的地下管线和地表构造物的损坏，由承包人承担全部责任。</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承包人在施工过程中，应认真组织审核发包人下发的图纸，并严格按审核后的图纸及相应的国家有关标准施工，不允许随意改变施工工艺和工法，否则出现的任何施工质量和安全问题都将由承包人承担全部责任。</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九、若在施工过程中发生人员伤亡（含刑事案件）、火灾、爆炸等事故，承包人必须立即按有关规定及时上报发包人及其政府主管部门，事故责任以及事故损失均由承包人负责。</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十、承包人在合同签订之后，应尽快自觉配合发包人有关部门办理开工报告手续。</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十一、本协议未尽事宜，依据有关法规，规章处理，法规、规章没有明确规定的，经双方协商处理解决。</w:t>
      </w:r>
    </w:p>
    <w:p>
      <w:pPr>
        <w:spacing w:line="360" w:lineRule="auto"/>
        <w:ind w:left="639"/>
        <w:rPr>
          <w:rFonts w:hint="eastAsia" w:ascii="宋体" w:hAnsi="宋体"/>
          <w:color w:val="000000"/>
          <w:sz w:val="24"/>
          <w:szCs w:val="24"/>
        </w:rPr>
      </w:pPr>
      <w:r>
        <w:rPr>
          <w:rFonts w:hint="eastAsia" w:ascii="宋体" w:hAnsi="宋体"/>
          <w:color w:val="000000"/>
          <w:sz w:val="24"/>
          <w:szCs w:val="24"/>
        </w:rPr>
        <w:t>十二、本协议自签订之日起生效。</w:t>
      </w:r>
    </w:p>
    <w:p>
      <w:pPr>
        <w:spacing w:line="360" w:lineRule="auto"/>
        <w:ind w:left="639"/>
        <w:rPr>
          <w:rFonts w:hint="eastAsia" w:ascii="宋体" w:hAnsi="宋体"/>
          <w:color w:val="000000"/>
          <w:sz w:val="24"/>
          <w:szCs w:val="24"/>
        </w:rPr>
      </w:pPr>
      <w:r>
        <w:rPr>
          <w:rFonts w:hint="eastAsia" w:ascii="宋体" w:hAnsi="宋体"/>
          <w:color w:val="000000"/>
          <w:sz w:val="24"/>
          <w:szCs w:val="24"/>
        </w:rPr>
        <w:t>建设单位：（盖章）                               施工单位：（盖章）</w:t>
      </w:r>
    </w:p>
    <w:p>
      <w:pPr>
        <w:spacing w:line="360" w:lineRule="auto"/>
        <w:ind w:left="639"/>
        <w:rPr>
          <w:rFonts w:hint="eastAsia" w:ascii="宋体" w:hAnsi="宋体"/>
          <w:color w:val="000000"/>
          <w:sz w:val="24"/>
          <w:szCs w:val="24"/>
        </w:rPr>
      </w:pPr>
      <w:r>
        <w:rPr>
          <w:rFonts w:hint="eastAsia" w:ascii="宋体" w:hAnsi="宋体"/>
          <w:color w:val="000000"/>
          <w:sz w:val="24"/>
          <w:szCs w:val="24"/>
        </w:rPr>
        <w:t>法定代表人：                                    法定代表人</w:t>
      </w:r>
    </w:p>
    <w:p>
      <w:pPr>
        <w:spacing w:line="360" w:lineRule="auto"/>
        <w:ind w:left="639"/>
        <w:rPr>
          <w:rFonts w:hint="eastAsia" w:ascii="宋体" w:hAnsi="宋体"/>
          <w:color w:val="000000"/>
          <w:sz w:val="24"/>
          <w:szCs w:val="24"/>
        </w:rPr>
      </w:pPr>
      <w:r>
        <w:rPr>
          <w:rFonts w:hint="eastAsia" w:ascii="宋体" w:hAnsi="宋体"/>
          <w:color w:val="000000"/>
          <w:sz w:val="24"/>
          <w:szCs w:val="24"/>
        </w:rPr>
        <w:t>地      址：                                    地      址：</w:t>
      </w:r>
    </w:p>
    <w:p>
      <w:pPr>
        <w:spacing w:line="360" w:lineRule="auto"/>
        <w:ind w:left="639"/>
        <w:rPr>
          <w:rFonts w:hint="eastAsia" w:ascii="宋体" w:hAnsi="宋体"/>
          <w:color w:val="000000"/>
          <w:sz w:val="24"/>
          <w:szCs w:val="24"/>
        </w:rPr>
      </w:pPr>
      <w:r>
        <w:rPr>
          <w:rFonts w:hint="eastAsia" w:ascii="宋体" w:hAnsi="宋体"/>
          <w:color w:val="000000"/>
          <w:sz w:val="24"/>
          <w:szCs w:val="24"/>
        </w:rPr>
        <w:t xml:space="preserve">电      话：                                    电      话：  </w:t>
      </w:r>
    </w:p>
    <w:p>
      <w:pPr>
        <w:spacing w:line="360" w:lineRule="auto"/>
        <w:ind w:left="638" w:leftChars="304" w:firstLine="600" w:firstLineChars="250"/>
        <w:rPr>
          <w:rFonts w:hint="eastAsia" w:ascii="宋体" w:hAnsi="宋体"/>
          <w:color w:val="000000"/>
          <w:sz w:val="24"/>
          <w:szCs w:val="24"/>
        </w:rPr>
      </w:pPr>
      <w:r>
        <w:rPr>
          <w:rFonts w:hint="eastAsia" w:ascii="宋体" w:hAnsi="宋体"/>
          <w:color w:val="000000"/>
          <w:sz w:val="24"/>
          <w:szCs w:val="24"/>
        </w:rPr>
        <w:t>年   月   日                                    年   月   日</w:t>
      </w:r>
    </w:p>
    <w:p>
      <w:pPr>
        <w:spacing w:line="360" w:lineRule="auto"/>
        <w:ind w:firstLine="480" w:firstLineChars="200"/>
        <w:rPr>
          <w:rFonts w:hint="eastAsia" w:ascii="宋体" w:hAnsi="宋体"/>
          <w:color w:val="000000"/>
          <w:sz w:val="24"/>
          <w:szCs w:val="24"/>
        </w:rPr>
        <w:sectPr>
          <w:footerReference r:id="rId18" w:type="first"/>
          <w:headerReference r:id="rId14" w:type="default"/>
          <w:footerReference r:id="rId16" w:type="default"/>
          <w:headerReference r:id="rId15" w:type="even"/>
          <w:footerReference r:id="rId17" w:type="even"/>
          <w:pgSz w:w="11907" w:h="16840"/>
          <w:pgMar w:top="1446" w:right="1134" w:bottom="1644" w:left="1418" w:header="680" w:footer="907" w:gutter="0"/>
          <w:cols w:space="720" w:num="1"/>
          <w:docGrid w:linePitch="271" w:charSpace="0"/>
        </w:sectPr>
      </w:pPr>
      <w:r>
        <w:rPr>
          <w:rFonts w:hint="eastAsia" w:ascii="宋体" w:hAnsi="宋体"/>
          <w:color w:val="000000"/>
          <w:sz w:val="24"/>
          <w:szCs w:val="24"/>
        </w:rPr>
        <w:t xml:space="preserve">        </w:t>
      </w:r>
    </w:p>
    <w:p>
      <w:pPr>
        <w:adjustRightInd w:val="0"/>
        <w:snapToGrid w:val="0"/>
        <w:spacing w:before="120" w:after="120" w:line="360" w:lineRule="auto"/>
        <w:jc w:val="center"/>
        <w:rPr>
          <w:rFonts w:hint="eastAsia"/>
          <w:b/>
          <w:bCs/>
          <w:color w:val="000000"/>
          <w:sz w:val="24"/>
          <w:szCs w:val="24"/>
        </w:rPr>
      </w:pPr>
      <w:bookmarkStart w:id="1308" w:name="_Toc152938758"/>
      <w:bookmarkStart w:id="1309" w:name="_Toc152938678"/>
      <w:r>
        <w:rPr>
          <w:rFonts w:hint="eastAsia"/>
          <w:b/>
          <w:bCs/>
          <w:color w:val="000000"/>
          <w:sz w:val="24"/>
          <w:szCs w:val="24"/>
        </w:rPr>
        <w:t>第五部分、工程建设项目廉政责任书</w:t>
      </w:r>
      <w:bookmarkEnd w:id="1308"/>
      <w:bookmarkEnd w:id="1309"/>
    </w:p>
    <w:p>
      <w:pPr>
        <w:spacing w:line="360" w:lineRule="auto"/>
        <w:rPr>
          <w:rFonts w:hint="eastAsia" w:ascii="宋体" w:hAnsi="宋体"/>
          <w:color w:val="000000"/>
          <w:sz w:val="24"/>
          <w:szCs w:val="24"/>
        </w:rPr>
      </w:pPr>
      <w:r>
        <w:rPr>
          <w:rFonts w:hint="eastAsia" w:ascii="宋体" w:hAnsi="宋体"/>
          <w:color w:val="000000"/>
          <w:sz w:val="24"/>
          <w:szCs w:val="24"/>
        </w:rPr>
        <w:t xml:space="preserve">工程项目名称： </w:t>
      </w:r>
    </w:p>
    <w:p>
      <w:pPr>
        <w:spacing w:line="360" w:lineRule="auto"/>
        <w:rPr>
          <w:rFonts w:hint="eastAsia" w:ascii="宋体" w:hAnsi="宋体"/>
          <w:color w:val="000000"/>
          <w:sz w:val="24"/>
          <w:szCs w:val="24"/>
        </w:rPr>
      </w:pPr>
      <w:r>
        <w:rPr>
          <w:rFonts w:hint="eastAsia" w:ascii="宋体" w:hAnsi="宋体"/>
          <w:color w:val="000000"/>
          <w:sz w:val="24"/>
          <w:szCs w:val="24"/>
        </w:rPr>
        <w:t>工程项目地址：</w:t>
      </w:r>
    </w:p>
    <w:p>
      <w:pPr>
        <w:spacing w:line="360" w:lineRule="auto"/>
        <w:rPr>
          <w:rFonts w:hint="eastAsia" w:ascii="宋体" w:hAnsi="宋体"/>
          <w:color w:val="000000"/>
          <w:sz w:val="24"/>
          <w:szCs w:val="24"/>
        </w:rPr>
      </w:pPr>
      <w:r>
        <w:rPr>
          <w:rFonts w:hint="eastAsia" w:ascii="宋体" w:hAnsi="宋体"/>
          <w:color w:val="000000"/>
          <w:sz w:val="24"/>
          <w:szCs w:val="24"/>
        </w:rPr>
        <w:t>建设单位（甲方）：</w:t>
      </w:r>
    </w:p>
    <w:p>
      <w:pPr>
        <w:spacing w:line="360" w:lineRule="auto"/>
        <w:rPr>
          <w:rFonts w:hint="eastAsia" w:ascii="宋体" w:hAnsi="宋体"/>
          <w:color w:val="000000"/>
          <w:sz w:val="24"/>
          <w:szCs w:val="24"/>
        </w:rPr>
      </w:pPr>
      <w:r>
        <w:rPr>
          <w:rFonts w:hint="eastAsia" w:ascii="宋体" w:hAnsi="宋体"/>
          <w:color w:val="000000"/>
          <w:sz w:val="24"/>
          <w:szCs w:val="24"/>
        </w:rPr>
        <w:t>施工单位（乙方）：</w:t>
      </w:r>
    </w:p>
    <w:p>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360" w:lineRule="auto"/>
        <w:rPr>
          <w:rFonts w:hint="eastAsia" w:ascii="宋体" w:hAnsi="宋体"/>
          <w:color w:val="000000"/>
          <w:sz w:val="24"/>
          <w:szCs w:val="24"/>
        </w:rPr>
      </w:pPr>
      <w:r>
        <w:rPr>
          <w:rFonts w:hint="eastAsia" w:ascii="宋体" w:hAnsi="宋体"/>
          <w:color w:val="000000"/>
          <w:sz w:val="24"/>
          <w:szCs w:val="24"/>
        </w:rPr>
        <w:t>　　第一条　甲乙双方的责任</w:t>
      </w:r>
    </w:p>
    <w:p>
      <w:pPr>
        <w:spacing w:line="360" w:lineRule="auto"/>
        <w:rPr>
          <w:rFonts w:hint="eastAsia" w:ascii="宋体" w:hAnsi="宋体"/>
          <w:color w:val="000000"/>
          <w:sz w:val="24"/>
          <w:szCs w:val="24"/>
        </w:rPr>
      </w:pPr>
      <w:r>
        <w:rPr>
          <w:rFonts w:hint="eastAsia" w:ascii="宋体" w:hAnsi="宋体"/>
          <w:color w:val="000000"/>
          <w:sz w:val="24"/>
          <w:szCs w:val="24"/>
        </w:rPr>
        <w:t>　　（一）应严格遵守国家关于市场准入、项目招标投标、工程建设、施工安装和市场活动等有关法律、法规，相关政策，以及廉政建设的各项规定。</w:t>
      </w:r>
    </w:p>
    <w:p>
      <w:pPr>
        <w:spacing w:line="360" w:lineRule="auto"/>
        <w:rPr>
          <w:rFonts w:hint="eastAsia" w:ascii="宋体" w:hAnsi="宋体"/>
          <w:color w:val="000000"/>
          <w:sz w:val="24"/>
          <w:szCs w:val="24"/>
        </w:rPr>
      </w:pPr>
      <w:r>
        <w:rPr>
          <w:rFonts w:hint="eastAsia" w:ascii="宋体" w:hAnsi="宋体"/>
          <w:color w:val="000000"/>
          <w:sz w:val="24"/>
          <w:szCs w:val="24"/>
        </w:rPr>
        <w:t>　　（二）严格执行建设工程项目承发包合同文件，自觉按合同办事。</w:t>
      </w:r>
    </w:p>
    <w:p>
      <w:pPr>
        <w:spacing w:line="360" w:lineRule="auto"/>
        <w:rPr>
          <w:rFonts w:hint="eastAsia" w:ascii="宋体" w:hAnsi="宋体"/>
          <w:color w:val="000000"/>
          <w:sz w:val="24"/>
          <w:szCs w:val="24"/>
        </w:rPr>
      </w:pPr>
      <w:r>
        <w:rPr>
          <w:rFonts w:hint="eastAsia" w:ascii="宋体" w:hAnsi="宋体"/>
          <w:color w:val="000000"/>
          <w:sz w:val="24"/>
          <w:szCs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rPr>
          <w:rFonts w:hint="eastAsia" w:ascii="宋体" w:hAnsi="宋体"/>
          <w:color w:val="000000"/>
          <w:sz w:val="24"/>
          <w:szCs w:val="24"/>
        </w:rPr>
      </w:pPr>
      <w:r>
        <w:rPr>
          <w:rFonts w:hint="eastAsia" w:ascii="宋体" w:hAnsi="宋体"/>
          <w:color w:val="000000"/>
          <w:sz w:val="24"/>
          <w:szCs w:val="24"/>
        </w:rPr>
        <w:t>　　（四）发现对方在业务活动中有违规、违纪、违法行为的，应及时提醒对方，情节严重的，应向其上级主管部门或纪检监察、司法等有关机关举报。</w:t>
      </w:r>
    </w:p>
    <w:p>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　第二条　甲方的责任</w:t>
      </w:r>
    </w:p>
    <w:p>
      <w:pPr>
        <w:spacing w:line="360" w:lineRule="auto"/>
        <w:rPr>
          <w:rFonts w:hint="eastAsia" w:ascii="宋体" w:hAnsi="宋体"/>
          <w:color w:val="000000"/>
          <w:sz w:val="24"/>
          <w:szCs w:val="24"/>
        </w:rPr>
      </w:pPr>
      <w:r>
        <w:rPr>
          <w:rFonts w:hint="eastAsia" w:ascii="宋体" w:hAnsi="宋体"/>
          <w:color w:val="000000"/>
          <w:sz w:val="24"/>
          <w:szCs w:val="24"/>
        </w:rPr>
        <w:t>　　甲方的领导和从事该建设工程项目的工作人员，在工程建设的事前、事中、事后应遵守以下规定：</w:t>
      </w:r>
    </w:p>
    <w:p>
      <w:pPr>
        <w:spacing w:line="360" w:lineRule="auto"/>
        <w:rPr>
          <w:rFonts w:hint="eastAsia" w:ascii="宋体" w:hAnsi="宋体"/>
          <w:color w:val="000000"/>
          <w:sz w:val="24"/>
          <w:szCs w:val="24"/>
        </w:rPr>
      </w:pPr>
      <w:r>
        <w:rPr>
          <w:rFonts w:hint="eastAsia" w:ascii="宋体" w:hAnsi="宋体"/>
          <w:color w:val="000000"/>
          <w:sz w:val="24"/>
          <w:szCs w:val="24"/>
        </w:rPr>
        <w:t>　　（一）不准向乙方和相关单位索要或接受回扣、礼金、有价证券、贵重物品和好处费、感谢费等。</w:t>
      </w:r>
    </w:p>
    <w:p>
      <w:pPr>
        <w:spacing w:line="360" w:lineRule="auto"/>
        <w:rPr>
          <w:rFonts w:hint="eastAsia" w:ascii="宋体" w:hAnsi="宋体"/>
          <w:color w:val="000000"/>
          <w:sz w:val="24"/>
          <w:szCs w:val="24"/>
        </w:rPr>
      </w:pPr>
      <w:r>
        <w:rPr>
          <w:rFonts w:hint="eastAsia" w:ascii="宋体" w:hAnsi="宋体"/>
          <w:color w:val="000000"/>
          <w:sz w:val="24"/>
          <w:szCs w:val="24"/>
        </w:rPr>
        <w:t>　　（二）不准在乙方和相关单位报销任何应由甲方或个人支付的费用。</w:t>
      </w:r>
    </w:p>
    <w:p>
      <w:pPr>
        <w:spacing w:line="360" w:lineRule="auto"/>
        <w:rPr>
          <w:rFonts w:hint="eastAsia" w:ascii="宋体" w:hAnsi="宋体"/>
          <w:color w:val="000000"/>
          <w:sz w:val="24"/>
          <w:szCs w:val="24"/>
        </w:rPr>
      </w:pPr>
      <w:r>
        <w:rPr>
          <w:rFonts w:hint="eastAsia" w:ascii="宋体" w:hAnsi="宋体"/>
          <w:color w:val="000000"/>
          <w:sz w:val="24"/>
          <w:szCs w:val="24"/>
        </w:rPr>
        <w:t>　　（三）不准要求、暗示或接受乙方和相关单位为个人装修住房、婚丧嫁娶、配偶子女的工作安排以及出国（境）、旅游等提供方便。</w:t>
      </w:r>
    </w:p>
    <w:p>
      <w:pPr>
        <w:spacing w:line="360" w:lineRule="auto"/>
        <w:rPr>
          <w:rFonts w:hint="eastAsia" w:ascii="宋体" w:hAnsi="宋体"/>
          <w:color w:val="000000"/>
          <w:sz w:val="24"/>
          <w:szCs w:val="24"/>
        </w:rPr>
      </w:pPr>
      <w:r>
        <w:rPr>
          <w:rFonts w:hint="eastAsia" w:ascii="宋体" w:hAnsi="宋体"/>
          <w:color w:val="000000"/>
          <w:sz w:val="24"/>
          <w:szCs w:val="24"/>
        </w:rPr>
        <w:t>　　（四）不准参加有可能影响公正执行公务的乙方和相关单位的宴请和健身、娱乐等活动。</w:t>
      </w:r>
    </w:p>
    <w:p>
      <w:pPr>
        <w:spacing w:line="360" w:lineRule="auto"/>
        <w:rPr>
          <w:rFonts w:hint="eastAsia" w:ascii="宋体" w:hAnsi="宋体"/>
          <w:color w:val="000000"/>
          <w:sz w:val="24"/>
          <w:szCs w:val="24"/>
        </w:rPr>
      </w:pPr>
      <w:r>
        <w:rPr>
          <w:rFonts w:hint="eastAsia" w:ascii="宋体" w:hAnsi="宋体"/>
          <w:color w:val="000000"/>
          <w:sz w:val="24"/>
          <w:szCs w:val="24"/>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360" w:lineRule="auto"/>
        <w:rPr>
          <w:rFonts w:hint="eastAsia" w:ascii="宋体" w:hAnsi="宋体"/>
          <w:color w:val="000000"/>
          <w:sz w:val="24"/>
          <w:szCs w:val="24"/>
        </w:rPr>
      </w:pPr>
      <w:r>
        <w:rPr>
          <w:rFonts w:hint="eastAsia" w:ascii="宋体" w:hAnsi="宋体"/>
          <w:color w:val="000000"/>
          <w:sz w:val="24"/>
          <w:szCs w:val="24"/>
        </w:rPr>
        <w:t>　　第三条　乙方的责任</w:t>
      </w:r>
    </w:p>
    <w:p>
      <w:pPr>
        <w:spacing w:line="360" w:lineRule="auto"/>
        <w:rPr>
          <w:rFonts w:hint="eastAsia" w:ascii="宋体" w:hAnsi="宋体"/>
          <w:color w:val="000000"/>
          <w:sz w:val="24"/>
          <w:szCs w:val="24"/>
        </w:rPr>
      </w:pPr>
      <w:r>
        <w:rPr>
          <w:rFonts w:hint="eastAsia" w:ascii="宋体" w:hAnsi="宋体"/>
          <w:color w:val="000000"/>
          <w:sz w:val="24"/>
          <w:szCs w:val="24"/>
        </w:rPr>
        <w:t>　　应与甲方保持正常的业务交往，按照有关法律法规和程序开展业务工作，严格执行工程建设的有关方针、政策，尤其是有关建筑施工安装的强制性标准和规范，并遵守以下规定：</w:t>
      </w:r>
    </w:p>
    <w:p>
      <w:pPr>
        <w:spacing w:line="360" w:lineRule="auto"/>
        <w:rPr>
          <w:rFonts w:hint="eastAsia" w:ascii="宋体" w:hAnsi="宋体"/>
          <w:color w:val="000000"/>
          <w:sz w:val="24"/>
          <w:szCs w:val="24"/>
        </w:rPr>
      </w:pPr>
      <w:r>
        <w:rPr>
          <w:rFonts w:hint="eastAsia" w:ascii="宋体" w:hAnsi="宋体"/>
          <w:color w:val="000000"/>
          <w:sz w:val="24"/>
          <w:szCs w:val="24"/>
        </w:rPr>
        <w:t>　　（一）不准以任何理由向甲方、相关单位及其工作人员索要、接受或赠送礼金、有价证券、贵重物品和回扣、好处费、感谢费等。</w:t>
      </w:r>
    </w:p>
    <w:p>
      <w:pPr>
        <w:spacing w:line="360" w:lineRule="auto"/>
        <w:rPr>
          <w:rFonts w:hint="eastAsia" w:ascii="宋体" w:hAnsi="宋体"/>
          <w:color w:val="000000"/>
          <w:sz w:val="24"/>
          <w:szCs w:val="24"/>
        </w:rPr>
      </w:pPr>
      <w:r>
        <w:rPr>
          <w:rFonts w:hint="eastAsia" w:ascii="宋体" w:hAnsi="宋体"/>
          <w:color w:val="000000"/>
          <w:sz w:val="24"/>
          <w:szCs w:val="24"/>
        </w:rPr>
        <w:t>　　（二）不准以任何理由为甲方和相关单位报销应由对方或个人支付的费用。</w:t>
      </w:r>
    </w:p>
    <w:p>
      <w:pPr>
        <w:spacing w:line="360" w:lineRule="auto"/>
        <w:rPr>
          <w:rFonts w:hint="eastAsia" w:ascii="宋体" w:hAnsi="宋体"/>
          <w:color w:val="000000"/>
          <w:sz w:val="24"/>
          <w:szCs w:val="24"/>
        </w:rPr>
      </w:pPr>
      <w:r>
        <w:rPr>
          <w:rFonts w:hint="eastAsia" w:ascii="宋体" w:hAnsi="宋体"/>
          <w:color w:val="000000"/>
          <w:sz w:val="24"/>
          <w:szCs w:val="24"/>
        </w:rPr>
        <w:t>　　（三）不准接受或暗示为甲方、相关单位或个人装修住房、婚丧嫁娶、配偶子女的工作安排以及出国（境）、旅游等提供方便。</w:t>
      </w:r>
    </w:p>
    <w:p>
      <w:pPr>
        <w:spacing w:line="360" w:lineRule="auto"/>
        <w:rPr>
          <w:rFonts w:hint="eastAsia" w:ascii="宋体" w:hAnsi="宋体"/>
          <w:color w:val="000000"/>
          <w:sz w:val="24"/>
          <w:szCs w:val="24"/>
        </w:rPr>
      </w:pPr>
      <w:r>
        <w:rPr>
          <w:rFonts w:hint="eastAsia" w:ascii="宋体" w:hAnsi="宋体"/>
          <w:color w:val="000000"/>
          <w:sz w:val="24"/>
          <w:szCs w:val="24"/>
        </w:rPr>
        <w:t>　　（四）不准以任何理由为甲方、相关单位或个人组织有可能影响公正执行公务的宴请、健身、娱乐等活动。</w:t>
      </w:r>
    </w:p>
    <w:p>
      <w:pPr>
        <w:spacing w:line="360" w:lineRule="auto"/>
        <w:rPr>
          <w:rFonts w:hint="eastAsia" w:ascii="宋体" w:hAnsi="宋体"/>
          <w:color w:val="000000"/>
          <w:sz w:val="24"/>
          <w:szCs w:val="24"/>
        </w:rPr>
      </w:pPr>
      <w:r>
        <w:rPr>
          <w:rFonts w:hint="eastAsia" w:ascii="宋体" w:hAnsi="宋体"/>
          <w:color w:val="000000"/>
          <w:sz w:val="24"/>
          <w:szCs w:val="24"/>
        </w:rPr>
        <w:t>　　第四条　违约责任</w:t>
      </w:r>
    </w:p>
    <w:p>
      <w:pPr>
        <w:spacing w:line="360" w:lineRule="auto"/>
        <w:rPr>
          <w:rFonts w:hint="eastAsia" w:ascii="宋体" w:hAnsi="宋体"/>
          <w:color w:val="000000"/>
          <w:sz w:val="24"/>
          <w:szCs w:val="24"/>
        </w:rPr>
      </w:pPr>
      <w:r>
        <w:rPr>
          <w:rFonts w:hint="eastAsia" w:ascii="宋体" w:hAnsi="宋体"/>
          <w:color w:val="000000"/>
          <w:sz w:val="24"/>
          <w:szCs w:val="24"/>
        </w:rPr>
        <w:t>　　（一）甲方工作人员有违反本责任书第一、二条责任行为的，按照管理权限，依据有关法律法规和规定给予党纪、政纪处分或组织处理；涉嫌犯罪，移交司法机关追究刑事责任；给乙方单位造成经济损失的，应予以赔偿。</w:t>
      </w:r>
    </w:p>
    <w:p>
      <w:pPr>
        <w:spacing w:line="360" w:lineRule="auto"/>
        <w:rPr>
          <w:rFonts w:hint="eastAsia" w:ascii="宋体" w:hAnsi="宋体"/>
          <w:color w:val="000000"/>
          <w:sz w:val="24"/>
          <w:szCs w:val="24"/>
        </w:rPr>
      </w:pPr>
      <w:r>
        <w:rPr>
          <w:rFonts w:hint="eastAsia" w:ascii="宋体" w:hAnsi="宋体"/>
          <w:color w:val="000000"/>
          <w:sz w:val="24"/>
          <w:szCs w:val="24"/>
        </w:rPr>
        <w:t>　　（二）乙方工作人员有违反本责任书第一、三条责任行为的，按照管理权限，依据有关法律法规和规定给予党纪、政纪处分或组织处理；涉嬚犯罪的，移交司法机关追究刑事责任；给甲方单位造成经济损失的，应予以赔偿。</w:t>
      </w:r>
    </w:p>
    <w:p>
      <w:pPr>
        <w:spacing w:line="360" w:lineRule="auto"/>
        <w:rPr>
          <w:rFonts w:hint="eastAsia" w:ascii="宋体" w:hAnsi="宋体"/>
          <w:color w:val="000000"/>
          <w:sz w:val="24"/>
          <w:szCs w:val="24"/>
        </w:rPr>
      </w:pPr>
      <w:r>
        <w:rPr>
          <w:rFonts w:hint="eastAsia" w:ascii="宋体" w:hAnsi="宋体"/>
          <w:color w:val="000000"/>
          <w:sz w:val="24"/>
          <w:szCs w:val="24"/>
        </w:rPr>
        <w:t>　　第五条　本责任书作为工程施工合同的附件，与工程施工合同具有同等法律效力。经双方签署后立即生效。</w:t>
      </w:r>
    </w:p>
    <w:p>
      <w:pPr>
        <w:spacing w:line="360" w:lineRule="auto"/>
        <w:rPr>
          <w:rFonts w:hint="eastAsia" w:ascii="宋体" w:hAnsi="宋体"/>
          <w:color w:val="000000"/>
          <w:sz w:val="24"/>
          <w:szCs w:val="24"/>
        </w:rPr>
      </w:pPr>
      <w:r>
        <w:rPr>
          <w:rFonts w:hint="eastAsia" w:ascii="宋体" w:hAnsi="宋体"/>
          <w:color w:val="000000"/>
          <w:sz w:val="24"/>
          <w:szCs w:val="24"/>
        </w:rPr>
        <w:t>　　第六条　本责任书的有效期为双方签署之日起至该工程项目竣工验收合格时止。</w:t>
      </w:r>
    </w:p>
    <w:p>
      <w:pPr>
        <w:spacing w:line="360" w:lineRule="auto"/>
        <w:rPr>
          <w:rFonts w:hint="eastAsia" w:ascii="宋体" w:hAnsi="宋体"/>
          <w:color w:val="000000"/>
          <w:sz w:val="24"/>
          <w:szCs w:val="24"/>
        </w:rPr>
      </w:pPr>
      <w:r>
        <w:rPr>
          <w:rFonts w:hint="eastAsia" w:ascii="宋体" w:hAnsi="宋体"/>
          <w:color w:val="000000"/>
          <w:sz w:val="24"/>
          <w:szCs w:val="24"/>
        </w:rPr>
        <w:t>　　第七条　本责任书一式四份，由甲乙双方各执一份，送交甲乙双方的监督单位各一份。</w:t>
      </w:r>
    </w:p>
    <w:p>
      <w:pPr>
        <w:tabs>
          <w:tab w:val="left" w:pos="5000"/>
        </w:tabs>
        <w:spacing w:line="360" w:lineRule="auto"/>
        <w:ind w:left="426"/>
        <w:rPr>
          <w:rFonts w:hint="eastAsia" w:ascii="宋体" w:hAnsi="宋体"/>
          <w:color w:val="000000"/>
          <w:sz w:val="24"/>
          <w:szCs w:val="24"/>
        </w:rPr>
      </w:pPr>
      <w:r>
        <w:rPr>
          <w:rFonts w:hint="eastAsia" w:ascii="宋体" w:hAnsi="宋体"/>
          <w:color w:val="000000"/>
          <w:sz w:val="24"/>
          <w:szCs w:val="24"/>
        </w:rPr>
        <w:t>建设单位（公章）：</w:t>
      </w:r>
      <w:r>
        <w:rPr>
          <w:rFonts w:hint="eastAsia" w:ascii="宋体" w:hAnsi="宋体"/>
          <w:color w:val="000000"/>
          <w:sz w:val="24"/>
          <w:szCs w:val="24"/>
        </w:rPr>
        <w:tab/>
      </w:r>
      <w:r>
        <w:rPr>
          <w:rFonts w:hint="eastAsia" w:ascii="宋体" w:hAnsi="宋体"/>
          <w:color w:val="000000"/>
          <w:sz w:val="24"/>
          <w:szCs w:val="24"/>
        </w:rPr>
        <w:t>施工单位（公章）：</w:t>
      </w:r>
    </w:p>
    <w:p>
      <w:pPr>
        <w:tabs>
          <w:tab w:val="left" w:pos="5000"/>
        </w:tabs>
        <w:spacing w:line="360" w:lineRule="auto"/>
        <w:ind w:left="426"/>
        <w:rPr>
          <w:rFonts w:hint="eastAsia" w:ascii="宋体" w:hAnsi="宋体"/>
          <w:color w:val="000000"/>
          <w:sz w:val="24"/>
          <w:szCs w:val="24"/>
        </w:rPr>
      </w:pPr>
      <w:r>
        <w:rPr>
          <w:rFonts w:hint="eastAsia" w:ascii="宋体" w:hAnsi="宋体"/>
          <w:color w:val="000000"/>
          <w:sz w:val="24"/>
          <w:szCs w:val="24"/>
        </w:rPr>
        <w:t>法定代表人（签字）：</w:t>
      </w:r>
      <w:r>
        <w:rPr>
          <w:rFonts w:hint="eastAsia" w:ascii="宋体" w:hAnsi="宋体"/>
          <w:color w:val="000000"/>
          <w:sz w:val="24"/>
          <w:szCs w:val="24"/>
        </w:rPr>
        <w:tab/>
      </w:r>
      <w:r>
        <w:rPr>
          <w:rFonts w:hint="eastAsia" w:ascii="宋体" w:hAnsi="宋体"/>
          <w:color w:val="000000"/>
          <w:sz w:val="24"/>
          <w:szCs w:val="24"/>
        </w:rPr>
        <w:t>法定代表人（签字）：</w:t>
      </w:r>
    </w:p>
    <w:p>
      <w:pPr>
        <w:tabs>
          <w:tab w:val="left" w:pos="5040"/>
        </w:tabs>
        <w:spacing w:line="360" w:lineRule="auto"/>
        <w:ind w:firstLine="480" w:firstLineChars="200"/>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olor w:val="000000"/>
          <w:sz w:val="24"/>
          <w:szCs w:val="24"/>
        </w:rPr>
        <w:tab/>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adjustRightInd w:val="0"/>
        <w:snapToGrid w:val="0"/>
        <w:spacing w:before="120" w:after="120" w:line="360" w:lineRule="auto"/>
        <w:jc w:val="center"/>
        <w:rPr>
          <w:rFonts w:hint="eastAsia"/>
          <w:b/>
          <w:bCs/>
          <w:color w:val="000000"/>
          <w:sz w:val="24"/>
          <w:szCs w:val="24"/>
        </w:rPr>
      </w:pPr>
      <w:r>
        <w:rPr>
          <w:rFonts w:hint="eastAsia"/>
          <w:b/>
          <w:bCs/>
          <w:color w:val="000000"/>
          <w:sz w:val="24"/>
          <w:szCs w:val="24"/>
        </w:rPr>
        <w:t>第六部分、</w:t>
      </w:r>
      <w:r>
        <w:rPr>
          <w:rFonts w:hint="eastAsia" w:ascii="宋体" w:hAnsi="宋体"/>
          <w:b/>
          <w:color w:val="000000"/>
          <w:sz w:val="24"/>
          <w:szCs w:val="24"/>
        </w:rPr>
        <w:t>工程质量保修书</w:t>
      </w:r>
    </w:p>
    <w:p>
      <w:pPr>
        <w:adjustRightInd w:val="0"/>
        <w:snapToGrid w:val="0"/>
        <w:spacing w:before="120" w:after="120" w:line="360" w:lineRule="auto"/>
        <w:jc w:val="center"/>
        <w:rPr>
          <w:rFonts w:hint="eastAsia" w:ascii="宋体" w:hAnsi="宋体"/>
          <w:b/>
          <w:color w:val="000000"/>
          <w:sz w:val="24"/>
          <w:szCs w:val="24"/>
        </w:rPr>
      </w:pPr>
    </w:p>
    <w:p>
      <w:pPr>
        <w:adjustRightInd w:val="0"/>
        <w:snapToGrid w:val="0"/>
        <w:spacing w:before="120" w:after="120" w:line="360" w:lineRule="auto"/>
        <w:rPr>
          <w:rFonts w:hint="eastAsia" w:ascii="宋体" w:hAnsi="宋体"/>
          <w:color w:val="000000"/>
          <w:sz w:val="24"/>
          <w:szCs w:val="24"/>
        </w:rPr>
      </w:pPr>
      <w:r>
        <w:rPr>
          <w:rFonts w:hint="eastAsia" w:ascii="宋体" w:hAnsi="宋体"/>
          <w:color w:val="000000"/>
          <w:sz w:val="24"/>
          <w:szCs w:val="24"/>
        </w:rPr>
        <w:t>发包人（全称）：</w:t>
      </w:r>
      <w:r>
        <w:rPr>
          <w:rFonts w:hint="eastAsia" w:hAnsi="宋体"/>
          <w:color w:val="000000"/>
          <w:sz w:val="24"/>
          <w:szCs w:val="24"/>
          <w:u w:val="single"/>
        </w:rPr>
        <w:t xml:space="preserve">                                </w:t>
      </w:r>
    </w:p>
    <w:p>
      <w:pPr>
        <w:adjustRightInd w:val="0"/>
        <w:snapToGrid w:val="0"/>
        <w:spacing w:before="120" w:after="120" w:line="360" w:lineRule="auto"/>
        <w:rPr>
          <w:rFonts w:hint="eastAsia" w:ascii="宋体" w:hAnsi="宋体"/>
          <w:color w:val="000000"/>
          <w:sz w:val="24"/>
          <w:szCs w:val="24"/>
        </w:rPr>
      </w:pPr>
      <w:r>
        <w:rPr>
          <w:rFonts w:hint="eastAsia" w:ascii="宋体" w:hAnsi="宋体"/>
          <w:color w:val="000000"/>
          <w:sz w:val="24"/>
          <w:szCs w:val="24"/>
        </w:rPr>
        <w:t>承包人（全称）：</w:t>
      </w:r>
      <w:r>
        <w:rPr>
          <w:rFonts w:hint="eastAsia" w:ascii="宋体" w:hAnsi="宋体"/>
          <w:color w:val="000000"/>
          <w:sz w:val="24"/>
          <w:szCs w:val="24"/>
          <w:u w:val="single"/>
        </w:rPr>
        <w:tab/>
      </w:r>
      <w:r>
        <w:rPr>
          <w:rFonts w:hint="eastAsia" w:ascii="宋体" w:hAnsi="宋体"/>
          <w:color w:val="000000"/>
          <w:sz w:val="24"/>
          <w:szCs w:val="24"/>
          <w:u w:val="single"/>
        </w:rPr>
        <w:tab/>
      </w:r>
      <w:r>
        <w:rPr>
          <w:rFonts w:hint="eastAsia" w:ascii="宋体" w:hAnsi="宋体"/>
          <w:color w:val="000000"/>
          <w:sz w:val="24"/>
          <w:szCs w:val="24"/>
          <w:u w:val="single"/>
        </w:rPr>
        <w:tab/>
      </w:r>
      <w:r>
        <w:rPr>
          <w:rFonts w:hint="eastAsia" w:ascii="宋体" w:hAnsi="宋体"/>
          <w:color w:val="000000"/>
          <w:sz w:val="24"/>
          <w:szCs w:val="24"/>
          <w:u w:val="single"/>
        </w:rPr>
        <w:tab/>
      </w:r>
      <w:r>
        <w:rPr>
          <w:rFonts w:hint="eastAsia" w:ascii="宋体" w:hAnsi="宋体"/>
          <w:color w:val="000000"/>
          <w:sz w:val="24"/>
          <w:szCs w:val="24"/>
          <w:u w:val="single"/>
        </w:rPr>
        <w:tab/>
      </w:r>
      <w:r>
        <w:rPr>
          <w:rFonts w:hint="eastAsia" w:ascii="宋体" w:hAnsi="宋体"/>
          <w:color w:val="000000"/>
          <w:sz w:val="24"/>
          <w:szCs w:val="24"/>
          <w:u w:val="single"/>
        </w:rPr>
        <w:tab/>
      </w:r>
      <w:r>
        <w:rPr>
          <w:rFonts w:hint="eastAsia" w:ascii="宋体" w:hAnsi="宋体"/>
          <w:color w:val="000000"/>
          <w:sz w:val="24"/>
          <w:szCs w:val="24"/>
          <w:u w:val="single"/>
        </w:rPr>
        <w:tab/>
      </w:r>
      <w:r>
        <w:rPr>
          <w:rFonts w:hint="eastAsia" w:ascii="宋体" w:hAnsi="宋体"/>
          <w:color w:val="000000"/>
          <w:sz w:val="24"/>
          <w:szCs w:val="24"/>
          <w:u w:val="single"/>
        </w:rPr>
        <w:tab/>
      </w:r>
      <w:r>
        <w:rPr>
          <w:rFonts w:hint="eastAsia" w:ascii="宋体" w:hAnsi="宋体"/>
          <w:color w:val="000000"/>
          <w:sz w:val="24"/>
          <w:szCs w:val="24"/>
          <w:u w:val="single"/>
        </w:rPr>
        <w:t xml:space="preserve">   </w:t>
      </w:r>
    </w:p>
    <w:p>
      <w:pPr>
        <w:tabs>
          <w:tab w:val="left" w:pos="9345"/>
        </w:tabs>
        <w:adjustRightInd w:val="0"/>
        <w:snapToGrid w:val="0"/>
        <w:spacing w:before="120" w:after="120" w:line="360" w:lineRule="auto"/>
        <w:ind w:firstLine="480"/>
        <w:rPr>
          <w:rFonts w:hint="eastAsia" w:ascii="宋体" w:hAnsi="宋体"/>
          <w:color w:val="000000"/>
          <w:sz w:val="24"/>
          <w:szCs w:val="24"/>
        </w:rPr>
      </w:pPr>
      <w:r>
        <w:rPr>
          <w:rFonts w:hint="eastAsia" w:ascii="宋体" w:hAnsi="宋体"/>
          <w:color w:val="000000"/>
          <w:sz w:val="24"/>
          <w:szCs w:val="24"/>
        </w:rPr>
        <w:t>发包人、承包人根据《中华人民共和国建筑法》、《建设工程质量管理条例》和《房屋建筑工程质量保修办法》，经协商一致，对</w:t>
      </w:r>
      <w:r>
        <w:rPr>
          <w:rFonts w:hint="eastAsia" w:ascii="宋体" w:hAnsi="宋体"/>
          <w:color w:val="000000"/>
          <w:sz w:val="24"/>
          <w:szCs w:val="24"/>
          <w:u w:val="single"/>
        </w:rPr>
        <w:t xml:space="preserve"> 赣州银行数据中心机房建设                           </w:t>
      </w:r>
      <w:r>
        <w:rPr>
          <w:rFonts w:hint="eastAsia" w:ascii="宋体" w:hAnsi="宋体"/>
          <w:color w:val="000000"/>
          <w:sz w:val="24"/>
          <w:szCs w:val="24"/>
        </w:rPr>
        <w:t>工程签订工程质量保修书。</w:t>
      </w:r>
    </w:p>
    <w:p>
      <w:pPr>
        <w:numPr>
          <w:ilvl w:val="2"/>
          <w:numId w:val="320"/>
        </w:numPr>
        <w:tabs>
          <w:tab w:val="clear" w:pos="1200"/>
        </w:tabs>
        <w:adjustRightInd w:val="0"/>
        <w:snapToGrid w:val="0"/>
        <w:spacing w:before="120" w:after="120" w:line="360" w:lineRule="auto"/>
        <w:ind w:left="420" w:hanging="420"/>
        <w:rPr>
          <w:rFonts w:hint="eastAsia" w:ascii="宋体" w:hAnsi="宋体"/>
          <w:color w:val="000000"/>
          <w:sz w:val="24"/>
          <w:szCs w:val="24"/>
        </w:rPr>
      </w:pPr>
      <w:r>
        <w:rPr>
          <w:rFonts w:hint="eastAsia" w:ascii="宋体" w:hAnsi="宋体"/>
          <w:color w:val="000000"/>
          <w:sz w:val="24"/>
          <w:szCs w:val="24"/>
        </w:rPr>
        <w:t>工程质量保修范围和内容</w:t>
      </w:r>
    </w:p>
    <w:p>
      <w:pPr>
        <w:adjustRightInd w:val="0"/>
        <w:snapToGrid w:val="0"/>
        <w:spacing w:before="120" w:after="120" w:line="360" w:lineRule="auto"/>
        <w:ind w:firstLine="480"/>
        <w:rPr>
          <w:rFonts w:hint="eastAsia" w:ascii="宋体" w:hAnsi="宋体"/>
          <w:color w:val="000000"/>
          <w:sz w:val="24"/>
          <w:szCs w:val="24"/>
        </w:rPr>
      </w:pPr>
      <w:r>
        <w:rPr>
          <w:rFonts w:hint="eastAsia" w:ascii="宋体" w:hAnsi="宋体"/>
          <w:color w:val="000000"/>
          <w:sz w:val="24"/>
          <w:szCs w:val="24"/>
        </w:rPr>
        <w:t>承包人在质量保修期内，按照有关法律、法规、规章规定和双方约定，及投标文件保修部分所作的承诺，承担本工程质量保修责任，</w:t>
      </w:r>
      <w:r>
        <w:rPr>
          <w:rFonts w:hint="eastAsia" w:ascii="宋体" w:hAnsi="宋体"/>
          <w:bCs/>
          <w:color w:val="000000"/>
          <w:sz w:val="24"/>
          <w:szCs w:val="24"/>
        </w:rPr>
        <w:t>无偿地为发包人更换材料或制造工艺等方面存在缺陷的设备或零配件，包括拆除有缺陷的设备或零配件和安装新更换设备或零配件所需的全部工作。</w:t>
      </w:r>
    </w:p>
    <w:p>
      <w:pPr>
        <w:adjustRightInd w:val="0"/>
        <w:snapToGrid w:val="0"/>
        <w:spacing w:before="120" w:after="120" w:line="360" w:lineRule="auto"/>
        <w:ind w:firstLine="480"/>
        <w:rPr>
          <w:rFonts w:hint="eastAsia" w:ascii="宋体" w:hAnsi="宋体"/>
          <w:color w:val="000000"/>
          <w:sz w:val="24"/>
          <w:szCs w:val="24"/>
        </w:rPr>
      </w:pPr>
      <w:r>
        <w:rPr>
          <w:rFonts w:hint="eastAsia" w:ascii="宋体" w:hAnsi="宋体"/>
          <w:color w:val="000000"/>
          <w:sz w:val="24"/>
          <w:szCs w:val="24"/>
        </w:rPr>
        <w:t>质量保修范围包括含：</w:t>
      </w:r>
      <w:r>
        <w:rPr>
          <w:rFonts w:hint="eastAsia" w:ascii="宋体" w:hAnsi="宋体"/>
          <w:color w:val="000000"/>
          <w:sz w:val="24"/>
          <w:szCs w:val="24"/>
          <w:u w:val="single"/>
        </w:rPr>
        <w:t xml:space="preserve">   施工范围内全部工程    </w:t>
      </w:r>
      <w:r>
        <w:rPr>
          <w:rFonts w:hint="eastAsia" w:ascii="宋体" w:hAnsi="宋体"/>
          <w:color w:val="000000"/>
          <w:sz w:val="24"/>
          <w:szCs w:val="24"/>
        </w:rPr>
        <w:t>，以及双方约定的其他项目。具体保修的内容，双方约定如下：</w:t>
      </w:r>
    </w:p>
    <w:p>
      <w:pPr>
        <w:numPr>
          <w:ilvl w:val="2"/>
          <w:numId w:val="320"/>
        </w:numPr>
        <w:tabs>
          <w:tab w:val="clear" w:pos="1200"/>
        </w:tabs>
        <w:adjustRightInd w:val="0"/>
        <w:snapToGrid w:val="0"/>
        <w:spacing w:before="120" w:after="120" w:line="360" w:lineRule="auto"/>
        <w:ind w:left="420" w:hanging="420"/>
        <w:rPr>
          <w:rFonts w:hint="eastAsia" w:ascii="宋体" w:hAnsi="宋体"/>
          <w:color w:val="000000"/>
          <w:sz w:val="24"/>
          <w:szCs w:val="24"/>
        </w:rPr>
      </w:pPr>
      <w:r>
        <w:rPr>
          <w:rFonts w:hint="eastAsia" w:ascii="宋体" w:hAnsi="宋体"/>
          <w:color w:val="000000"/>
          <w:sz w:val="24"/>
          <w:szCs w:val="24"/>
        </w:rPr>
        <w:t>质量保修期</w:t>
      </w:r>
    </w:p>
    <w:p>
      <w:pPr>
        <w:numPr>
          <w:ilvl w:val="1"/>
          <w:numId w:val="321"/>
        </w:numPr>
        <w:adjustRightInd w:val="0"/>
        <w:snapToGrid w:val="0"/>
        <w:spacing w:before="120" w:after="120" w:line="360" w:lineRule="auto"/>
        <w:rPr>
          <w:rFonts w:hint="eastAsia" w:ascii="宋体" w:hAnsi="宋体"/>
          <w:color w:val="000000"/>
          <w:sz w:val="24"/>
          <w:szCs w:val="24"/>
        </w:rPr>
      </w:pPr>
      <w:r>
        <w:rPr>
          <w:rFonts w:hint="eastAsia" w:ascii="宋体" w:hAnsi="宋体"/>
          <w:color w:val="000000"/>
          <w:sz w:val="24"/>
          <w:szCs w:val="24"/>
        </w:rPr>
        <w:t>质量保修期自工程竣工验收合格之日起计算，保修期为三年。</w:t>
      </w:r>
    </w:p>
    <w:p>
      <w:pPr>
        <w:numPr>
          <w:ilvl w:val="2"/>
          <w:numId w:val="320"/>
        </w:numPr>
        <w:tabs>
          <w:tab w:val="clear" w:pos="1200"/>
        </w:tabs>
        <w:adjustRightInd w:val="0"/>
        <w:snapToGrid w:val="0"/>
        <w:spacing w:before="120" w:after="120" w:line="360" w:lineRule="auto"/>
        <w:ind w:left="420" w:hanging="420"/>
        <w:rPr>
          <w:rFonts w:hint="eastAsia" w:ascii="宋体" w:hAnsi="宋体"/>
          <w:color w:val="000000"/>
          <w:sz w:val="24"/>
          <w:szCs w:val="24"/>
        </w:rPr>
      </w:pPr>
      <w:r>
        <w:rPr>
          <w:rFonts w:hint="eastAsia" w:ascii="宋体" w:hAnsi="宋体"/>
          <w:color w:val="000000"/>
          <w:sz w:val="24"/>
          <w:szCs w:val="24"/>
        </w:rPr>
        <w:t>质量保修责任</w:t>
      </w:r>
    </w:p>
    <w:p>
      <w:pPr>
        <w:numPr>
          <w:ilvl w:val="1"/>
          <w:numId w:val="322"/>
        </w:numPr>
        <w:adjustRightInd w:val="0"/>
        <w:snapToGrid w:val="0"/>
        <w:spacing w:before="120" w:after="120" w:line="360" w:lineRule="auto"/>
        <w:rPr>
          <w:rFonts w:hint="eastAsia" w:ascii="宋体" w:hAnsi="宋体"/>
          <w:color w:val="000000"/>
          <w:sz w:val="24"/>
          <w:szCs w:val="24"/>
        </w:rPr>
      </w:pPr>
      <w:r>
        <w:rPr>
          <w:rFonts w:hint="eastAsia" w:ascii="宋体" w:hAnsi="宋体"/>
          <w:color w:val="000000"/>
          <w:sz w:val="24"/>
          <w:szCs w:val="24"/>
        </w:rPr>
        <w:t>属于保修范围、内容的项目，承包人</w:t>
      </w:r>
      <w:r>
        <w:rPr>
          <w:rFonts w:hint="eastAsia" w:ascii="宋体" w:hAnsi="宋体"/>
          <w:bCs/>
          <w:color w:val="000000"/>
          <w:sz w:val="24"/>
          <w:szCs w:val="24"/>
        </w:rPr>
        <w:t>提供7*24小时的电话支持，指定专人客户经理处理和联系。对发包人提出的预防性维修要求在2小时内做出实质性反应，及时解决机房运行中的问题。对发包人提出的故障性维修要求在0.5小时内做出实质性反应，及时解决机房运行中的问题。接到发包人应急处理或故障通知后迅速作出反应，在指导发包人作简单的应急处理的同时,2小时内到达现场进行应急或故障处理</w:t>
      </w:r>
      <w:r>
        <w:rPr>
          <w:rFonts w:hint="eastAsia" w:ascii="宋体" w:hAnsi="宋体"/>
          <w:color w:val="000000"/>
          <w:sz w:val="24"/>
          <w:szCs w:val="24"/>
        </w:rPr>
        <w:t>。承包人不在约定期限内派人保修的，发包人可以委托他人修理。</w:t>
      </w:r>
    </w:p>
    <w:p>
      <w:pPr>
        <w:numPr>
          <w:ilvl w:val="1"/>
          <w:numId w:val="322"/>
        </w:numPr>
        <w:adjustRightInd w:val="0"/>
        <w:snapToGrid w:val="0"/>
        <w:spacing w:before="120" w:after="120" w:line="360" w:lineRule="auto"/>
        <w:rPr>
          <w:rFonts w:hint="eastAsia" w:ascii="宋体" w:hAnsi="宋体"/>
          <w:color w:val="000000"/>
          <w:sz w:val="24"/>
          <w:szCs w:val="24"/>
        </w:rPr>
      </w:pPr>
      <w:r>
        <w:rPr>
          <w:rFonts w:hint="eastAsia" w:ascii="宋体" w:hAnsi="宋体"/>
          <w:color w:val="000000"/>
          <w:sz w:val="24"/>
          <w:szCs w:val="24"/>
        </w:rPr>
        <w:t>发生紧急抢修事故的，承包人在接到事故通知后，应当立即到达事故现场抢修，保修费用由承包人承担。</w:t>
      </w:r>
    </w:p>
    <w:p>
      <w:pPr>
        <w:numPr>
          <w:ilvl w:val="1"/>
          <w:numId w:val="322"/>
        </w:numPr>
        <w:adjustRightInd w:val="0"/>
        <w:snapToGrid w:val="0"/>
        <w:spacing w:before="120" w:after="120" w:line="360" w:lineRule="auto"/>
        <w:rPr>
          <w:rFonts w:hint="eastAsia" w:ascii="宋体" w:hAnsi="宋体"/>
          <w:color w:val="000000"/>
          <w:sz w:val="24"/>
          <w:szCs w:val="24"/>
        </w:rPr>
      </w:pPr>
      <w:r>
        <w:rPr>
          <w:rFonts w:hint="eastAsia" w:ascii="宋体" w:hAnsi="宋体"/>
          <w:color w:val="000000"/>
          <w:sz w:val="24"/>
          <w:szCs w:val="24"/>
        </w:rPr>
        <w:t>对于涉及结构安全的质量问题，立即向当地建设行政主管部门报告，采取安全防范措施；由原设计单位或者具有相应资质等级的设计单位提出保修方案，承包人实施保修。</w:t>
      </w:r>
    </w:p>
    <w:p>
      <w:pPr>
        <w:numPr>
          <w:ilvl w:val="1"/>
          <w:numId w:val="322"/>
        </w:numPr>
        <w:adjustRightInd w:val="0"/>
        <w:snapToGrid w:val="0"/>
        <w:spacing w:before="120" w:after="120" w:line="360" w:lineRule="auto"/>
        <w:rPr>
          <w:rFonts w:hint="eastAsia" w:ascii="宋体" w:hAnsi="宋体"/>
          <w:color w:val="000000"/>
          <w:sz w:val="24"/>
          <w:szCs w:val="24"/>
        </w:rPr>
      </w:pPr>
      <w:r>
        <w:rPr>
          <w:rFonts w:hint="eastAsia" w:ascii="宋体" w:hAnsi="宋体"/>
          <w:color w:val="000000"/>
          <w:sz w:val="24"/>
          <w:szCs w:val="24"/>
        </w:rPr>
        <w:t>质量保修完成后，由发包人组织验收。</w:t>
      </w:r>
    </w:p>
    <w:p>
      <w:pPr>
        <w:numPr>
          <w:ilvl w:val="2"/>
          <w:numId w:val="320"/>
        </w:numPr>
        <w:tabs>
          <w:tab w:val="clear" w:pos="1200"/>
        </w:tabs>
        <w:adjustRightInd w:val="0"/>
        <w:snapToGrid w:val="0"/>
        <w:spacing w:before="120" w:after="120" w:line="360" w:lineRule="auto"/>
        <w:ind w:left="420" w:hanging="420"/>
        <w:rPr>
          <w:rFonts w:hint="eastAsia" w:ascii="宋体" w:hAnsi="宋体"/>
          <w:color w:val="000000"/>
          <w:sz w:val="24"/>
          <w:szCs w:val="24"/>
        </w:rPr>
      </w:pPr>
      <w:r>
        <w:rPr>
          <w:rFonts w:hint="eastAsia" w:ascii="宋体" w:hAnsi="宋体"/>
          <w:color w:val="000000"/>
          <w:sz w:val="24"/>
          <w:szCs w:val="24"/>
        </w:rPr>
        <w:t>保修费用</w:t>
      </w:r>
    </w:p>
    <w:p>
      <w:pPr>
        <w:numPr>
          <w:ilvl w:val="1"/>
          <w:numId w:val="323"/>
        </w:numPr>
        <w:adjustRightInd w:val="0"/>
        <w:snapToGrid w:val="0"/>
        <w:spacing w:before="120" w:after="120" w:line="360" w:lineRule="auto"/>
        <w:rPr>
          <w:rFonts w:hint="eastAsia" w:ascii="宋体" w:hAnsi="宋体"/>
          <w:color w:val="000000"/>
          <w:sz w:val="24"/>
          <w:szCs w:val="24"/>
        </w:rPr>
      </w:pPr>
      <w:r>
        <w:rPr>
          <w:rFonts w:hint="eastAsia" w:ascii="宋体" w:hAnsi="宋体"/>
          <w:color w:val="000000"/>
          <w:sz w:val="24"/>
          <w:szCs w:val="24"/>
        </w:rPr>
        <w:t>保修费用由造成质量缺陷的责任方承担。</w:t>
      </w:r>
    </w:p>
    <w:p>
      <w:pPr>
        <w:numPr>
          <w:ilvl w:val="2"/>
          <w:numId w:val="320"/>
        </w:numPr>
        <w:tabs>
          <w:tab w:val="clear" w:pos="1200"/>
        </w:tabs>
        <w:adjustRightInd w:val="0"/>
        <w:snapToGrid w:val="0"/>
        <w:spacing w:before="120" w:after="120" w:line="360" w:lineRule="auto"/>
        <w:ind w:left="420" w:hanging="420"/>
        <w:rPr>
          <w:rFonts w:hint="eastAsia" w:ascii="宋体" w:hAnsi="宋体"/>
          <w:color w:val="000000"/>
          <w:sz w:val="24"/>
          <w:szCs w:val="24"/>
        </w:rPr>
      </w:pPr>
      <w:r>
        <w:rPr>
          <w:rFonts w:hint="eastAsia" w:ascii="宋体" w:hAnsi="宋体"/>
          <w:color w:val="000000"/>
          <w:sz w:val="24"/>
          <w:szCs w:val="24"/>
        </w:rPr>
        <w:t>其他</w:t>
      </w:r>
    </w:p>
    <w:p>
      <w:pPr>
        <w:spacing w:line="360" w:lineRule="auto"/>
        <w:ind w:left="420"/>
        <w:rPr>
          <w:rFonts w:hint="eastAsia" w:ascii="宋体" w:hAnsi="宋体"/>
          <w:color w:val="000000"/>
          <w:sz w:val="24"/>
          <w:szCs w:val="24"/>
        </w:rPr>
      </w:pPr>
      <w:r>
        <w:rPr>
          <w:rFonts w:hint="eastAsia" w:ascii="宋体" w:hAnsi="宋体"/>
          <w:color w:val="000000"/>
          <w:sz w:val="24"/>
          <w:szCs w:val="24"/>
        </w:rPr>
        <w:t>双方约定的其他工程质量保修事项：保修期内的维修工作由承包人负责，如承包人不按要求或不按时（接到维修单后三个工作日）维修，发包人可自行维修或安排他人维修，发生的维修费用发包人有权按实际发生的费用从保修金中扣除，从保修金中扣除金额不足时，发包人有权继续向承包人追索。</w:t>
      </w:r>
    </w:p>
    <w:p>
      <w:pPr>
        <w:numPr>
          <w:ilvl w:val="0"/>
          <w:numId w:val="0"/>
        </w:numPr>
        <w:spacing w:line="600" w:lineRule="exact"/>
        <w:jc w:val="left"/>
        <w:textAlignment w:val="baseline"/>
        <w:rPr>
          <w:rFonts w:hint="eastAsia" w:ascii="宋体" w:hAnsi="宋体"/>
          <w:color w:val="000000"/>
          <w:sz w:val="24"/>
          <w:szCs w:val="24"/>
        </w:rPr>
      </w:pPr>
      <w:r>
        <w:rPr>
          <w:rFonts w:hint="eastAsia" w:ascii="宋体" w:hAnsi="宋体"/>
          <w:color w:val="000000"/>
          <w:sz w:val="24"/>
          <w:szCs w:val="24"/>
        </w:rPr>
        <w:t>本工程质量保修书，由施工合同发包人、承包人双方在竣工验收前共同签署，作为施工合同附件，其有效期限至保修期满。</w:t>
      </w:r>
    </w:p>
    <w:p>
      <w:pPr>
        <w:pStyle w:val="2"/>
        <w:rPr>
          <w:rFonts w:hint="eastAsia" w:ascii="宋体" w:hAnsi="宋体"/>
          <w:color w:val="000000"/>
          <w:sz w:val="24"/>
          <w:szCs w:val="24"/>
        </w:rPr>
      </w:pPr>
    </w:p>
    <w:p>
      <w:pPr>
        <w:rPr>
          <w:rFonts w:hint="eastAsia"/>
        </w:rPr>
      </w:pPr>
    </w:p>
    <w:p>
      <w:pPr>
        <w:tabs>
          <w:tab w:val="left" w:pos="5000"/>
        </w:tabs>
        <w:spacing w:line="360" w:lineRule="auto"/>
        <w:ind w:left="426"/>
        <w:rPr>
          <w:rFonts w:hint="eastAsia" w:ascii="宋体" w:hAnsi="宋体"/>
          <w:color w:val="000000"/>
          <w:sz w:val="24"/>
          <w:szCs w:val="24"/>
        </w:rPr>
      </w:pPr>
      <w:r>
        <w:rPr>
          <w:rFonts w:hint="eastAsia" w:ascii="宋体" w:hAnsi="宋体"/>
          <w:color w:val="000000"/>
          <w:sz w:val="24"/>
          <w:szCs w:val="24"/>
        </w:rPr>
        <w:t>建设单位（公章）：</w:t>
      </w:r>
      <w:r>
        <w:rPr>
          <w:rFonts w:hint="eastAsia" w:ascii="宋体" w:hAnsi="宋体"/>
          <w:color w:val="000000"/>
          <w:sz w:val="24"/>
          <w:szCs w:val="24"/>
        </w:rPr>
        <w:tab/>
      </w:r>
      <w:r>
        <w:rPr>
          <w:rFonts w:hint="eastAsia" w:ascii="宋体" w:hAnsi="宋体"/>
          <w:color w:val="000000"/>
          <w:sz w:val="24"/>
          <w:szCs w:val="24"/>
        </w:rPr>
        <w:t>施工单位（公章）：</w:t>
      </w:r>
    </w:p>
    <w:p>
      <w:pPr>
        <w:tabs>
          <w:tab w:val="left" w:pos="5000"/>
        </w:tabs>
        <w:spacing w:line="360" w:lineRule="auto"/>
        <w:ind w:left="426"/>
        <w:rPr>
          <w:rFonts w:hint="eastAsia" w:ascii="宋体" w:hAnsi="宋体"/>
          <w:color w:val="000000"/>
          <w:sz w:val="24"/>
          <w:szCs w:val="24"/>
        </w:rPr>
      </w:pPr>
      <w:r>
        <w:rPr>
          <w:rFonts w:hint="eastAsia" w:ascii="宋体" w:hAnsi="宋体"/>
          <w:color w:val="000000"/>
          <w:sz w:val="24"/>
          <w:szCs w:val="24"/>
        </w:rPr>
        <w:t>法定代表人（签字）：</w:t>
      </w:r>
      <w:r>
        <w:rPr>
          <w:rFonts w:hint="eastAsia" w:ascii="宋体" w:hAnsi="宋体"/>
          <w:color w:val="000000"/>
          <w:sz w:val="24"/>
          <w:szCs w:val="24"/>
        </w:rPr>
        <w:tab/>
      </w:r>
      <w:r>
        <w:rPr>
          <w:rFonts w:hint="eastAsia" w:ascii="宋体" w:hAnsi="宋体"/>
          <w:color w:val="000000"/>
          <w:sz w:val="24"/>
          <w:szCs w:val="24"/>
        </w:rPr>
        <w:t>法定代表人（签字）：</w:t>
      </w:r>
    </w:p>
    <w:p>
      <w:pPr>
        <w:tabs>
          <w:tab w:val="left" w:pos="5040"/>
        </w:tabs>
        <w:spacing w:line="360" w:lineRule="auto"/>
        <w:ind w:firstLine="480" w:firstLineChars="200"/>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olor w:val="000000"/>
          <w:sz w:val="24"/>
          <w:szCs w:val="24"/>
        </w:rPr>
        <w:tab/>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pStyle w:val="2"/>
      </w:pPr>
    </w:p>
    <w:p>
      <w:pPr>
        <w:pStyle w:val="31"/>
        <w:keepNext w:val="0"/>
        <w:keepLines w:val="0"/>
        <w:pageBreakBefore/>
        <w:rPr>
          <w:rFonts w:ascii="宋体" w:hAnsi="宋体"/>
          <w:color w:val="000000" w:themeColor="text1"/>
          <w14:textFill>
            <w14:solidFill>
              <w14:schemeClr w14:val="tx1"/>
            </w14:solidFill>
          </w14:textFill>
        </w:rPr>
      </w:pPr>
      <w:bookmarkStart w:id="1310" w:name="_Toc301364344"/>
      <w:bookmarkStart w:id="1311" w:name="_Toc301534908"/>
      <w:bookmarkStart w:id="1312" w:name="_Toc329155944"/>
      <w:bookmarkStart w:id="1313" w:name="_Toc301359892"/>
      <w:bookmarkStart w:id="1314" w:name="_Toc329088551"/>
      <w:bookmarkStart w:id="1315" w:name="_Toc301619597"/>
      <w:bookmarkStart w:id="1316" w:name="_Toc301195253"/>
      <w:bookmarkStart w:id="1317" w:name="_Toc332808466"/>
      <w:bookmarkStart w:id="1318" w:name="_Toc301617523"/>
      <w:bookmarkStart w:id="1319" w:name="_Toc301300466"/>
      <w:bookmarkStart w:id="1320" w:name="_Toc23871213"/>
      <w:r>
        <w:rPr>
          <w:rFonts w:hint="eastAsia" w:ascii="宋体" w:hAnsi="宋体"/>
          <w:color w:val="000000" w:themeColor="text1"/>
          <w14:textFill>
            <w14:solidFill>
              <w14:schemeClr w14:val="tx1"/>
            </w14:solidFill>
          </w14:textFill>
        </w:rPr>
        <w:t>第五章  附件（投标文件格式</w:t>
      </w:r>
      <w:bookmarkEnd w:id="1310"/>
      <w:bookmarkEnd w:id="1311"/>
      <w:bookmarkEnd w:id="1312"/>
      <w:bookmarkEnd w:id="1313"/>
      <w:bookmarkEnd w:id="1314"/>
      <w:bookmarkEnd w:id="1315"/>
      <w:bookmarkEnd w:id="1316"/>
      <w:bookmarkEnd w:id="1317"/>
      <w:bookmarkEnd w:id="1318"/>
      <w:bookmarkEnd w:id="1319"/>
      <w:r>
        <w:rPr>
          <w:rFonts w:hint="eastAsia" w:ascii="宋体" w:hAnsi="宋体"/>
          <w:color w:val="000000" w:themeColor="text1"/>
          <w14:textFill>
            <w14:solidFill>
              <w14:schemeClr w14:val="tx1"/>
            </w14:solidFill>
          </w14:textFill>
        </w:rPr>
        <w:t>）</w:t>
      </w:r>
      <w:bookmarkEnd w:id="1320"/>
    </w:p>
    <w:p>
      <w:pPr>
        <w:ind w:left="560"/>
        <w:rPr>
          <w:rFonts w:ascii="宋体" w:hAnsi="宋体"/>
          <w:color w:val="000000" w:themeColor="text1"/>
          <w14:textFill>
            <w14:solidFill>
              <w14:schemeClr w14:val="tx1"/>
            </w14:solidFill>
          </w14:textFill>
        </w:rPr>
      </w:pPr>
      <w:bookmarkStart w:id="1321" w:name="_Toc301619599"/>
      <w:bookmarkStart w:id="1322" w:name="_Toc301534910"/>
      <w:bookmarkStart w:id="1323" w:name="_Toc301300468"/>
      <w:bookmarkStart w:id="1324" w:name="_Toc301617525"/>
      <w:bookmarkStart w:id="1325" w:name="_Toc301359894"/>
      <w:bookmarkStart w:id="1326" w:name="_Toc329088552"/>
      <w:bookmarkStart w:id="1327" w:name="_Toc329155945"/>
      <w:bookmarkStart w:id="1328" w:name="_Toc301195255"/>
      <w:bookmarkStart w:id="1329" w:name="_Toc332808467"/>
      <w:bookmarkStart w:id="1330" w:name="_Toc301364346"/>
    </w:p>
    <w:p>
      <w:pPr>
        <w:ind w:left="56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项目名称：采购项目</w:t>
      </w:r>
    </w:p>
    <w:p>
      <w:pPr>
        <w:spacing w:line="720" w:lineRule="auto"/>
        <w:ind w:left="561"/>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（采购编号：JXJH2020-GZ-G007）</w:t>
      </w:r>
    </w:p>
    <w:p>
      <w:pPr>
        <w:spacing w:line="720" w:lineRule="auto"/>
        <w:ind w:left="561"/>
        <w:jc w:val="center"/>
        <w:rPr>
          <w:rFonts w:ascii="宋体" w:hAnsi="宋体"/>
          <w:b/>
          <w:color w:val="000000" w:themeColor="text1"/>
          <w:sz w:val="36"/>
          <w:szCs w:val="36"/>
          <w14:textFill>
            <w14:solidFill>
              <w14:schemeClr w14:val="tx1"/>
            </w14:solidFill>
          </w14:textFill>
        </w:rPr>
      </w:pPr>
    </w:p>
    <w:p>
      <w:pPr>
        <w:ind w:left="560"/>
        <w:rPr>
          <w:rFonts w:ascii="宋体" w:hAnsi="宋体"/>
          <w:color w:val="000000" w:themeColor="text1"/>
          <w14:textFill>
            <w14:solidFill>
              <w14:schemeClr w14:val="tx1"/>
            </w14:solidFill>
          </w14:textFill>
        </w:rPr>
      </w:pPr>
    </w:p>
    <w:p>
      <w:pPr>
        <w:ind w:left="560"/>
        <w:rPr>
          <w:rFonts w:ascii="宋体" w:hAnsi="宋体"/>
          <w:color w:val="000000" w:themeColor="text1"/>
          <w14:textFill>
            <w14:solidFill>
              <w14:schemeClr w14:val="tx1"/>
            </w14:solidFill>
          </w14:textFill>
        </w:rPr>
      </w:pPr>
    </w:p>
    <w:p>
      <w:pPr>
        <w:spacing w:line="720" w:lineRule="auto"/>
        <w:jc w:val="center"/>
        <w:rPr>
          <w:rFonts w:ascii="宋体" w:hAnsi="宋体"/>
          <w:b/>
          <w:color w:val="000000" w:themeColor="text1"/>
          <w:sz w:val="72"/>
          <w:szCs w:val="72"/>
          <w14:textFill>
            <w14:solidFill>
              <w14:schemeClr w14:val="tx1"/>
            </w14:solidFill>
          </w14:textFill>
        </w:rPr>
      </w:pPr>
      <w:r>
        <w:rPr>
          <w:rFonts w:ascii="宋体" w:hAnsi="宋体"/>
          <w:b/>
          <w:color w:val="000000" w:themeColor="text1"/>
          <w:sz w:val="72"/>
          <w:szCs w:val="72"/>
          <w14:textFill>
            <w14:solidFill>
              <w14:schemeClr w14:val="tx1"/>
            </w14:solidFill>
          </w14:textFill>
        </w:rPr>
        <w:pict>
          <v:shape id="_x0000_i1025" o:spt="136" type="#_x0000_t136" style="height:58.8pt;width:306.6pt;" fillcolor="#000000" filled="t" coordsize="21600,21600">
            <v:path/>
            <v:fill on="t" focussize="0,0"/>
            <v:stroke/>
            <v:imagedata o:title=""/>
            <o:lock v:ext="edit"/>
            <v:textpath on="t" fitshape="t" fitpath="t" trim="t" xscale="f" string="投标文件" style="font-family:宋体;font-size:54pt;v-text-align:center;v-text-spacing:78650f;"/>
            <v:shadow on="t" color="#868686"/>
            <w10:wrap type="none"/>
            <w10:anchorlock/>
          </v:shape>
        </w:pict>
      </w:r>
    </w:p>
    <w:p>
      <w:pPr>
        <w:spacing w:line="720" w:lineRule="auto"/>
        <w:ind w:left="561"/>
        <w:jc w:val="center"/>
        <w:rPr>
          <w:rFonts w:ascii="宋体" w:hAnsi="宋体"/>
          <w:color w:val="000000" w:themeColor="text1"/>
          <w:sz w:val="72"/>
          <w:szCs w:val="72"/>
          <w14:textFill>
            <w14:solidFill>
              <w14:schemeClr w14:val="tx1"/>
            </w14:solidFill>
          </w14:textFill>
        </w:rPr>
      </w:pPr>
    </w:p>
    <w:p>
      <w:pPr>
        <w:ind w:left="560"/>
        <w:rPr>
          <w:rFonts w:ascii="宋体" w:hAnsi="宋体"/>
          <w:color w:val="000000" w:themeColor="text1"/>
          <w14:textFill>
            <w14:solidFill>
              <w14:schemeClr w14:val="tx1"/>
            </w14:solidFill>
          </w14:textFill>
        </w:rPr>
      </w:pPr>
    </w:p>
    <w:p>
      <w:pPr>
        <w:spacing w:line="720" w:lineRule="auto"/>
        <w:ind w:firstLine="918" w:firstLineChars="254"/>
        <w:rPr>
          <w:rFonts w:ascii="宋体" w:hAnsi="宋体"/>
          <w:b/>
          <w:color w:val="000000" w:themeColor="text1"/>
          <w:sz w:val="36"/>
          <w:szCs w:val="36"/>
          <w:u w:val="single"/>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投标人名称（盖章）：</w:t>
      </w:r>
    </w:p>
    <w:p>
      <w:pPr>
        <w:spacing w:line="720" w:lineRule="auto"/>
        <w:ind w:firstLine="918" w:firstLineChars="254"/>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法定代表人或其委托代理人（签字）：</w:t>
      </w:r>
    </w:p>
    <w:p>
      <w:pPr>
        <w:spacing w:line="720" w:lineRule="auto"/>
        <w:ind w:left="420" w:leftChars="200" w:firstLine="531" w:firstLineChars="147"/>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日   期：年月日</w:t>
      </w:r>
    </w:p>
    <w:p>
      <w:pPr>
        <w:ind w:left="560"/>
        <w:rPr>
          <w:rFonts w:ascii="宋体" w:hAnsi="宋体"/>
          <w:color w:val="000000" w:themeColor="text1"/>
          <w14:textFill>
            <w14:solidFill>
              <w14:schemeClr w14:val="tx1"/>
            </w14:solidFill>
          </w14:textFill>
        </w:rPr>
      </w:pPr>
    </w:p>
    <w:p>
      <w:pPr>
        <w:keepNext/>
        <w:keepLines/>
        <w:widowControl w:val="0"/>
        <w:spacing w:before="260" w:after="260" w:line="415" w:lineRule="auto"/>
        <w:jc w:val="both"/>
        <w:outlineLvl w:val="1"/>
        <w:rPr>
          <w:rFonts w:ascii="宋体" w:hAnsi="宋体" w:eastAsia="黑体" w:cstheme="minorBidi"/>
          <w:b/>
          <w:bCs/>
          <w:color w:val="000000" w:themeColor="text1"/>
          <w:kern w:val="2"/>
          <w:sz w:val="32"/>
          <w:szCs w:val="32"/>
          <w:lang w:val="en-US" w:eastAsia="zh-CN" w:bidi="ar-SA"/>
          <w14:textFill>
            <w14:solidFill>
              <w14:schemeClr w14:val="tx1"/>
            </w14:solidFill>
          </w14:textFill>
        </w:rPr>
      </w:pPr>
    </w:p>
    <w:p>
      <w:pPr>
        <w:rPr>
          <w:rFonts w:ascii="宋体" w:hAnsi="宋体"/>
          <w:color w:val="000000" w:themeColor="text1"/>
          <w14:textFill>
            <w14:solidFill>
              <w14:schemeClr w14:val="tx1"/>
            </w14:solidFill>
          </w14:textFill>
        </w:rPr>
      </w:pPr>
    </w:p>
    <w:p>
      <w:pPr>
        <w:keepNext/>
        <w:keepLines/>
        <w:widowControl w:val="0"/>
        <w:spacing w:before="260" w:after="260" w:line="415" w:lineRule="auto"/>
        <w:jc w:val="both"/>
        <w:outlineLvl w:val="1"/>
        <w:rPr>
          <w:rFonts w:ascii="宋体" w:hAnsi="宋体" w:eastAsia="黑体" w:cstheme="minorBidi"/>
          <w:b/>
          <w:bCs/>
          <w:color w:val="000000" w:themeColor="text1"/>
          <w:kern w:val="2"/>
          <w:sz w:val="32"/>
          <w:szCs w:val="32"/>
          <w:lang w:val="en-US" w:eastAsia="zh-CN" w:bidi="ar-SA"/>
          <w14:textFill>
            <w14:solidFill>
              <w14:schemeClr w14:val="tx1"/>
            </w14:solidFill>
          </w14:textFill>
        </w:rPr>
      </w:pPr>
    </w:p>
    <w:p>
      <w:pPr>
        <w:rPr>
          <w:rFonts w:ascii="宋体" w:hAnsi="宋体"/>
          <w:color w:val="000000" w:themeColor="text1"/>
          <w14:textFill>
            <w14:solidFill>
              <w14:schemeClr w14:val="tx1"/>
            </w14:solidFill>
          </w14:textFill>
        </w:rPr>
      </w:pPr>
    </w:p>
    <w:p>
      <w:pPr>
        <w:widowControl w:val="0"/>
        <w:jc w:val="both"/>
        <w:rPr>
          <w:rFonts w:ascii="Arial" w:hAnsi="Arial" w:eastAsia="黑体" w:cstheme="minorBidi"/>
          <w:b/>
          <w:bCs/>
          <w:kern w:val="2"/>
          <w:sz w:val="32"/>
          <w:szCs w:val="32"/>
          <w:lang w:val="en-US" w:eastAsia="zh-CN" w:bidi="ar-SA"/>
        </w:rPr>
      </w:pPr>
    </w:p>
    <w:p>
      <w:pPr>
        <w:widowControl w:val="0"/>
        <w:jc w:val="both"/>
        <w:rPr>
          <w:rFonts w:ascii="宋体" w:hAnsi="Courier New" w:eastAsiaTheme="minorEastAsia" w:cstheme="minorBidi"/>
          <w:color w:val="000000" w:themeColor="text1"/>
          <w:kern w:val="2"/>
          <w:sz w:val="21"/>
          <w:szCs w:val="20"/>
          <w:lang w:val="en-US" w:eastAsia="zh-CN" w:bidi="ar-SA"/>
          <w14:textFill>
            <w14:solidFill>
              <w14:schemeClr w14:val="tx1"/>
            </w14:solidFill>
          </w14:textFill>
        </w:rPr>
      </w:pPr>
    </w:p>
    <w:bookmarkEnd w:id="1321"/>
    <w:bookmarkEnd w:id="1322"/>
    <w:bookmarkEnd w:id="1323"/>
    <w:bookmarkEnd w:id="1324"/>
    <w:bookmarkEnd w:id="1325"/>
    <w:bookmarkEnd w:id="1326"/>
    <w:bookmarkEnd w:id="1327"/>
    <w:bookmarkEnd w:id="1328"/>
    <w:bookmarkEnd w:id="1329"/>
    <w:bookmarkEnd w:id="1330"/>
    <w:p>
      <w:pPr>
        <w:pStyle w:val="5"/>
        <w:spacing w:before="156" w:after="156"/>
        <w:jc w:val="center"/>
        <w:rPr>
          <w:rFonts w:ascii="Times New Roman" w:hAnsi="宋体" w:eastAsia="宋体" w:cs="Times New Roman"/>
          <w:bCs/>
        </w:rPr>
      </w:pPr>
      <w:r>
        <w:rPr>
          <w:rFonts w:hint="eastAsia" w:ascii="宋体" w:hAnsi="宋体" w:eastAsia="宋体"/>
          <w:b w:val="0"/>
          <w:bCs/>
        </w:rPr>
        <w:t>格式</w:t>
      </w:r>
      <w:r>
        <w:rPr>
          <w:rFonts w:ascii="Times New Roman" w:hAnsi="宋体" w:eastAsia="宋体" w:cs="Times New Roman"/>
          <w:b w:val="0"/>
          <w:bCs/>
        </w:rPr>
        <w:t>1.</w:t>
      </w:r>
      <w:r>
        <w:rPr>
          <w:rFonts w:ascii="宋体" w:hAnsi="宋体" w:eastAsia="宋体" w:cs="Times New Roman"/>
          <w:b w:val="0"/>
          <w:bCs/>
        </w:rPr>
        <w:t>投标函格式</w:t>
      </w:r>
    </w:p>
    <w:p>
      <w:pPr>
        <w:spacing w:line="360" w:lineRule="auto"/>
        <w:jc w:val="center"/>
        <w:rPr>
          <w:rFonts w:ascii="Calibri" w:hAnsi="Calibri" w:eastAsia="宋体" w:cs="Calibri"/>
          <w:sz w:val="24"/>
        </w:rPr>
      </w:pPr>
      <w:r>
        <w:rPr>
          <w:rFonts w:ascii="宋体" w:hAnsi="宋体"/>
          <w:sz w:val="24"/>
        </w:rPr>
        <w:t>投标函</w:t>
      </w:r>
    </w:p>
    <w:p>
      <w:pPr>
        <w:spacing w:line="360" w:lineRule="auto"/>
        <w:rPr>
          <w:sz w:val="24"/>
        </w:rPr>
      </w:pPr>
      <w:r>
        <w:rPr>
          <w:rFonts w:ascii="宋体" w:hAnsi="宋体"/>
          <w:sz w:val="24"/>
        </w:rPr>
        <w:t>致：（</w:t>
      </w:r>
      <w:r>
        <w:rPr>
          <w:rFonts w:ascii="宋体" w:hAnsi="宋体"/>
          <w:sz w:val="24"/>
          <w:u w:val="single"/>
        </w:rPr>
        <w:t>招标</w:t>
      </w:r>
      <w:r>
        <w:rPr>
          <w:rFonts w:hint="eastAsia" w:ascii="宋体" w:hAnsi="宋体"/>
          <w:sz w:val="24"/>
          <w:u w:val="single"/>
        </w:rPr>
        <w:t>人</w:t>
      </w:r>
      <w:r>
        <w:rPr>
          <w:rFonts w:ascii="宋体" w:hAnsi="宋体"/>
          <w:sz w:val="24"/>
        </w:rPr>
        <w:t>）</w:t>
      </w:r>
    </w:p>
    <w:p>
      <w:pPr>
        <w:spacing w:line="360" w:lineRule="auto"/>
        <w:rPr>
          <w:sz w:val="24"/>
        </w:rPr>
      </w:pPr>
      <w:r>
        <w:rPr>
          <w:rFonts w:ascii="宋体" w:hAnsi="宋体"/>
          <w:sz w:val="24"/>
        </w:rPr>
        <w:t>根据贵方为（</w:t>
      </w:r>
      <w:r>
        <w:rPr>
          <w:rFonts w:ascii="宋体" w:hAnsi="宋体"/>
          <w:sz w:val="24"/>
          <w:u w:val="single"/>
        </w:rPr>
        <w:t>项目名称</w:t>
      </w:r>
      <w:r>
        <w:rPr>
          <w:rFonts w:ascii="宋体" w:hAnsi="宋体"/>
          <w:sz w:val="24"/>
        </w:rPr>
        <w:t>）项目的投标邀请</w:t>
      </w:r>
      <w:r>
        <w:rPr>
          <w:rFonts w:hint="eastAsia" w:ascii="宋体" w:hAnsi="宋体"/>
          <w:sz w:val="24"/>
        </w:rPr>
        <w:t>书</w:t>
      </w:r>
      <w:r>
        <w:rPr>
          <w:rFonts w:ascii="宋体" w:hAnsi="宋体"/>
          <w:sz w:val="24"/>
        </w:rPr>
        <w:t>（</w:t>
      </w:r>
      <w:r>
        <w:rPr>
          <w:rFonts w:ascii="宋体" w:hAnsi="宋体"/>
          <w:sz w:val="24"/>
          <w:u w:val="single"/>
        </w:rPr>
        <w:t>招标编号</w:t>
      </w:r>
      <w:r>
        <w:rPr>
          <w:rFonts w:ascii="宋体" w:hAnsi="宋体"/>
          <w:sz w:val="24"/>
        </w:rPr>
        <w:t>），授权代表（</w:t>
      </w:r>
      <w:r>
        <w:rPr>
          <w:rFonts w:ascii="宋体" w:hAnsi="宋体"/>
          <w:sz w:val="24"/>
          <w:u w:val="single"/>
        </w:rPr>
        <w:t>姓名、职务</w:t>
      </w:r>
      <w:r>
        <w:rPr>
          <w:rFonts w:ascii="宋体" w:hAnsi="宋体"/>
          <w:sz w:val="24"/>
        </w:rPr>
        <w:t>）经正式授权并代表投标人（</w:t>
      </w:r>
      <w:r>
        <w:rPr>
          <w:rFonts w:ascii="宋体" w:hAnsi="宋体"/>
          <w:sz w:val="24"/>
          <w:u w:val="single"/>
        </w:rPr>
        <w:t>投标人名称、地址</w:t>
      </w:r>
      <w:r>
        <w:rPr>
          <w:rFonts w:ascii="宋体" w:hAnsi="宋体"/>
          <w:sz w:val="24"/>
        </w:rPr>
        <w:t>）提交下述文件正本一份及副本</w:t>
      </w:r>
      <w:r>
        <w:rPr>
          <w:rFonts w:hint="eastAsia" w:ascii="宋体" w:hAnsi="宋体"/>
          <w:sz w:val="24"/>
          <w:u w:val="single"/>
        </w:rPr>
        <w:t>四</w:t>
      </w:r>
      <w:r>
        <w:rPr>
          <w:rFonts w:ascii="宋体" w:hAnsi="宋体"/>
          <w:sz w:val="24"/>
        </w:rPr>
        <w:t>份。</w:t>
      </w:r>
    </w:p>
    <w:p>
      <w:pPr>
        <w:numPr>
          <w:ilvl w:val="0"/>
          <w:numId w:val="324"/>
        </w:numPr>
        <w:spacing w:line="360" w:lineRule="auto"/>
        <w:ind w:left="851" w:hanging="369"/>
        <w:rPr>
          <w:sz w:val="24"/>
        </w:rPr>
      </w:pPr>
      <w:r>
        <w:rPr>
          <w:rFonts w:hint="eastAsia" w:ascii="宋体" w:hAnsi="宋体"/>
          <w:sz w:val="24"/>
        </w:rPr>
        <w:t>法定代表人授权书</w:t>
      </w:r>
      <w:r>
        <w:rPr>
          <w:rFonts w:ascii="宋体" w:hAnsi="宋体"/>
          <w:sz w:val="24"/>
        </w:rPr>
        <w:t>和其他有关授权书</w:t>
      </w:r>
    </w:p>
    <w:p>
      <w:pPr>
        <w:numPr>
          <w:ilvl w:val="0"/>
          <w:numId w:val="324"/>
        </w:numPr>
        <w:spacing w:line="360" w:lineRule="auto"/>
        <w:ind w:left="851" w:hanging="369"/>
        <w:rPr>
          <w:sz w:val="24"/>
        </w:rPr>
      </w:pPr>
      <w:r>
        <w:rPr>
          <w:rFonts w:ascii="宋体" w:hAnsi="宋体"/>
          <w:sz w:val="24"/>
        </w:rPr>
        <w:t>开标一览表</w:t>
      </w:r>
    </w:p>
    <w:p>
      <w:pPr>
        <w:numPr>
          <w:ilvl w:val="0"/>
          <w:numId w:val="324"/>
        </w:numPr>
        <w:spacing w:line="360" w:lineRule="auto"/>
        <w:ind w:left="851" w:hanging="369"/>
        <w:rPr>
          <w:sz w:val="24"/>
        </w:rPr>
      </w:pPr>
      <w:r>
        <w:rPr>
          <w:rFonts w:ascii="宋体" w:hAnsi="宋体"/>
          <w:sz w:val="24"/>
        </w:rPr>
        <w:t>分项报价表</w:t>
      </w:r>
    </w:p>
    <w:p>
      <w:pPr>
        <w:numPr>
          <w:ilvl w:val="0"/>
          <w:numId w:val="324"/>
        </w:numPr>
        <w:spacing w:line="360" w:lineRule="auto"/>
        <w:ind w:left="851" w:hanging="369"/>
        <w:rPr>
          <w:sz w:val="24"/>
        </w:rPr>
      </w:pPr>
      <w:r>
        <w:rPr>
          <w:rFonts w:ascii="宋体" w:hAnsi="宋体"/>
          <w:sz w:val="24"/>
        </w:rPr>
        <w:t>投标保证金</w:t>
      </w:r>
    </w:p>
    <w:p>
      <w:pPr>
        <w:numPr>
          <w:ilvl w:val="0"/>
          <w:numId w:val="324"/>
        </w:numPr>
        <w:spacing w:line="360" w:lineRule="auto"/>
        <w:ind w:left="851" w:hanging="369"/>
        <w:rPr>
          <w:rFonts w:hAnsi="宋体"/>
          <w:sz w:val="24"/>
        </w:rPr>
      </w:pPr>
      <w:r>
        <w:rPr>
          <w:rFonts w:hint="eastAsia" w:ascii="宋体" w:hAnsi="宋体"/>
          <w:sz w:val="24"/>
        </w:rPr>
        <w:t>投标文件应答索引表</w:t>
      </w:r>
    </w:p>
    <w:p>
      <w:pPr>
        <w:numPr>
          <w:ilvl w:val="0"/>
          <w:numId w:val="324"/>
        </w:numPr>
        <w:spacing w:line="360" w:lineRule="auto"/>
        <w:ind w:left="851" w:hanging="369"/>
        <w:rPr>
          <w:rFonts w:hAnsi="宋体"/>
          <w:sz w:val="24"/>
        </w:rPr>
      </w:pPr>
      <w:r>
        <w:rPr>
          <w:rFonts w:ascii="宋体" w:hAnsi="宋体"/>
          <w:sz w:val="24"/>
        </w:rPr>
        <w:t>商务偏离表</w:t>
      </w:r>
    </w:p>
    <w:p>
      <w:pPr>
        <w:numPr>
          <w:ilvl w:val="0"/>
          <w:numId w:val="324"/>
        </w:numPr>
        <w:spacing w:line="360" w:lineRule="auto"/>
        <w:ind w:left="851" w:hanging="369"/>
        <w:rPr>
          <w:rFonts w:hAnsi="宋体"/>
          <w:sz w:val="24"/>
        </w:rPr>
      </w:pPr>
      <w:r>
        <w:rPr>
          <w:rFonts w:hint="eastAsia" w:ascii="宋体" w:hAnsi="宋体"/>
          <w:sz w:val="24"/>
        </w:rPr>
        <w:t>技术偏离表</w:t>
      </w:r>
    </w:p>
    <w:p>
      <w:pPr>
        <w:numPr>
          <w:ilvl w:val="0"/>
          <w:numId w:val="324"/>
        </w:numPr>
        <w:spacing w:line="360" w:lineRule="auto"/>
        <w:ind w:left="851" w:hanging="369"/>
        <w:rPr>
          <w:rFonts w:hAnsi="宋体"/>
          <w:sz w:val="24"/>
        </w:rPr>
      </w:pPr>
      <w:r>
        <w:rPr>
          <w:rFonts w:ascii="宋体" w:hAnsi="宋体"/>
          <w:sz w:val="24"/>
        </w:rPr>
        <w:t>资格证明文件</w:t>
      </w:r>
    </w:p>
    <w:p>
      <w:pPr>
        <w:numPr>
          <w:ilvl w:val="0"/>
          <w:numId w:val="324"/>
        </w:numPr>
        <w:spacing w:line="360" w:lineRule="auto"/>
        <w:ind w:left="851" w:hanging="369"/>
        <w:rPr>
          <w:rFonts w:hAnsi="Calibri"/>
          <w:sz w:val="24"/>
        </w:rPr>
      </w:pPr>
      <w:r>
        <w:rPr>
          <w:rFonts w:hint="eastAsia" w:ascii="宋体" w:hAnsi="宋体"/>
          <w:sz w:val="24"/>
        </w:rPr>
        <w:t>其他证明文件</w:t>
      </w:r>
    </w:p>
    <w:p>
      <w:pPr>
        <w:spacing w:line="360" w:lineRule="auto"/>
        <w:rPr>
          <w:sz w:val="24"/>
        </w:rPr>
      </w:pPr>
      <w:r>
        <w:rPr>
          <w:rFonts w:ascii="宋体" w:hAnsi="宋体"/>
          <w:sz w:val="24"/>
        </w:rPr>
        <w:t>据此函，授权代表宣布同意如下：</w:t>
      </w:r>
    </w:p>
    <w:p>
      <w:pPr>
        <w:numPr>
          <w:ilvl w:val="0"/>
          <w:numId w:val="325"/>
        </w:numPr>
        <w:spacing w:line="360" w:lineRule="auto"/>
        <w:ind w:left="907" w:hanging="425"/>
        <w:rPr>
          <w:rFonts w:hAnsi="宋体"/>
          <w:sz w:val="24"/>
        </w:rPr>
      </w:pPr>
      <w:r>
        <w:rPr>
          <w:rFonts w:hint="eastAsia" w:ascii="宋体" w:hAnsi="宋体"/>
          <w:sz w:val="24"/>
        </w:rPr>
        <w:t>我公司已认真阅读招标文件，并完全理解招标文件的内容。</w:t>
      </w:r>
    </w:p>
    <w:p>
      <w:pPr>
        <w:numPr>
          <w:ilvl w:val="0"/>
          <w:numId w:val="325"/>
        </w:numPr>
        <w:spacing w:line="360" w:lineRule="auto"/>
        <w:ind w:left="907" w:hanging="425"/>
        <w:rPr>
          <w:rFonts w:hAnsi="宋体"/>
          <w:sz w:val="24"/>
        </w:rPr>
      </w:pPr>
      <w:r>
        <w:rPr>
          <w:rFonts w:hint="eastAsia" w:ascii="宋体" w:hAnsi="宋体"/>
          <w:sz w:val="24"/>
        </w:rPr>
        <w:t>我司投标文件</w:t>
      </w:r>
      <w:r>
        <w:rPr>
          <w:rFonts w:ascii="宋体" w:hAnsi="宋体"/>
          <w:sz w:val="24"/>
        </w:rPr>
        <w:t>所附</w:t>
      </w:r>
      <w:r>
        <w:rPr>
          <w:rFonts w:hint="eastAsia" w:ascii="宋体" w:hAnsi="宋体"/>
          <w:sz w:val="24"/>
        </w:rPr>
        <w:t>报价为我司的最终报价；</w:t>
      </w:r>
    </w:p>
    <w:p>
      <w:pPr>
        <w:numPr>
          <w:ilvl w:val="0"/>
          <w:numId w:val="325"/>
        </w:numPr>
        <w:spacing w:line="360" w:lineRule="auto"/>
        <w:ind w:left="907" w:hanging="425"/>
        <w:rPr>
          <w:rFonts w:hAnsi="Calibri"/>
          <w:sz w:val="24"/>
        </w:rPr>
      </w:pPr>
      <w:r>
        <w:rPr>
          <w:rFonts w:hint="eastAsia" w:ascii="宋体" w:hAnsi="宋体"/>
          <w:sz w:val="24"/>
        </w:rPr>
        <w:t>我公司</w:t>
      </w:r>
      <w:r>
        <w:rPr>
          <w:rFonts w:ascii="宋体" w:hAnsi="宋体"/>
          <w:sz w:val="24"/>
        </w:rPr>
        <w:t>将按招标文件的规定履行合同责任和义务。</w:t>
      </w:r>
    </w:p>
    <w:p>
      <w:pPr>
        <w:numPr>
          <w:ilvl w:val="0"/>
          <w:numId w:val="325"/>
        </w:numPr>
        <w:spacing w:line="360" w:lineRule="auto"/>
        <w:ind w:left="907" w:hanging="425"/>
        <w:rPr>
          <w:sz w:val="24"/>
        </w:rPr>
      </w:pPr>
      <w:r>
        <w:rPr>
          <w:rFonts w:hint="eastAsia" w:ascii="宋体" w:hAnsi="宋体"/>
          <w:sz w:val="24"/>
        </w:rPr>
        <w:t>我公司</w:t>
      </w:r>
      <w:r>
        <w:rPr>
          <w:rFonts w:ascii="宋体" w:hAnsi="宋体"/>
          <w:sz w:val="24"/>
        </w:rPr>
        <w:t>已详细审查全部招标文件，包括第（</w:t>
      </w:r>
      <w:r>
        <w:rPr>
          <w:rFonts w:ascii="宋体" w:hAnsi="宋体"/>
          <w:sz w:val="24"/>
          <w:u w:val="single"/>
        </w:rPr>
        <w:t>编号、补遗书</w:t>
      </w:r>
      <w:r>
        <w:rPr>
          <w:rFonts w:ascii="宋体" w:hAnsi="宋体"/>
          <w:sz w:val="24"/>
        </w:rPr>
        <w:t>）（</w:t>
      </w:r>
      <w:r>
        <w:rPr>
          <w:rFonts w:ascii="宋体" w:hAnsi="宋体"/>
          <w:sz w:val="24"/>
          <w:u w:val="single"/>
        </w:rPr>
        <w:t>如果有的话</w:t>
      </w:r>
      <w:r>
        <w:rPr>
          <w:rFonts w:ascii="宋体" w:hAnsi="宋体"/>
          <w:sz w:val="24"/>
        </w:rPr>
        <w:t>）。</w:t>
      </w:r>
    </w:p>
    <w:p>
      <w:pPr>
        <w:numPr>
          <w:ilvl w:val="0"/>
          <w:numId w:val="325"/>
        </w:numPr>
        <w:spacing w:line="360" w:lineRule="auto"/>
        <w:ind w:left="907" w:hanging="425"/>
        <w:rPr>
          <w:sz w:val="24"/>
        </w:rPr>
      </w:pPr>
      <w:r>
        <w:rPr>
          <w:rFonts w:ascii="宋体" w:hAnsi="宋体"/>
          <w:sz w:val="24"/>
        </w:rPr>
        <w:t>本投标有效期为自</w:t>
      </w:r>
      <w:r>
        <w:rPr>
          <w:rFonts w:hint="eastAsia" w:ascii="宋体" w:hAnsi="宋体"/>
          <w:sz w:val="24"/>
        </w:rPr>
        <w:t>投标文件递交截止之日</w:t>
      </w:r>
      <w:r>
        <w:rPr>
          <w:rFonts w:ascii="宋体" w:hAnsi="宋体"/>
          <w:sz w:val="24"/>
        </w:rPr>
        <w:t>起</w:t>
      </w:r>
      <w:r>
        <w:rPr>
          <w:rFonts w:hint="eastAsia" w:ascii="宋体" w:hAnsi="宋体"/>
          <w:sz w:val="24"/>
          <w:u w:val="single"/>
        </w:rPr>
        <w:t>180</w:t>
      </w:r>
      <w:r>
        <w:rPr>
          <w:rFonts w:ascii="宋体" w:hAnsi="宋体"/>
          <w:sz w:val="24"/>
        </w:rPr>
        <w:t>个日历日</w:t>
      </w:r>
      <w:r>
        <w:rPr>
          <w:rFonts w:hint="eastAsia" w:ascii="宋体" w:hAnsi="宋体"/>
          <w:sz w:val="24"/>
        </w:rPr>
        <w:t>。</w:t>
      </w:r>
      <w:r>
        <w:rPr>
          <w:rFonts w:ascii="宋体" w:hAnsi="宋体"/>
          <w:sz w:val="24"/>
        </w:rPr>
        <w:t>在规定的</w:t>
      </w:r>
      <w:r>
        <w:rPr>
          <w:rFonts w:hint="eastAsia" w:ascii="宋体" w:hAnsi="宋体"/>
          <w:sz w:val="24"/>
        </w:rPr>
        <w:t>投标截止</w:t>
      </w:r>
      <w:r>
        <w:rPr>
          <w:rFonts w:ascii="宋体" w:hAnsi="宋体"/>
          <w:sz w:val="24"/>
        </w:rPr>
        <w:t>时间后，如果</w:t>
      </w:r>
      <w:r>
        <w:rPr>
          <w:rFonts w:hint="eastAsia" w:ascii="宋体" w:hAnsi="宋体"/>
          <w:sz w:val="24"/>
        </w:rPr>
        <w:t>我公司</w:t>
      </w:r>
      <w:r>
        <w:rPr>
          <w:rFonts w:ascii="宋体" w:hAnsi="宋体"/>
          <w:sz w:val="24"/>
        </w:rPr>
        <w:t>在</w:t>
      </w:r>
      <w:r>
        <w:rPr>
          <w:rFonts w:hint="eastAsia" w:ascii="宋体" w:hAnsi="宋体"/>
          <w:sz w:val="24"/>
        </w:rPr>
        <w:t>投标</w:t>
      </w:r>
      <w:r>
        <w:rPr>
          <w:rFonts w:ascii="宋体" w:hAnsi="宋体"/>
          <w:sz w:val="24"/>
        </w:rPr>
        <w:t>有效期内撤回投标，</w:t>
      </w:r>
      <w:r>
        <w:rPr>
          <w:rFonts w:hint="eastAsia" w:ascii="宋体" w:hAnsi="宋体"/>
          <w:sz w:val="24"/>
        </w:rPr>
        <w:t>我公司</w:t>
      </w:r>
      <w:r>
        <w:rPr>
          <w:rFonts w:ascii="宋体" w:hAnsi="宋体"/>
          <w:sz w:val="24"/>
        </w:rPr>
        <w:t>投标保证金将被</w:t>
      </w:r>
      <w:r>
        <w:rPr>
          <w:rFonts w:hint="eastAsia" w:ascii="宋体" w:hAnsi="宋体"/>
          <w:sz w:val="24"/>
        </w:rPr>
        <w:t>招标人</w:t>
      </w:r>
      <w:r>
        <w:rPr>
          <w:rFonts w:ascii="宋体" w:hAnsi="宋体"/>
          <w:sz w:val="24"/>
        </w:rPr>
        <w:t>没收。</w:t>
      </w:r>
    </w:p>
    <w:p>
      <w:pPr>
        <w:numPr>
          <w:ilvl w:val="0"/>
          <w:numId w:val="325"/>
        </w:numPr>
        <w:spacing w:line="360" w:lineRule="auto"/>
        <w:ind w:left="907" w:hanging="425"/>
        <w:rPr>
          <w:sz w:val="24"/>
        </w:rPr>
      </w:pPr>
      <w:r>
        <w:rPr>
          <w:rFonts w:hint="eastAsia" w:ascii="宋体" w:hAnsi="宋体"/>
          <w:sz w:val="24"/>
        </w:rPr>
        <w:t>我公司</w:t>
      </w:r>
      <w:r>
        <w:rPr>
          <w:rFonts w:ascii="宋体" w:hAnsi="宋体"/>
          <w:sz w:val="24"/>
        </w:rPr>
        <w:t>同意提供按照</w:t>
      </w:r>
      <w:r>
        <w:rPr>
          <w:rFonts w:hint="eastAsia" w:ascii="宋体" w:hAnsi="宋体"/>
          <w:sz w:val="24"/>
        </w:rPr>
        <w:t>招标人</w:t>
      </w:r>
      <w:r>
        <w:rPr>
          <w:rFonts w:ascii="宋体" w:hAnsi="宋体"/>
          <w:sz w:val="24"/>
        </w:rPr>
        <w:t>可能要求的与其投标有关的一切数据或资料，完全理解贵方不一定接受最低价的投标或收到的任何投标。</w:t>
      </w:r>
    </w:p>
    <w:p>
      <w:pPr>
        <w:numPr>
          <w:ilvl w:val="0"/>
          <w:numId w:val="325"/>
        </w:numPr>
        <w:spacing w:line="360" w:lineRule="auto"/>
        <w:ind w:left="907" w:hanging="425"/>
        <w:rPr>
          <w:sz w:val="24"/>
        </w:rPr>
      </w:pPr>
      <w:r>
        <w:rPr>
          <w:rFonts w:hint="eastAsia" w:ascii="宋体" w:hAnsi="宋体"/>
          <w:sz w:val="24"/>
        </w:rPr>
        <w:t>我公司知悉本项目为企业采购，非政府采购与招标。招标人有权在签署采购合同前的任何时间终止采购。</w:t>
      </w:r>
    </w:p>
    <w:p>
      <w:pPr>
        <w:numPr>
          <w:ilvl w:val="0"/>
          <w:numId w:val="325"/>
        </w:numPr>
        <w:spacing w:line="360" w:lineRule="auto"/>
        <w:ind w:left="907" w:hanging="425"/>
        <w:rPr>
          <w:sz w:val="24"/>
        </w:rPr>
      </w:pPr>
      <w:r>
        <w:rPr>
          <w:rFonts w:hint="eastAsia" w:ascii="宋体" w:hAnsi="宋体"/>
          <w:sz w:val="24"/>
        </w:rPr>
        <w:t>我公司保证严格保密招标文件内容，不泄漏任何信息。</w:t>
      </w:r>
    </w:p>
    <w:p>
      <w:pPr>
        <w:numPr>
          <w:ilvl w:val="0"/>
          <w:numId w:val="325"/>
        </w:numPr>
        <w:spacing w:line="360" w:lineRule="auto"/>
        <w:ind w:left="907" w:hanging="425"/>
        <w:rPr>
          <w:sz w:val="24"/>
        </w:rPr>
      </w:pPr>
      <w:r>
        <w:rPr>
          <w:rFonts w:hint="eastAsia" w:ascii="宋体" w:hAnsi="宋体"/>
          <w:sz w:val="24"/>
        </w:rPr>
        <w:t>未经招标人书面同意，我公司承诺不在市场宣传中使用与招标人的合作案例，不将招标人作为业务合作伙伴进行宣传，不使用招标人的商标、标志语、徽标等。</w:t>
      </w:r>
    </w:p>
    <w:p>
      <w:pPr>
        <w:numPr>
          <w:ilvl w:val="0"/>
          <w:numId w:val="325"/>
        </w:numPr>
        <w:spacing w:line="360" w:lineRule="auto"/>
        <w:ind w:left="907" w:hanging="425"/>
        <w:rPr>
          <w:sz w:val="24"/>
        </w:rPr>
      </w:pPr>
      <w:r>
        <w:rPr>
          <w:rFonts w:hint="eastAsia" w:ascii="宋体" w:hAnsi="宋体"/>
          <w:sz w:val="24"/>
        </w:rPr>
        <w:t>我公司保证所递交的投标文件、资格证明、产品资料、业绩证明等招标文件要求提交的文件内容真实性、有效性，并愿意承担因虚构数据、虚假资料及伪造资格证明、假冒伪劣产品、非正规进货渠道等有失诚信行为所导致的一切不良后果。招标人对我公司提交的相关资料可随时进行现场查验，我公司将积极配合。</w:t>
      </w:r>
    </w:p>
    <w:p>
      <w:pPr>
        <w:numPr>
          <w:ilvl w:val="0"/>
          <w:numId w:val="325"/>
        </w:numPr>
        <w:spacing w:line="360" w:lineRule="auto"/>
        <w:ind w:left="907" w:hanging="425"/>
        <w:rPr>
          <w:sz w:val="24"/>
        </w:rPr>
      </w:pPr>
      <w:r>
        <w:rPr>
          <w:rFonts w:hint="eastAsia" w:ascii="宋体" w:hAnsi="宋体"/>
          <w:sz w:val="24"/>
        </w:rPr>
        <w:t>如我公司入选，我公司在投标文件中的所有承诺和应答均被视为合同一部分，</w:t>
      </w:r>
      <w:r>
        <w:rPr>
          <w:rFonts w:ascii="宋体" w:hAnsi="宋体"/>
          <w:sz w:val="24"/>
        </w:rPr>
        <w:t>无论该承诺是否以合同条款或者附件的形式列入合同中。</w:t>
      </w:r>
    </w:p>
    <w:p>
      <w:pPr>
        <w:numPr>
          <w:ilvl w:val="0"/>
          <w:numId w:val="325"/>
        </w:numPr>
        <w:spacing w:line="360" w:lineRule="auto"/>
        <w:ind w:left="907" w:hanging="425"/>
        <w:rPr>
          <w:sz w:val="24"/>
        </w:rPr>
      </w:pPr>
      <w:r>
        <w:rPr>
          <w:rFonts w:hint="eastAsia" w:ascii="宋体" w:hAnsi="宋体"/>
          <w:sz w:val="24"/>
        </w:rPr>
        <w:t>无论我公司最终是否中标，我公司参加本次投标所有费用均由我公司自行承担。</w:t>
      </w:r>
    </w:p>
    <w:p>
      <w:pPr>
        <w:numPr>
          <w:ilvl w:val="0"/>
          <w:numId w:val="325"/>
        </w:numPr>
        <w:spacing w:line="360" w:lineRule="auto"/>
        <w:ind w:left="907" w:hanging="425"/>
        <w:rPr>
          <w:sz w:val="24"/>
        </w:rPr>
      </w:pPr>
      <w:r>
        <w:rPr>
          <w:rFonts w:hint="eastAsia" w:ascii="宋体" w:hAnsi="宋体"/>
          <w:sz w:val="24"/>
        </w:rPr>
        <w:t>与本投标有关的一切正式往来信函请寄：</w:t>
      </w:r>
    </w:p>
    <w:p>
      <w:pPr>
        <w:pStyle w:val="46"/>
        <w:spacing w:line="360" w:lineRule="auto"/>
        <w:ind w:left="907" w:firstLine="0" w:firstLineChars="0"/>
        <w:rPr>
          <w:rFonts w:hAnsi="宋体"/>
          <w:sz w:val="24"/>
        </w:rPr>
      </w:pPr>
      <w:r>
        <w:rPr>
          <w:rFonts w:ascii="宋体" w:hAnsi="宋体"/>
          <w:sz w:val="24"/>
        </w:rPr>
        <w:t>地址</w:t>
      </w:r>
      <w:r>
        <w:rPr>
          <w:rFonts w:hint="eastAsia" w:ascii="宋体" w:hAnsi="宋体"/>
          <w:sz w:val="24"/>
        </w:rPr>
        <w:t>：</w:t>
      </w:r>
    </w:p>
    <w:p>
      <w:pPr>
        <w:pStyle w:val="46"/>
        <w:spacing w:line="360" w:lineRule="auto"/>
        <w:ind w:left="907" w:firstLine="0" w:firstLineChars="0"/>
        <w:rPr>
          <w:rFonts w:hAnsi="宋体"/>
          <w:sz w:val="24"/>
        </w:rPr>
      </w:pPr>
      <w:r>
        <w:rPr>
          <w:rFonts w:ascii="宋体" w:hAnsi="宋体"/>
          <w:sz w:val="24"/>
        </w:rPr>
        <w:t>传真</w:t>
      </w:r>
      <w:r>
        <w:rPr>
          <w:rFonts w:hint="eastAsia" w:ascii="宋体" w:hAnsi="宋体"/>
          <w:sz w:val="24"/>
        </w:rPr>
        <w:t>：</w:t>
      </w:r>
    </w:p>
    <w:p>
      <w:pPr>
        <w:pStyle w:val="46"/>
        <w:spacing w:line="360" w:lineRule="auto"/>
        <w:ind w:left="907" w:firstLine="0" w:firstLineChars="0"/>
        <w:rPr>
          <w:rFonts w:hAnsi="宋体"/>
          <w:sz w:val="24"/>
        </w:rPr>
      </w:pPr>
      <w:r>
        <w:rPr>
          <w:rFonts w:ascii="宋体" w:hAnsi="宋体"/>
          <w:sz w:val="24"/>
        </w:rPr>
        <w:t>电话</w:t>
      </w:r>
      <w:r>
        <w:rPr>
          <w:rFonts w:hint="eastAsia" w:ascii="宋体" w:hAnsi="宋体"/>
          <w:sz w:val="24"/>
        </w:rPr>
        <w:t>：</w:t>
      </w:r>
    </w:p>
    <w:p>
      <w:pPr>
        <w:pStyle w:val="46"/>
        <w:spacing w:line="360" w:lineRule="auto"/>
        <w:ind w:left="907" w:firstLine="0" w:firstLineChars="0"/>
        <w:rPr>
          <w:rFonts w:hAnsi="宋体"/>
          <w:sz w:val="24"/>
        </w:rPr>
      </w:pPr>
      <w:r>
        <w:rPr>
          <w:rFonts w:ascii="宋体" w:hAnsi="宋体"/>
          <w:sz w:val="24"/>
        </w:rPr>
        <w:t>电子</w:t>
      </w:r>
      <w:r>
        <w:rPr>
          <w:rFonts w:hint="eastAsia" w:ascii="宋体" w:hAnsi="宋体"/>
          <w:sz w:val="24"/>
        </w:rPr>
        <w:t>邮件：</w:t>
      </w:r>
    </w:p>
    <w:p>
      <w:pPr>
        <w:pStyle w:val="46"/>
        <w:spacing w:line="360" w:lineRule="auto"/>
        <w:ind w:left="907" w:firstLine="0" w:firstLineChars="0"/>
        <w:rPr>
          <w:rFonts w:hAnsi="宋体"/>
          <w:sz w:val="24"/>
        </w:rPr>
      </w:pPr>
      <w:r>
        <w:rPr>
          <w:rFonts w:ascii="宋体" w:hAnsi="宋体"/>
          <w:sz w:val="24"/>
        </w:rPr>
        <w:t>投标人授权代表姓名、职务</w:t>
      </w:r>
      <w:r>
        <w:rPr>
          <w:rFonts w:hint="eastAsia" w:ascii="宋体" w:hAnsi="宋体"/>
          <w:sz w:val="24"/>
        </w:rPr>
        <w:t>：</w:t>
      </w:r>
    </w:p>
    <w:p>
      <w:pPr>
        <w:pStyle w:val="46"/>
        <w:spacing w:line="360" w:lineRule="auto"/>
        <w:ind w:left="907" w:firstLine="0" w:firstLineChars="0"/>
        <w:rPr>
          <w:rFonts w:hAnsi="宋体"/>
          <w:sz w:val="24"/>
        </w:rPr>
      </w:pPr>
      <w:r>
        <w:rPr>
          <w:rFonts w:ascii="宋体" w:hAnsi="宋体"/>
          <w:sz w:val="24"/>
        </w:rPr>
        <w:t>投标人授权代表</w:t>
      </w:r>
      <w:r>
        <w:rPr>
          <w:rFonts w:hint="eastAsia" w:ascii="宋体" w:hAnsi="宋体"/>
          <w:sz w:val="24"/>
        </w:rPr>
        <w:t>：</w:t>
      </w:r>
      <w:r>
        <w:rPr>
          <w:rFonts w:ascii="宋体" w:hAnsi="宋体"/>
          <w:sz w:val="24"/>
        </w:rPr>
        <w:t>签字</w:t>
      </w:r>
    </w:p>
    <w:p>
      <w:pPr>
        <w:pStyle w:val="46"/>
        <w:spacing w:line="360" w:lineRule="auto"/>
        <w:ind w:left="907" w:firstLine="0" w:firstLineChars="0"/>
        <w:rPr>
          <w:rFonts w:hAnsi="宋体"/>
          <w:sz w:val="24"/>
        </w:rPr>
      </w:pPr>
      <w:r>
        <w:rPr>
          <w:rFonts w:ascii="宋体" w:hAnsi="宋体"/>
          <w:sz w:val="24"/>
        </w:rPr>
        <w:t>日期</w:t>
      </w:r>
      <w:r>
        <w:rPr>
          <w:rFonts w:hint="eastAsia" w:ascii="宋体" w:hAnsi="宋体"/>
          <w:sz w:val="24"/>
        </w:rPr>
        <w:t>：</w:t>
      </w:r>
    </w:p>
    <w:p>
      <w:pPr>
        <w:pStyle w:val="46"/>
        <w:spacing w:line="360" w:lineRule="auto"/>
        <w:ind w:left="907" w:firstLine="0" w:firstLineChars="0"/>
        <w:rPr>
          <w:rFonts w:hAnsi="宋体"/>
          <w:sz w:val="24"/>
        </w:rPr>
      </w:pPr>
      <w:r>
        <w:rPr>
          <w:rFonts w:ascii="宋体" w:hAnsi="宋体"/>
          <w:sz w:val="24"/>
        </w:rPr>
        <w:t>投标人名称</w:t>
      </w:r>
      <w:r>
        <w:rPr>
          <w:rFonts w:hint="eastAsia" w:ascii="宋体" w:hAnsi="宋体"/>
          <w:sz w:val="24"/>
        </w:rPr>
        <w:t>：</w:t>
      </w:r>
    </w:p>
    <w:p>
      <w:pPr>
        <w:pStyle w:val="46"/>
        <w:spacing w:line="360" w:lineRule="auto"/>
        <w:ind w:left="907" w:firstLine="0" w:firstLineChars="0"/>
        <w:rPr>
          <w:rFonts w:hAnsi="宋体"/>
          <w:sz w:val="24"/>
        </w:rPr>
      </w:pPr>
      <w:r>
        <w:rPr>
          <w:rFonts w:hint="eastAsia" w:ascii="宋体" w:hAnsi="宋体"/>
          <w:sz w:val="24"/>
        </w:rPr>
        <w:t>（加盖</w:t>
      </w:r>
      <w:r>
        <w:rPr>
          <w:rFonts w:ascii="宋体" w:hAnsi="宋体"/>
          <w:sz w:val="24"/>
        </w:rPr>
        <w:t>公章</w:t>
      </w:r>
      <w:r>
        <w:rPr>
          <w:rFonts w:hint="eastAsia" w:ascii="宋体" w:hAnsi="宋体"/>
          <w:sz w:val="24"/>
        </w:rPr>
        <w:t>）</w:t>
      </w:r>
    </w:p>
    <w:p>
      <w:pPr>
        <w:spacing w:line="360" w:lineRule="auto"/>
        <w:rPr>
          <w:rFonts w:hAnsi="Calibri"/>
          <w:sz w:val="24"/>
          <w:u w:val="single"/>
        </w:rPr>
      </w:pPr>
      <w:r>
        <w:rPr>
          <w:sz w:val="24"/>
          <w:u w:val="single"/>
        </w:rPr>
        <w:t xml:space="preserve"> </w:t>
      </w:r>
    </w:p>
    <w:p>
      <w:pPr>
        <w:spacing w:line="360" w:lineRule="auto"/>
        <w:rPr>
          <w:sz w:val="24"/>
          <w:u w:val="single"/>
        </w:rPr>
      </w:pPr>
      <w:r>
        <w:rPr>
          <w:sz w:val="24"/>
          <w:u w:val="single"/>
        </w:rPr>
        <w:t xml:space="preserve"> </w:t>
      </w:r>
    </w:p>
    <w:p>
      <w:pPr>
        <w:pStyle w:val="5"/>
        <w:spacing w:before="156" w:after="156"/>
        <w:jc w:val="center"/>
        <w:rPr>
          <w:rFonts w:ascii="Times New Roman" w:hAnsi="宋体" w:eastAsia="宋体" w:cs="Times New Roman"/>
          <w:bCs/>
          <w:sz w:val="24"/>
        </w:rPr>
      </w:pPr>
      <w:r>
        <w:rPr>
          <w:rFonts w:ascii="Times New Roman" w:hAnsi="宋体" w:eastAsia="宋体" w:cs="Times New Roman"/>
          <w:b w:val="0"/>
          <w:bCs/>
        </w:rPr>
        <w:br w:type="page"/>
      </w:r>
      <w:r>
        <w:rPr>
          <w:rFonts w:hint="eastAsia" w:ascii="宋体" w:hAnsi="宋体" w:eastAsia="宋体"/>
          <w:b w:val="0"/>
          <w:bCs/>
        </w:rPr>
        <w:t>格式</w:t>
      </w:r>
      <w:r>
        <w:rPr>
          <w:rFonts w:ascii="Times New Roman" w:hAnsi="宋体" w:eastAsia="宋体" w:cs="Times New Roman"/>
          <w:b w:val="0"/>
          <w:bCs/>
        </w:rPr>
        <w:t>2.</w:t>
      </w:r>
      <w:r>
        <w:rPr>
          <w:rFonts w:ascii="宋体" w:hAnsi="宋体" w:eastAsia="宋体" w:cs="Times New Roman"/>
          <w:b w:val="0"/>
          <w:bCs/>
        </w:rPr>
        <w:t>投标法定代表人授权书格式</w:t>
      </w:r>
    </w:p>
    <w:p>
      <w:pPr>
        <w:adjustRightInd w:val="0"/>
        <w:snapToGrid w:val="0"/>
        <w:spacing w:line="360" w:lineRule="auto"/>
        <w:jc w:val="center"/>
        <w:rPr>
          <w:rFonts w:ascii="Calibri" w:hAnsi="Calibri" w:eastAsia="宋体" w:cs="Calibri"/>
          <w:b/>
          <w:bCs/>
          <w:sz w:val="24"/>
        </w:rPr>
      </w:pPr>
      <w:r>
        <w:rPr>
          <w:b/>
          <w:bCs/>
          <w:sz w:val="24"/>
        </w:rPr>
        <w:t xml:space="preserve"> </w:t>
      </w:r>
    </w:p>
    <w:p>
      <w:pPr>
        <w:adjustRightInd w:val="0"/>
        <w:snapToGrid w:val="0"/>
        <w:spacing w:line="360" w:lineRule="auto"/>
        <w:jc w:val="center"/>
        <w:rPr>
          <w:b/>
          <w:bCs/>
          <w:sz w:val="24"/>
        </w:rPr>
      </w:pPr>
      <w:r>
        <w:rPr>
          <w:b/>
          <w:bCs/>
          <w:sz w:val="24"/>
        </w:rPr>
        <w:t xml:space="preserve"> </w:t>
      </w:r>
    </w:p>
    <w:p>
      <w:pPr>
        <w:adjustRightInd w:val="0"/>
        <w:snapToGrid w:val="0"/>
        <w:spacing w:line="360" w:lineRule="auto"/>
        <w:jc w:val="center"/>
        <w:rPr>
          <w:b/>
          <w:bCs/>
          <w:sz w:val="24"/>
        </w:rPr>
      </w:pPr>
      <w:r>
        <w:rPr>
          <w:rFonts w:ascii="宋体" w:hAnsi="宋体"/>
          <w:b/>
          <w:bCs/>
          <w:sz w:val="24"/>
        </w:rPr>
        <w:t>投标法定代表人授权书</w:t>
      </w:r>
    </w:p>
    <w:p>
      <w:pPr>
        <w:adjustRightInd w:val="0"/>
        <w:snapToGrid w:val="0"/>
        <w:spacing w:line="360" w:lineRule="auto"/>
        <w:ind w:firstLine="570"/>
        <w:rPr>
          <w:sz w:val="24"/>
        </w:rPr>
      </w:pPr>
      <w:r>
        <w:rPr>
          <w:sz w:val="24"/>
        </w:rPr>
        <w:t xml:space="preserve"> </w:t>
      </w:r>
    </w:p>
    <w:p>
      <w:pPr>
        <w:adjustRightInd w:val="0"/>
        <w:snapToGrid w:val="0"/>
        <w:spacing w:line="360" w:lineRule="auto"/>
        <w:ind w:firstLine="570"/>
        <w:rPr>
          <w:sz w:val="24"/>
        </w:rPr>
      </w:pPr>
      <w:r>
        <w:rPr>
          <w:sz w:val="24"/>
        </w:rPr>
        <w:t xml:space="preserve"> </w:t>
      </w:r>
    </w:p>
    <w:p>
      <w:pPr>
        <w:spacing w:line="360" w:lineRule="auto"/>
        <w:rPr>
          <w:sz w:val="24"/>
        </w:rPr>
      </w:pPr>
      <w:r>
        <w:rPr>
          <w:sz w:val="24"/>
        </w:rPr>
        <w:t xml:space="preserve"> </w:t>
      </w:r>
    </w:p>
    <w:p>
      <w:pPr>
        <w:spacing w:line="360" w:lineRule="auto"/>
        <w:ind w:firstLine="480" w:firstLineChars="200"/>
        <w:rPr>
          <w:sz w:val="24"/>
        </w:rPr>
      </w:pPr>
      <w:r>
        <w:rPr>
          <w:rFonts w:ascii="宋体" w:hAnsi="宋体"/>
          <w:sz w:val="24"/>
        </w:rPr>
        <w:t>本授权书声明：注册于（</w:t>
      </w:r>
      <w:r>
        <w:rPr>
          <w:rFonts w:ascii="宋体" w:hAnsi="宋体"/>
          <w:sz w:val="24"/>
          <w:u w:val="single"/>
        </w:rPr>
        <w:t>国家或地区的名称</w:t>
      </w:r>
      <w:r>
        <w:rPr>
          <w:rFonts w:ascii="宋体" w:hAnsi="宋体"/>
          <w:sz w:val="24"/>
        </w:rPr>
        <w:t>）的（</w:t>
      </w:r>
      <w:r>
        <w:rPr>
          <w:rFonts w:ascii="宋体" w:hAnsi="宋体"/>
          <w:sz w:val="24"/>
          <w:u w:val="single"/>
        </w:rPr>
        <w:t>公司名称</w:t>
      </w:r>
      <w:r>
        <w:rPr>
          <w:rFonts w:ascii="宋体" w:hAnsi="宋体"/>
          <w:sz w:val="24"/>
        </w:rPr>
        <w:t>）的在下面签字的（</w:t>
      </w:r>
      <w:r>
        <w:rPr>
          <w:rFonts w:ascii="宋体" w:hAnsi="宋体"/>
          <w:sz w:val="24"/>
          <w:u w:val="single"/>
        </w:rPr>
        <w:t>法定代表人姓名、职务</w:t>
      </w:r>
      <w:r>
        <w:rPr>
          <w:rFonts w:ascii="宋体" w:hAnsi="宋体"/>
          <w:sz w:val="24"/>
        </w:rPr>
        <w:t>）代表本公司授权（</w:t>
      </w:r>
      <w:r>
        <w:rPr>
          <w:rFonts w:ascii="宋体" w:hAnsi="宋体"/>
          <w:sz w:val="24"/>
          <w:u w:val="single"/>
        </w:rPr>
        <w:t>单位名称</w:t>
      </w:r>
      <w:r>
        <w:rPr>
          <w:rFonts w:ascii="宋体" w:hAnsi="宋体"/>
          <w:sz w:val="24"/>
        </w:rPr>
        <w:t>）的在下面签字的（</w:t>
      </w:r>
      <w:r>
        <w:rPr>
          <w:rFonts w:ascii="宋体" w:hAnsi="宋体"/>
          <w:sz w:val="24"/>
          <w:u w:val="single"/>
        </w:rPr>
        <w:t>被授权人的姓名、职务</w:t>
      </w:r>
      <w:r>
        <w:rPr>
          <w:rFonts w:ascii="宋体" w:hAnsi="宋体"/>
          <w:sz w:val="24"/>
        </w:rPr>
        <w:t>）为本公司的合法代理人，就（</w:t>
      </w:r>
      <w:r>
        <w:rPr>
          <w:rFonts w:ascii="宋体" w:hAnsi="宋体"/>
          <w:sz w:val="24"/>
          <w:u w:val="single"/>
        </w:rPr>
        <w:t>项目名称</w:t>
      </w:r>
      <w:r>
        <w:rPr>
          <w:rFonts w:ascii="宋体" w:hAnsi="宋体"/>
          <w:sz w:val="24"/>
        </w:rPr>
        <w:t>）的投标，以本公司名义处理一切与之有关的事务。</w:t>
      </w:r>
    </w:p>
    <w:p>
      <w:pPr>
        <w:spacing w:after="720" w:line="360" w:lineRule="auto"/>
        <w:rPr>
          <w:sz w:val="24"/>
        </w:rPr>
      </w:pPr>
      <w:r>
        <w:rPr>
          <w:sz w:val="24"/>
        </w:rPr>
        <w:t xml:space="preserve"> </w:t>
      </w:r>
    </w:p>
    <w:p>
      <w:pPr>
        <w:spacing w:after="720" w:line="360" w:lineRule="auto"/>
        <w:ind w:firstLine="425"/>
        <w:rPr>
          <w:sz w:val="24"/>
        </w:rPr>
      </w:pPr>
      <w:r>
        <w:rPr>
          <w:rFonts w:ascii="宋体" w:hAnsi="宋体"/>
          <w:sz w:val="24"/>
        </w:rPr>
        <w:t>本授权书于</w:t>
      </w:r>
      <w:r>
        <w:rPr>
          <w:rFonts w:hint="eastAsia" w:ascii="宋体" w:hAnsi="宋体"/>
          <w:sz w:val="24"/>
        </w:rPr>
        <w:t xml:space="preserve">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日签字生效，特此声明。</w:t>
      </w:r>
    </w:p>
    <w:p>
      <w:pPr>
        <w:spacing w:line="360" w:lineRule="auto"/>
        <w:rPr>
          <w:sz w:val="24"/>
          <w:u w:val="single"/>
        </w:rPr>
      </w:pPr>
      <w:r>
        <w:rPr>
          <w:rFonts w:ascii="宋体" w:hAnsi="宋体"/>
          <w:sz w:val="24"/>
        </w:rPr>
        <w:t>法定代表人签字</w:t>
      </w:r>
      <w:r>
        <w:rPr>
          <w:rFonts w:hint="eastAsia" w:ascii="宋体" w:hAnsi="宋体"/>
          <w:sz w:val="24"/>
        </w:rPr>
        <w:t>或盖法人章</w:t>
      </w:r>
    </w:p>
    <w:p>
      <w:pPr>
        <w:spacing w:line="360" w:lineRule="auto"/>
        <w:rPr>
          <w:sz w:val="24"/>
        </w:rPr>
      </w:pPr>
      <w:r>
        <w:rPr>
          <w:rFonts w:ascii="宋体" w:hAnsi="宋体"/>
          <w:sz w:val="24"/>
        </w:rPr>
        <w:t>（公章）</w:t>
      </w:r>
    </w:p>
    <w:p>
      <w:pPr>
        <w:spacing w:line="360" w:lineRule="auto"/>
        <w:rPr>
          <w:sz w:val="24"/>
        </w:rPr>
      </w:pPr>
      <w:r>
        <w:rPr>
          <w:sz w:val="24"/>
        </w:rPr>
        <w:t xml:space="preserve"> </w:t>
      </w:r>
    </w:p>
    <w:p>
      <w:pPr>
        <w:spacing w:line="360" w:lineRule="auto"/>
        <w:rPr>
          <w:rFonts w:hAnsi="宋体"/>
          <w:sz w:val="24"/>
        </w:rPr>
      </w:pPr>
      <w:r>
        <w:rPr>
          <w:rFonts w:ascii="宋体" w:hAnsi="宋体"/>
          <w:sz w:val="24"/>
        </w:rPr>
        <w:t>被授权人签字</w:t>
      </w:r>
    </w:p>
    <w:p>
      <w:pPr>
        <w:spacing w:line="360" w:lineRule="auto"/>
        <w:rPr>
          <w:rFonts w:ascii="Times New Roman" w:hAnsi="宋体" w:cs="宋体"/>
          <w:sz w:val="24"/>
        </w:rPr>
        <w:sectPr>
          <w:pgSz w:w="11906" w:h="16838"/>
          <w:pgMar w:top="1440" w:right="1800" w:bottom="1440" w:left="1800" w:header="720" w:footer="720" w:gutter="0"/>
          <w:pgNumType w:fmt="decimal"/>
          <w:cols w:space="720" w:num="1"/>
          <w:docGrid w:type="lines" w:linePitch="312" w:charSpace="0"/>
        </w:sectPr>
      </w:pPr>
    </w:p>
    <w:p>
      <w:pPr>
        <w:pStyle w:val="5"/>
        <w:spacing w:before="156" w:after="156"/>
        <w:jc w:val="center"/>
        <w:rPr>
          <w:rFonts w:ascii="Times New Roman" w:hAnsi="宋体" w:eastAsia="宋体" w:cs="Times New Roman"/>
          <w:bCs/>
          <w:sz w:val="24"/>
        </w:rPr>
      </w:pPr>
      <w:r>
        <w:rPr>
          <w:rFonts w:hint="eastAsia" w:ascii="宋体" w:hAnsi="宋体" w:eastAsia="宋体"/>
          <w:b w:val="0"/>
          <w:bCs/>
        </w:rPr>
        <w:t>格式</w:t>
      </w:r>
      <w:r>
        <w:rPr>
          <w:rFonts w:ascii="Times New Roman" w:hAnsi="宋体" w:eastAsia="宋体" w:cs="Times New Roman"/>
          <w:b w:val="0"/>
          <w:bCs/>
        </w:rPr>
        <w:t>3.</w:t>
      </w:r>
      <w:r>
        <w:rPr>
          <w:rFonts w:ascii="宋体" w:hAnsi="宋体" w:eastAsia="宋体" w:cs="Times New Roman"/>
          <w:b w:val="0"/>
          <w:bCs/>
        </w:rPr>
        <w:t>开标一览表格式</w:t>
      </w:r>
    </w:p>
    <w:p>
      <w:pPr>
        <w:adjustRightInd w:val="0"/>
        <w:snapToGrid w:val="0"/>
        <w:spacing w:line="360" w:lineRule="auto"/>
        <w:jc w:val="center"/>
        <w:rPr>
          <w:rFonts w:ascii="Calibri" w:hAnsi="Calibri" w:eastAsia="宋体" w:cs="Calibri"/>
          <w:b/>
          <w:bCs/>
          <w:sz w:val="24"/>
        </w:rPr>
      </w:pPr>
      <w:r>
        <w:rPr>
          <w:rFonts w:ascii="宋体" w:hAnsi="宋体"/>
          <w:b/>
          <w:bCs/>
          <w:sz w:val="24"/>
        </w:rPr>
        <w:t>开标一览表</w:t>
      </w:r>
    </w:p>
    <w:p>
      <w:pPr>
        <w:adjustRightInd w:val="0"/>
        <w:snapToGrid w:val="0"/>
        <w:spacing w:line="360" w:lineRule="auto"/>
        <w:rPr>
          <w:b/>
          <w:bCs/>
          <w:sz w:val="24"/>
        </w:rPr>
      </w:pPr>
      <w:r>
        <w:rPr>
          <w:b/>
          <w:bCs/>
          <w:sz w:val="24"/>
        </w:rPr>
        <w:t xml:space="preserve"> </w:t>
      </w:r>
    </w:p>
    <w:p>
      <w:pPr>
        <w:adjustRightInd w:val="0"/>
        <w:snapToGrid w:val="0"/>
        <w:spacing w:line="360" w:lineRule="auto"/>
        <w:rPr>
          <w:sz w:val="24"/>
        </w:rPr>
      </w:pPr>
      <w:r>
        <w:rPr>
          <w:rFonts w:ascii="宋体" w:hAnsi="宋体"/>
          <w:sz w:val="24"/>
        </w:rPr>
        <w:t>项目名称：</w:t>
      </w:r>
    </w:p>
    <w:p>
      <w:pPr>
        <w:adjustRightInd w:val="0"/>
        <w:snapToGrid w:val="0"/>
        <w:spacing w:line="360" w:lineRule="auto"/>
        <w:rPr>
          <w:sz w:val="24"/>
          <w:u w:val="single"/>
        </w:rPr>
      </w:pPr>
      <w:r>
        <w:rPr>
          <w:rFonts w:ascii="宋体" w:hAnsi="宋体"/>
          <w:sz w:val="24"/>
        </w:rPr>
        <w:t>招标编号：</w:t>
      </w:r>
    </w:p>
    <w:p>
      <w:pPr>
        <w:adjustRightInd w:val="0"/>
        <w:snapToGrid w:val="0"/>
        <w:spacing w:line="360" w:lineRule="auto"/>
        <w:rPr>
          <w:sz w:val="24"/>
        </w:rPr>
      </w:pPr>
      <w:r>
        <w:rPr>
          <w:sz w:val="24"/>
        </w:rPr>
        <w:t xml:space="preserve"> </w:t>
      </w:r>
    </w:p>
    <w:tbl>
      <w:tblPr>
        <w:tblStyle w:val="24"/>
        <w:tblW w:w="0" w:type="auto"/>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676"/>
        <w:gridCol w:w="2539"/>
        <w:gridCol w:w="1277"/>
        <w:gridCol w:w="2414"/>
        <w:gridCol w:w="2216"/>
        <w:gridCol w:w="2057"/>
        <w:gridCol w:w="1009"/>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50" w:hRule="atLeast"/>
        </w:trPr>
        <w:tc>
          <w:tcPr>
            <w:tcW w:w="2676" w:type="dxa"/>
            <w:tcBorders>
              <w:top w:val="double" w:color="auto" w:sz="2" w:space="0"/>
              <w:left w:val="double" w:color="auto" w:sz="2" w:space="0"/>
              <w:bottom w:val="single" w:color="auto" w:sz="6" w:space="0"/>
              <w:right w:val="single" w:color="auto" w:sz="6" w:space="0"/>
            </w:tcBorders>
            <w:vAlign w:val="center"/>
          </w:tcPr>
          <w:p>
            <w:pPr>
              <w:spacing w:line="360" w:lineRule="auto"/>
              <w:jc w:val="center"/>
              <w:rPr>
                <w:rFonts w:ascii="Calibri" w:hAnsi="Calibri" w:eastAsia="宋体" w:cs="Calibri"/>
                <w:sz w:val="24"/>
              </w:rPr>
            </w:pPr>
            <w:r>
              <w:rPr>
                <w:rFonts w:hint="eastAsia" w:ascii="宋体" w:hAnsi="宋体"/>
                <w:sz w:val="24"/>
              </w:rPr>
              <w:t>投标人名称</w:t>
            </w:r>
          </w:p>
        </w:tc>
        <w:tc>
          <w:tcPr>
            <w:tcW w:w="2539" w:type="dxa"/>
            <w:tcBorders>
              <w:top w:val="double" w:color="auto" w:sz="2"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 w:val="24"/>
              </w:rPr>
            </w:pPr>
            <w:r>
              <w:rPr>
                <w:rFonts w:hint="eastAsia" w:ascii="宋体" w:hAnsi="宋体"/>
                <w:sz w:val="24"/>
              </w:rPr>
              <w:t>不含税</w:t>
            </w:r>
            <w:r>
              <w:rPr>
                <w:sz w:val="24"/>
              </w:rPr>
              <w:t>投标报价</w:t>
            </w:r>
            <w:r>
              <w:rPr>
                <w:rFonts w:hint="eastAsia" w:ascii="宋体" w:hAnsi="宋体"/>
                <w:sz w:val="24"/>
              </w:rPr>
              <w:t>（元）</w:t>
            </w:r>
          </w:p>
        </w:tc>
        <w:tc>
          <w:tcPr>
            <w:tcW w:w="1277" w:type="dxa"/>
            <w:tcBorders>
              <w:top w:val="double" w:color="auto" w:sz="2" w:space="0"/>
              <w:left w:val="single" w:color="auto" w:sz="4" w:space="0"/>
              <w:bottom w:val="single" w:color="auto" w:sz="6" w:space="0"/>
              <w:right w:val="single" w:color="auto" w:sz="4" w:space="0"/>
            </w:tcBorders>
            <w:vAlign w:val="center"/>
          </w:tcPr>
          <w:p>
            <w:pPr>
              <w:spacing w:line="360" w:lineRule="auto"/>
              <w:jc w:val="center"/>
              <w:rPr>
                <w:rFonts w:ascii="Calibri" w:hAnsi="Calibri" w:eastAsia="宋体" w:cs="Calibri"/>
                <w:sz w:val="24"/>
              </w:rPr>
            </w:pPr>
            <w:r>
              <w:rPr>
                <w:sz w:val="24"/>
              </w:rPr>
              <w:t>适用增值税率</w:t>
            </w:r>
          </w:p>
        </w:tc>
        <w:tc>
          <w:tcPr>
            <w:tcW w:w="2414" w:type="dxa"/>
            <w:tcBorders>
              <w:top w:val="double" w:color="auto" w:sz="2" w:space="0"/>
              <w:left w:val="nil"/>
              <w:bottom w:val="single" w:color="auto" w:sz="6" w:space="0"/>
              <w:right w:val="single" w:color="auto" w:sz="4" w:space="0"/>
            </w:tcBorders>
            <w:vAlign w:val="center"/>
          </w:tcPr>
          <w:p>
            <w:pPr>
              <w:spacing w:line="360" w:lineRule="auto"/>
              <w:jc w:val="center"/>
              <w:rPr>
                <w:rFonts w:ascii="Calibri" w:hAnsi="Calibri" w:eastAsia="宋体" w:cs="Calibri"/>
                <w:sz w:val="24"/>
              </w:rPr>
            </w:pPr>
            <w:r>
              <w:rPr>
                <w:sz w:val="24"/>
              </w:rPr>
              <w:t>税费</w:t>
            </w:r>
            <w:r>
              <w:rPr>
                <w:rFonts w:hint="eastAsia" w:ascii="宋体" w:hAnsi="宋体"/>
                <w:sz w:val="24"/>
              </w:rPr>
              <w:t>（元）</w:t>
            </w:r>
          </w:p>
        </w:tc>
        <w:tc>
          <w:tcPr>
            <w:tcW w:w="2216" w:type="dxa"/>
            <w:tcBorders>
              <w:top w:val="double" w:color="auto" w:sz="2" w:space="0"/>
              <w:left w:val="nil"/>
              <w:bottom w:val="single" w:color="auto" w:sz="6" w:space="0"/>
              <w:right w:val="single" w:color="auto" w:sz="4" w:space="0"/>
            </w:tcBorders>
            <w:vAlign w:val="center"/>
          </w:tcPr>
          <w:p>
            <w:pPr>
              <w:spacing w:line="360" w:lineRule="auto"/>
              <w:jc w:val="center"/>
              <w:rPr>
                <w:rFonts w:ascii="Calibri" w:hAnsi="Calibri" w:eastAsia="宋体" w:cs="Calibri"/>
                <w:sz w:val="24"/>
              </w:rPr>
            </w:pPr>
            <w:r>
              <w:rPr>
                <w:rFonts w:hint="eastAsia" w:ascii="宋体" w:hAnsi="宋体"/>
                <w:sz w:val="24"/>
              </w:rPr>
              <w:t>含税投标报价（元）</w:t>
            </w:r>
          </w:p>
        </w:tc>
        <w:tc>
          <w:tcPr>
            <w:tcW w:w="2057" w:type="dxa"/>
            <w:tcBorders>
              <w:top w:val="double" w:color="auto" w:sz="2" w:space="0"/>
              <w:left w:val="nil"/>
              <w:bottom w:val="single" w:color="auto" w:sz="6" w:space="0"/>
              <w:right w:val="single" w:color="auto" w:sz="6" w:space="0"/>
            </w:tcBorders>
            <w:vAlign w:val="center"/>
          </w:tcPr>
          <w:p>
            <w:pPr>
              <w:spacing w:line="360" w:lineRule="auto"/>
              <w:jc w:val="center"/>
              <w:rPr>
                <w:rFonts w:ascii="Calibri" w:hAnsi="Calibri" w:cs="Calibri"/>
                <w:sz w:val="24"/>
              </w:rPr>
            </w:pPr>
            <w:r>
              <w:rPr>
                <w:sz w:val="24"/>
              </w:rPr>
              <w:t>投标</w:t>
            </w:r>
          </w:p>
          <w:p>
            <w:pPr>
              <w:spacing w:line="360" w:lineRule="auto"/>
              <w:jc w:val="center"/>
              <w:rPr>
                <w:rFonts w:ascii="Calibri" w:hAnsi="Calibri" w:eastAsia="宋体" w:cs="Calibri"/>
                <w:sz w:val="24"/>
              </w:rPr>
            </w:pPr>
            <w:r>
              <w:rPr>
                <w:sz w:val="24"/>
              </w:rPr>
              <w:t>声明</w:t>
            </w:r>
          </w:p>
        </w:tc>
        <w:tc>
          <w:tcPr>
            <w:tcW w:w="1009" w:type="dxa"/>
            <w:tcBorders>
              <w:top w:val="double" w:color="auto" w:sz="2" w:space="0"/>
              <w:left w:val="single" w:color="auto" w:sz="6" w:space="0"/>
              <w:bottom w:val="single" w:color="auto" w:sz="6" w:space="0"/>
              <w:right w:val="double" w:color="auto" w:sz="2" w:space="0"/>
            </w:tcBorders>
            <w:vAlign w:val="center"/>
          </w:tcPr>
          <w:p>
            <w:pPr>
              <w:spacing w:line="360" w:lineRule="auto"/>
              <w:jc w:val="center"/>
              <w:rPr>
                <w:rFonts w:ascii="Calibri" w:hAnsi="Calibri" w:cs="Calibri"/>
                <w:sz w:val="24"/>
              </w:rPr>
            </w:pPr>
            <w:r>
              <w:rPr>
                <w:sz w:val="24"/>
              </w:rPr>
              <w:t>投标</w:t>
            </w:r>
          </w:p>
          <w:p>
            <w:pPr>
              <w:spacing w:line="360" w:lineRule="auto"/>
              <w:jc w:val="center"/>
              <w:rPr>
                <w:rFonts w:ascii="Calibri" w:hAnsi="Calibri" w:eastAsia="宋体" w:cs="Calibri"/>
                <w:sz w:val="24"/>
              </w:rPr>
            </w:pPr>
            <w:r>
              <w:rPr>
                <w:sz w:val="24"/>
              </w:rPr>
              <w:t>保证金</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50" w:hRule="atLeast"/>
        </w:trPr>
        <w:tc>
          <w:tcPr>
            <w:tcW w:w="2676" w:type="dxa"/>
            <w:tcBorders>
              <w:top w:val="single" w:color="auto" w:sz="6" w:space="0"/>
              <w:left w:val="double" w:color="auto" w:sz="2" w:space="0"/>
              <w:bottom w:val="double" w:color="auto" w:sz="2" w:space="0"/>
              <w:right w:val="single" w:color="auto" w:sz="6" w:space="0"/>
            </w:tcBorders>
            <w:vAlign w:val="center"/>
          </w:tcPr>
          <w:p>
            <w:pPr>
              <w:spacing w:line="360" w:lineRule="auto"/>
              <w:jc w:val="center"/>
              <w:rPr>
                <w:rFonts w:ascii="Calibri" w:hAnsi="Calibri" w:eastAsia="宋体" w:cs="Calibri"/>
                <w:sz w:val="24"/>
              </w:rPr>
            </w:pPr>
          </w:p>
        </w:tc>
        <w:tc>
          <w:tcPr>
            <w:tcW w:w="2539" w:type="dxa"/>
            <w:tcBorders>
              <w:top w:val="single" w:color="auto" w:sz="6" w:space="0"/>
              <w:left w:val="single" w:color="auto" w:sz="6" w:space="0"/>
              <w:bottom w:val="double" w:color="auto" w:sz="2" w:space="0"/>
              <w:right w:val="single" w:color="auto" w:sz="6" w:space="0"/>
            </w:tcBorders>
            <w:vAlign w:val="center"/>
          </w:tcPr>
          <w:p>
            <w:pPr>
              <w:spacing w:line="360" w:lineRule="auto"/>
              <w:jc w:val="center"/>
              <w:rPr>
                <w:rFonts w:ascii="Calibri" w:hAnsi="Calibri" w:eastAsia="宋体" w:cs="Calibri"/>
                <w:sz w:val="24"/>
              </w:rPr>
            </w:pPr>
          </w:p>
        </w:tc>
        <w:tc>
          <w:tcPr>
            <w:tcW w:w="1277" w:type="dxa"/>
            <w:tcBorders>
              <w:top w:val="single" w:color="auto" w:sz="6" w:space="0"/>
              <w:left w:val="single" w:color="auto" w:sz="4" w:space="0"/>
              <w:bottom w:val="double" w:color="auto" w:sz="2" w:space="0"/>
              <w:right w:val="single" w:color="auto" w:sz="4" w:space="0"/>
            </w:tcBorders>
            <w:vAlign w:val="center"/>
          </w:tcPr>
          <w:p>
            <w:pPr>
              <w:spacing w:line="360" w:lineRule="auto"/>
              <w:jc w:val="center"/>
              <w:rPr>
                <w:rFonts w:ascii="Calibri" w:hAnsi="Calibri" w:eastAsia="宋体" w:cs="Calibri"/>
                <w:sz w:val="24"/>
              </w:rPr>
            </w:pPr>
          </w:p>
        </w:tc>
        <w:tc>
          <w:tcPr>
            <w:tcW w:w="2414" w:type="dxa"/>
            <w:tcBorders>
              <w:top w:val="single" w:color="auto" w:sz="6" w:space="0"/>
              <w:left w:val="nil"/>
              <w:bottom w:val="double" w:color="auto" w:sz="2" w:space="0"/>
              <w:right w:val="single" w:color="auto" w:sz="4" w:space="0"/>
            </w:tcBorders>
            <w:vAlign w:val="center"/>
          </w:tcPr>
          <w:p>
            <w:pPr>
              <w:spacing w:line="360" w:lineRule="auto"/>
              <w:jc w:val="center"/>
              <w:rPr>
                <w:rFonts w:ascii="Calibri" w:hAnsi="Calibri" w:eastAsia="宋体" w:cs="Calibri"/>
                <w:sz w:val="24"/>
              </w:rPr>
            </w:pPr>
          </w:p>
        </w:tc>
        <w:tc>
          <w:tcPr>
            <w:tcW w:w="2216" w:type="dxa"/>
            <w:tcBorders>
              <w:top w:val="single" w:color="auto" w:sz="6" w:space="0"/>
              <w:left w:val="nil"/>
              <w:bottom w:val="double" w:color="auto" w:sz="2" w:space="0"/>
              <w:right w:val="single" w:color="auto" w:sz="4" w:space="0"/>
            </w:tcBorders>
            <w:vAlign w:val="center"/>
          </w:tcPr>
          <w:p>
            <w:pPr>
              <w:spacing w:line="360" w:lineRule="auto"/>
              <w:jc w:val="center"/>
              <w:rPr>
                <w:rFonts w:ascii="Calibri" w:hAnsi="Calibri" w:eastAsia="宋体" w:cs="Calibri"/>
                <w:sz w:val="24"/>
              </w:rPr>
            </w:pPr>
          </w:p>
        </w:tc>
        <w:tc>
          <w:tcPr>
            <w:tcW w:w="2057" w:type="dxa"/>
            <w:tcBorders>
              <w:top w:val="single" w:color="auto" w:sz="6" w:space="0"/>
              <w:left w:val="nil"/>
              <w:bottom w:val="double" w:color="auto" w:sz="2" w:space="0"/>
              <w:right w:val="single" w:color="auto" w:sz="6" w:space="0"/>
            </w:tcBorders>
            <w:vAlign w:val="center"/>
          </w:tcPr>
          <w:p>
            <w:pPr>
              <w:spacing w:line="360" w:lineRule="auto"/>
              <w:jc w:val="center"/>
              <w:rPr>
                <w:rFonts w:ascii="Calibri" w:hAnsi="Calibri" w:eastAsia="宋体" w:cs="Calibri"/>
                <w:sz w:val="24"/>
              </w:rPr>
            </w:pPr>
          </w:p>
        </w:tc>
        <w:tc>
          <w:tcPr>
            <w:tcW w:w="1009" w:type="dxa"/>
            <w:tcBorders>
              <w:top w:val="single" w:color="auto" w:sz="6" w:space="0"/>
              <w:left w:val="single" w:color="auto" w:sz="6" w:space="0"/>
              <w:bottom w:val="double" w:color="auto" w:sz="2" w:space="0"/>
              <w:right w:val="double" w:color="auto" w:sz="2" w:space="0"/>
            </w:tcBorders>
            <w:vAlign w:val="center"/>
          </w:tcPr>
          <w:p>
            <w:pPr>
              <w:spacing w:line="360" w:lineRule="auto"/>
              <w:jc w:val="center"/>
              <w:rPr>
                <w:rFonts w:ascii="Calibri" w:hAnsi="Calibri" w:eastAsia="宋体" w:cs="Calibri"/>
                <w:sz w:val="24"/>
              </w:rPr>
            </w:pPr>
          </w:p>
        </w:tc>
      </w:tr>
    </w:tbl>
    <w:p>
      <w:pPr>
        <w:adjustRightInd w:val="0"/>
        <w:snapToGrid w:val="0"/>
        <w:spacing w:line="360" w:lineRule="auto"/>
        <w:rPr>
          <w:rFonts w:ascii="Calibri" w:hAnsi="Calibri" w:cs="Calibri"/>
          <w:sz w:val="24"/>
        </w:rPr>
      </w:pPr>
      <w:r>
        <w:rPr>
          <w:sz w:val="24"/>
        </w:rPr>
        <w:t xml:space="preserve"> </w:t>
      </w:r>
    </w:p>
    <w:p>
      <w:pPr>
        <w:adjustRightInd w:val="0"/>
        <w:snapToGrid w:val="0"/>
        <w:spacing w:line="360" w:lineRule="auto"/>
        <w:rPr>
          <w:sz w:val="24"/>
          <w:u w:val="single"/>
        </w:rPr>
      </w:pPr>
      <w:r>
        <w:rPr>
          <w:rFonts w:ascii="宋体" w:hAnsi="宋体"/>
          <w:sz w:val="24"/>
        </w:rPr>
        <w:t>投标人授权代表签字：</w:t>
      </w:r>
    </w:p>
    <w:p>
      <w:pPr>
        <w:adjustRightInd w:val="0"/>
        <w:snapToGrid w:val="0"/>
        <w:spacing w:line="360" w:lineRule="auto"/>
        <w:rPr>
          <w:sz w:val="24"/>
          <w:u w:val="single"/>
        </w:rPr>
      </w:pPr>
      <w:r>
        <w:rPr>
          <w:rFonts w:ascii="宋体" w:hAnsi="宋体"/>
          <w:sz w:val="24"/>
        </w:rPr>
        <w:t>投标人盖章：</w:t>
      </w:r>
    </w:p>
    <w:p>
      <w:pPr>
        <w:adjustRightInd w:val="0"/>
        <w:snapToGrid w:val="0"/>
        <w:spacing w:line="360" w:lineRule="auto"/>
        <w:rPr>
          <w:rFonts w:hAnsi="宋体"/>
          <w:sz w:val="24"/>
        </w:rPr>
      </w:pPr>
      <w:r>
        <w:rPr>
          <w:rFonts w:hint="eastAsia" w:ascii="宋体" w:hAnsi="宋体"/>
          <w:sz w:val="24"/>
        </w:rPr>
        <w:t>日期：2020年  月  日</w:t>
      </w:r>
    </w:p>
    <w:p>
      <w:pPr>
        <w:spacing w:line="360" w:lineRule="auto"/>
        <w:ind w:left="960" w:hanging="960" w:hangingChars="400"/>
        <w:rPr>
          <w:rFonts w:hAnsi="宋体"/>
          <w:sz w:val="24"/>
        </w:rPr>
      </w:pPr>
      <w:r>
        <w:rPr>
          <w:rFonts w:ascii="宋体" w:hAnsi="宋体"/>
          <w:sz w:val="24"/>
        </w:rPr>
        <w:t>注：</w:t>
      </w:r>
    </w:p>
    <w:p>
      <w:pPr>
        <w:numPr>
          <w:ilvl w:val="0"/>
          <w:numId w:val="326"/>
        </w:numPr>
        <w:adjustRightInd w:val="0"/>
        <w:snapToGrid w:val="0"/>
        <w:spacing w:line="360" w:lineRule="auto"/>
        <w:ind w:left="840" w:hanging="840"/>
        <w:rPr>
          <w:rFonts w:hAnsi="宋体"/>
          <w:sz w:val="24"/>
        </w:rPr>
      </w:pPr>
      <w:r>
        <w:rPr>
          <w:rFonts w:ascii="宋体" w:hAnsi="宋体"/>
          <w:sz w:val="24"/>
        </w:rPr>
        <w:t>此表应按</w:t>
      </w:r>
      <w:r>
        <w:rPr>
          <w:rFonts w:hAnsi="宋体"/>
          <w:sz w:val="24"/>
        </w:rPr>
        <w:t>“投标人须知”的规定密封标记并与投标保证金</w:t>
      </w:r>
      <w:r>
        <w:rPr>
          <w:rFonts w:hint="eastAsia" w:ascii="宋体" w:hAnsi="宋体"/>
          <w:sz w:val="24"/>
        </w:rPr>
        <w:t>递交</w:t>
      </w:r>
      <w:r>
        <w:rPr>
          <w:rFonts w:ascii="宋体" w:hAnsi="宋体"/>
          <w:sz w:val="24"/>
        </w:rPr>
        <w:t>证明一同单独提交</w:t>
      </w:r>
      <w:r>
        <w:rPr>
          <w:rFonts w:hint="eastAsia" w:ascii="宋体" w:hAnsi="宋体"/>
          <w:sz w:val="24"/>
        </w:rPr>
        <w:t>。</w:t>
      </w:r>
    </w:p>
    <w:p>
      <w:pPr>
        <w:numPr>
          <w:ilvl w:val="0"/>
          <w:numId w:val="326"/>
        </w:numPr>
        <w:adjustRightInd w:val="0"/>
        <w:snapToGrid w:val="0"/>
        <w:spacing w:line="360" w:lineRule="auto"/>
        <w:ind w:left="420"/>
        <w:rPr>
          <w:rFonts w:hAnsi="宋体"/>
          <w:sz w:val="24"/>
        </w:rPr>
      </w:pPr>
      <w:r>
        <w:rPr>
          <w:rFonts w:hint="eastAsia" w:ascii="宋体" w:hAnsi="宋体"/>
          <w:sz w:val="24"/>
        </w:rPr>
        <w:t>报价应包括本项目需求说明书中</w:t>
      </w:r>
      <w:r>
        <w:rPr>
          <w:rFonts w:hint="eastAsia" w:ascii="宋体" w:hAnsi="宋体"/>
          <w:b/>
          <w:bCs/>
          <w:sz w:val="24"/>
        </w:rPr>
        <w:t>所需的全部费用，除此之外，招标人不再为此支付其他任何费用。</w:t>
      </w:r>
    </w:p>
    <w:p>
      <w:pPr>
        <w:widowControl/>
        <w:numPr>
          <w:ilvl w:val="0"/>
          <w:numId w:val="326"/>
        </w:numPr>
        <w:adjustRightInd w:val="0"/>
        <w:snapToGrid w:val="0"/>
        <w:spacing w:line="360" w:lineRule="auto"/>
        <w:ind w:left="567" w:hanging="567"/>
        <w:jc w:val="left"/>
        <w:rPr>
          <w:rFonts w:hAnsi="宋体"/>
          <w:sz w:val="24"/>
        </w:rPr>
      </w:pPr>
      <w:r>
        <w:rPr>
          <w:rFonts w:hint="eastAsia" w:ascii="宋体" w:hAnsi="宋体"/>
          <w:sz w:val="24"/>
        </w:rPr>
        <w:t>投标人如果免费提供某项服务，应在投标声明中单独列明、填写价格并同时注明免费，但不计入投标报价；未填写的项目均视为包含在投标报价内。</w:t>
      </w:r>
    </w:p>
    <w:p>
      <w:pPr>
        <w:widowControl/>
        <w:numPr>
          <w:ilvl w:val="0"/>
          <w:numId w:val="326"/>
        </w:numPr>
        <w:adjustRightInd w:val="0"/>
        <w:snapToGrid w:val="0"/>
        <w:spacing w:line="360" w:lineRule="auto"/>
        <w:ind w:left="567" w:hanging="567"/>
        <w:jc w:val="left"/>
        <w:rPr>
          <w:rFonts w:hAnsi="宋体"/>
          <w:sz w:val="24"/>
        </w:rPr>
      </w:pPr>
      <w:r>
        <w:rPr>
          <w:rFonts w:hint="eastAsia" w:ascii="宋体" w:hAnsi="宋体"/>
          <w:sz w:val="24"/>
        </w:rPr>
        <w:t>此表中投标声明为填写投标人认为应当告知且承诺招标人的具体事项如折扣等，也可填‘无’；此表中投标保证金为填写投标人递交投标保证金状况，已递交则填‘有’，未递交则填‘无’。</w:t>
      </w:r>
    </w:p>
    <w:p>
      <w:pPr>
        <w:widowControl/>
        <w:numPr>
          <w:ilvl w:val="0"/>
          <w:numId w:val="326"/>
        </w:numPr>
        <w:adjustRightInd w:val="0"/>
        <w:snapToGrid w:val="0"/>
        <w:spacing w:line="360" w:lineRule="auto"/>
        <w:ind w:left="567" w:hanging="567"/>
        <w:jc w:val="left"/>
        <w:rPr>
          <w:rFonts w:hAnsi="Calibri"/>
          <w:szCs w:val="21"/>
          <w:u w:val="single"/>
        </w:rPr>
      </w:pPr>
      <w:r>
        <w:rPr>
          <w:rFonts w:hint="eastAsia" w:ascii="宋体" w:hAnsi="宋体"/>
          <w:b/>
          <w:bCs/>
          <w:sz w:val="24"/>
          <w:u w:val="single"/>
        </w:rPr>
        <w:t>投标人可以到本公司财务部门利用税控机模拟投标报价计算出不含税价款和税费。</w:t>
      </w:r>
    </w:p>
    <w:p>
      <w:pPr>
        <w:widowControl/>
        <w:jc w:val="left"/>
        <w:rPr>
          <w:rFonts w:ascii="Times New Roman" w:hAnsi="宋体" w:cs="宋体"/>
          <w:sz w:val="24"/>
          <w:u w:val="single"/>
        </w:rPr>
        <w:sectPr>
          <w:pgSz w:w="16838" w:h="11906" w:orient="landscape"/>
          <w:pgMar w:top="1800" w:right="1440" w:bottom="1800" w:left="1440" w:header="720" w:footer="720" w:gutter="0"/>
          <w:pgNumType w:fmt="decimal"/>
          <w:cols w:space="720" w:num="1"/>
          <w:docGrid w:type="lines" w:linePitch="312" w:charSpace="0"/>
        </w:sectPr>
      </w:pPr>
    </w:p>
    <w:p>
      <w:pPr>
        <w:pStyle w:val="5"/>
        <w:spacing w:before="165" w:after="165"/>
        <w:jc w:val="center"/>
        <w:rPr>
          <w:rFonts w:ascii="Times New Roman" w:hAnsi="宋体" w:eastAsia="宋体" w:cs="Times New Roman"/>
          <w:bCs/>
        </w:rPr>
      </w:pPr>
      <w:r>
        <w:rPr>
          <w:rFonts w:hint="eastAsia" w:ascii="宋体" w:hAnsi="宋体" w:eastAsia="宋体"/>
          <w:b w:val="0"/>
          <w:bCs/>
        </w:rPr>
        <w:t>格式</w:t>
      </w:r>
      <w:r>
        <w:rPr>
          <w:rFonts w:hint="eastAsia" w:ascii="Times New Roman" w:hAnsi="宋体" w:eastAsia="宋体"/>
          <w:b w:val="0"/>
          <w:bCs/>
        </w:rPr>
        <w:t>4</w:t>
      </w:r>
      <w:r>
        <w:rPr>
          <w:rFonts w:ascii="Times New Roman" w:hAnsi="宋体" w:eastAsia="宋体" w:cs="Times New Roman"/>
          <w:b w:val="0"/>
          <w:bCs/>
        </w:rPr>
        <w:t>.</w:t>
      </w:r>
      <w:r>
        <w:rPr>
          <w:rFonts w:hint="eastAsia" w:ascii="宋体" w:hAnsi="宋体" w:eastAsia="宋体"/>
          <w:b w:val="0"/>
          <w:bCs/>
        </w:rPr>
        <w:t>分项</w:t>
      </w:r>
      <w:r>
        <w:rPr>
          <w:rFonts w:ascii="宋体" w:hAnsi="宋体" w:eastAsia="宋体" w:cs="Times New Roman"/>
          <w:b w:val="0"/>
          <w:bCs/>
        </w:rPr>
        <w:t>报价表格式</w:t>
      </w:r>
    </w:p>
    <w:p>
      <w:pPr>
        <w:adjustRightInd w:val="0"/>
        <w:snapToGrid w:val="0"/>
        <w:spacing w:line="360" w:lineRule="auto"/>
        <w:jc w:val="center"/>
        <w:rPr>
          <w:rFonts w:ascii="Calibri" w:hAnsi="Calibri" w:eastAsia="宋体" w:cs="Calibri"/>
          <w:b/>
          <w:bCs/>
          <w:sz w:val="24"/>
        </w:rPr>
      </w:pPr>
      <w:r>
        <w:rPr>
          <w:rFonts w:hint="eastAsia" w:ascii="宋体" w:hAnsi="宋体"/>
          <w:b/>
          <w:bCs/>
          <w:sz w:val="24"/>
        </w:rPr>
        <w:t>分项</w:t>
      </w:r>
      <w:r>
        <w:rPr>
          <w:rFonts w:ascii="宋体" w:hAnsi="宋体"/>
          <w:b/>
          <w:bCs/>
          <w:sz w:val="24"/>
        </w:rPr>
        <w:t>报价表</w:t>
      </w:r>
      <w:r>
        <w:rPr>
          <w:rFonts w:hint="eastAsia" w:ascii="宋体" w:hAnsi="宋体"/>
          <w:b/>
          <w:bCs/>
          <w:sz w:val="24"/>
        </w:rPr>
        <w:t>（</w:t>
      </w:r>
      <w:r>
        <w:rPr>
          <w:rFonts w:ascii="宋体" w:hAnsi="宋体"/>
          <w:b/>
          <w:bCs/>
          <w:sz w:val="24"/>
        </w:rPr>
        <w:t>功能区划分及装修</w:t>
      </w:r>
      <w:r>
        <w:rPr>
          <w:rFonts w:hint="eastAsia" w:ascii="宋体" w:hAnsi="宋体"/>
          <w:b/>
          <w:bCs/>
          <w:sz w:val="24"/>
        </w:rPr>
        <w:t>部分——设备）</w:t>
      </w:r>
    </w:p>
    <w:p>
      <w:pPr>
        <w:adjustRightInd w:val="0"/>
        <w:snapToGrid w:val="0"/>
        <w:spacing w:line="360" w:lineRule="auto"/>
        <w:rPr>
          <w:b/>
          <w:bCs/>
          <w:sz w:val="24"/>
        </w:rPr>
      </w:pPr>
      <w:r>
        <w:rPr>
          <w:rFonts w:ascii="宋体" w:hAnsi="宋体"/>
          <w:sz w:val="24"/>
        </w:rPr>
        <w:t>项目名称：</w:t>
      </w:r>
      <w:r>
        <w:rPr>
          <w:rFonts w:hint="eastAsia" w:ascii="宋体" w:hAnsi="宋体"/>
          <w:sz w:val="24"/>
        </w:rPr>
        <w:t xml:space="preserve">                                                             </w:t>
      </w:r>
      <w:r>
        <w:rPr>
          <w:rFonts w:ascii="宋体" w:hAnsi="宋体"/>
          <w:sz w:val="24"/>
        </w:rPr>
        <w:t>招标编号：</w:t>
      </w:r>
    </w:p>
    <w:tbl>
      <w:tblPr>
        <w:tblStyle w:val="24"/>
        <w:tblW w:w="0" w:type="auto"/>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929"/>
        <w:gridCol w:w="1282"/>
        <w:gridCol w:w="774"/>
        <w:gridCol w:w="1850"/>
        <w:gridCol w:w="925"/>
        <w:gridCol w:w="1644"/>
        <w:gridCol w:w="1873"/>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3211" w:type="dxa"/>
            <w:gridSpan w:val="2"/>
            <w:tcBorders>
              <w:top w:val="double" w:color="auto" w:sz="2" w:space="0"/>
              <w:left w:val="double" w:color="auto" w:sz="2" w:space="0"/>
              <w:bottom w:val="single" w:color="auto" w:sz="6" w:space="0"/>
              <w:right w:val="single" w:color="auto" w:sz="6" w:space="0"/>
            </w:tcBorders>
            <w:vAlign w:val="center"/>
          </w:tcPr>
          <w:p>
            <w:pPr>
              <w:jc w:val="center"/>
              <w:rPr>
                <w:rFonts w:ascii="Calibri" w:hAnsi="Calibri" w:cs="Calibri"/>
                <w:sz w:val="24"/>
              </w:rPr>
            </w:pPr>
            <w:r>
              <w:rPr>
                <w:sz w:val="24"/>
              </w:rPr>
              <w:t>项目</w:t>
            </w:r>
            <w:r>
              <w:rPr>
                <w:rFonts w:hint="eastAsia" w:ascii="宋体" w:hAnsi="宋体"/>
                <w:sz w:val="24"/>
              </w:rPr>
              <w:t>（包含设备和集成等）</w:t>
            </w:r>
          </w:p>
          <w:p>
            <w:pPr>
              <w:jc w:val="center"/>
              <w:rPr>
                <w:rFonts w:ascii="Calibri" w:hAnsi="Calibri" w:eastAsia="宋体" w:cs="Calibri"/>
                <w:sz w:val="24"/>
              </w:rPr>
            </w:pPr>
          </w:p>
        </w:tc>
        <w:tc>
          <w:tcPr>
            <w:tcW w:w="774" w:type="dxa"/>
            <w:tcBorders>
              <w:top w:val="double" w:color="auto" w:sz="2" w:space="0"/>
              <w:left w:val="single" w:color="auto" w:sz="6" w:space="0"/>
              <w:bottom w:val="single" w:color="auto" w:sz="6" w:space="0"/>
              <w:right w:val="single" w:color="auto" w:sz="6" w:space="0"/>
            </w:tcBorders>
            <w:vAlign w:val="center"/>
          </w:tcPr>
          <w:p>
            <w:pPr>
              <w:widowControl/>
              <w:jc w:val="center"/>
              <w:rPr>
                <w:rFonts w:ascii="Calibri" w:hAnsi="Calibri" w:eastAsia="宋体" w:cs="Calibri"/>
                <w:sz w:val="24"/>
              </w:rPr>
            </w:pPr>
            <w:r>
              <w:rPr>
                <w:sz w:val="24"/>
              </w:rPr>
              <w:t>数量</w:t>
            </w:r>
          </w:p>
        </w:tc>
        <w:tc>
          <w:tcPr>
            <w:tcW w:w="1850" w:type="dxa"/>
            <w:tcBorders>
              <w:top w:val="double" w:color="auto" w:sz="2" w:space="0"/>
              <w:left w:val="single" w:color="auto" w:sz="6" w:space="0"/>
              <w:bottom w:val="single" w:color="auto" w:sz="6" w:space="0"/>
              <w:right w:val="single" w:color="auto" w:sz="6" w:space="0"/>
            </w:tcBorders>
            <w:vAlign w:val="center"/>
          </w:tcPr>
          <w:p>
            <w:pPr>
              <w:widowControl/>
              <w:jc w:val="center"/>
              <w:rPr>
                <w:rFonts w:ascii="Calibri" w:hAnsi="Calibri" w:eastAsia="宋体" w:cs="Calibri"/>
                <w:sz w:val="24"/>
              </w:rPr>
            </w:pPr>
            <w:r>
              <w:rPr>
                <w:sz w:val="24"/>
              </w:rPr>
              <w:t>不含税价格</w:t>
            </w:r>
            <w:r>
              <w:rPr>
                <w:rFonts w:hint="eastAsia" w:ascii="宋体" w:hAnsi="宋体"/>
                <w:sz w:val="24"/>
              </w:rPr>
              <w:t>（元）</w:t>
            </w:r>
          </w:p>
        </w:tc>
        <w:tc>
          <w:tcPr>
            <w:tcW w:w="925" w:type="dxa"/>
            <w:tcBorders>
              <w:top w:val="double" w:color="auto" w:sz="2" w:space="0"/>
              <w:left w:val="single" w:color="auto" w:sz="6" w:space="0"/>
              <w:bottom w:val="single" w:color="auto" w:sz="6" w:space="0"/>
              <w:right w:val="single" w:color="auto" w:sz="6" w:space="0"/>
            </w:tcBorders>
            <w:vAlign w:val="center"/>
          </w:tcPr>
          <w:p>
            <w:pPr>
              <w:widowControl/>
              <w:jc w:val="center"/>
              <w:rPr>
                <w:rFonts w:ascii="Calibri" w:hAnsi="Calibri" w:eastAsia="宋体" w:cs="Calibri"/>
                <w:sz w:val="24"/>
              </w:rPr>
            </w:pPr>
            <w:r>
              <w:rPr>
                <w:sz w:val="24"/>
              </w:rPr>
              <w:t>适用增值税率</w:t>
            </w:r>
          </w:p>
        </w:tc>
        <w:tc>
          <w:tcPr>
            <w:tcW w:w="1644" w:type="dxa"/>
            <w:tcBorders>
              <w:top w:val="double" w:color="auto" w:sz="2" w:space="0"/>
              <w:left w:val="single" w:color="auto" w:sz="6" w:space="0"/>
              <w:bottom w:val="single" w:color="auto" w:sz="6" w:space="0"/>
              <w:right w:val="single" w:color="auto" w:sz="6" w:space="0"/>
            </w:tcBorders>
            <w:vAlign w:val="center"/>
          </w:tcPr>
          <w:p>
            <w:pPr>
              <w:widowControl/>
              <w:jc w:val="center"/>
              <w:rPr>
                <w:rFonts w:ascii="Calibri" w:hAnsi="Calibri" w:eastAsia="宋体" w:cs="Calibri"/>
                <w:sz w:val="24"/>
              </w:rPr>
            </w:pPr>
            <w:r>
              <w:rPr>
                <w:rFonts w:hint="eastAsia" w:ascii="宋体" w:hAnsi="宋体"/>
                <w:sz w:val="24"/>
              </w:rPr>
              <w:t>税费</w:t>
            </w:r>
          </w:p>
        </w:tc>
        <w:tc>
          <w:tcPr>
            <w:tcW w:w="1873" w:type="dxa"/>
            <w:tcBorders>
              <w:top w:val="double" w:color="auto" w:sz="2" w:space="0"/>
              <w:left w:val="single" w:color="auto" w:sz="6" w:space="0"/>
              <w:bottom w:val="single" w:color="auto" w:sz="6" w:space="0"/>
              <w:right w:val="double" w:color="auto" w:sz="2" w:space="0"/>
            </w:tcBorders>
            <w:vAlign w:val="center"/>
          </w:tcPr>
          <w:p>
            <w:pPr>
              <w:widowControl/>
              <w:jc w:val="center"/>
              <w:rPr>
                <w:rFonts w:ascii="Calibri" w:hAnsi="Calibri" w:eastAsia="宋体" w:cs="Calibri"/>
                <w:sz w:val="24"/>
              </w:rPr>
            </w:pPr>
            <w:r>
              <w:rPr>
                <w:sz w:val="24"/>
              </w:rPr>
              <w:t>含税价格</w:t>
            </w:r>
            <w:r>
              <w:rPr>
                <w:rFonts w:hint="eastAsia" w:ascii="宋体" w:hAnsi="宋体"/>
                <w:sz w:val="24"/>
              </w:rPr>
              <w:t>（元）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929" w:type="dxa"/>
            <w:vMerge w:val="restart"/>
            <w:tcBorders>
              <w:top w:val="single" w:color="auto" w:sz="6" w:space="0"/>
              <w:left w:val="double" w:color="auto" w:sz="2" w:space="0"/>
              <w:bottom w:val="single" w:color="auto" w:sz="6" w:space="0"/>
              <w:right w:val="single" w:color="auto" w:sz="6" w:space="0"/>
            </w:tcBorders>
            <w:vAlign w:val="center"/>
          </w:tcPr>
          <w:p>
            <w:pPr>
              <w:spacing w:line="360" w:lineRule="auto"/>
              <w:jc w:val="center"/>
              <w:rPr>
                <w:rFonts w:ascii="Calibri" w:hAnsi="Calibri" w:eastAsia="宋体" w:cs="Calibri"/>
                <w:szCs w:val="21"/>
              </w:rPr>
            </w:pPr>
            <w:r>
              <w:t>……</w:t>
            </w:r>
          </w:p>
        </w:tc>
        <w:tc>
          <w:tcPr>
            <w:tcW w:w="128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eastAsia="宋体" w:cs="Calibri"/>
                <w:szCs w:val="21"/>
              </w:rPr>
            </w:pPr>
          </w:p>
        </w:tc>
        <w:tc>
          <w:tcPr>
            <w:tcW w:w="7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92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6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873" w:type="dxa"/>
            <w:tcBorders>
              <w:top w:val="single" w:color="auto" w:sz="6" w:space="0"/>
              <w:left w:val="single" w:color="auto" w:sz="6" w:space="0"/>
              <w:bottom w:val="single" w:color="auto" w:sz="6" w:space="0"/>
              <w:right w:val="double" w:color="auto" w:sz="2" w:space="0"/>
            </w:tcBorders>
            <w:vAlign w:val="center"/>
          </w:tcPr>
          <w:p>
            <w:pPr>
              <w:spacing w:line="360" w:lineRule="auto"/>
              <w:jc w:val="center"/>
              <w:rPr>
                <w:rFonts w:ascii="Calibri" w:hAnsi="Calibri" w:eastAsia="宋体" w:cs="Calibri"/>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394" w:hRule="atLeast"/>
        </w:trPr>
        <w:tc>
          <w:tcPr>
            <w:tcW w:w="3211"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Calibri" w:hAnsi="Calibri" w:eastAsia="宋体" w:cs="Calibri"/>
                <w:szCs w:val="21"/>
              </w:rPr>
            </w:pPr>
          </w:p>
        </w:tc>
        <w:tc>
          <w:tcPr>
            <w:tcW w:w="128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eastAsia="宋体" w:cs="Calibri"/>
                <w:szCs w:val="21"/>
              </w:rPr>
            </w:pPr>
          </w:p>
        </w:tc>
        <w:tc>
          <w:tcPr>
            <w:tcW w:w="7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92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6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873" w:type="dxa"/>
            <w:tcBorders>
              <w:top w:val="single" w:color="auto" w:sz="6" w:space="0"/>
              <w:left w:val="single" w:color="auto" w:sz="6" w:space="0"/>
              <w:bottom w:val="single" w:color="auto" w:sz="6" w:space="0"/>
              <w:right w:val="double" w:color="auto" w:sz="2" w:space="0"/>
            </w:tcBorders>
            <w:vAlign w:val="center"/>
          </w:tcPr>
          <w:p>
            <w:pPr>
              <w:spacing w:line="360" w:lineRule="auto"/>
              <w:jc w:val="center"/>
              <w:rPr>
                <w:rFonts w:ascii="Calibri" w:hAnsi="Calibri" w:eastAsia="宋体" w:cs="Calibri"/>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1929" w:type="dxa"/>
            <w:vMerge w:val="restart"/>
            <w:tcBorders>
              <w:top w:val="single" w:color="auto" w:sz="6" w:space="0"/>
              <w:left w:val="double" w:color="auto" w:sz="2" w:space="0"/>
              <w:bottom w:val="single" w:color="auto" w:sz="6" w:space="0"/>
              <w:right w:val="single" w:color="auto" w:sz="6" w:space="0"/>
            </w:tcBorders>
            <w:vAlign w:val="center"/>
          </w:tcPr>
          <w:p>
            <w:pPr>
              <w:spacing w:line="360" w:lineRule="auto"/>
              <w:jc w:val="center"/>
              <w:rPr>
                <w:rFonts w:ascii="Calibri" w:hAnsi="Calibri" w:eastAsia="宋体" w:cs="Calibri"/>
                <w:szCs w:val="21"/>
              </w:rPr>
            </w:pPr>
            <w:r>
              <w:t>……</w:t>
            </w: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7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92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6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873" w:type="dxa"/>
            <w:tcBorders>
              <w:top w:val="single" w:color="auto" w:sz="6" w:space="0"/>
              <w:left w:val="single" w:color="auto" w:sz="6" w:space="0"/>
              <w:bottom w:val="single" w:color="auto" w:sz="6" w:space="0"/>
              <w:right w:val="double" w:color="auto" w:sz="2" w:space="0"/>
            </w:tcBorders>
            <w:vAlign w:val="center"/>
          </w:tcPr>
          <w:p>
            <w:pPr>
              <w:spacing w:line="360" w:lineRule="auto"/>
              <w:jc w:val="center"/>
              <w:rPr>
                <w:rFonts w:ascii="Calibri" w:hAnsi="Calibri" w:eastAsia="宋体" w:cs="Calibri"/>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3211"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Calibri" w:hAnsi="Calibri" w:eastAsia="宋体" w:cs="Calibri"/>
                <w:szCs w:val="21"/>
              </w:rPr>
            </w:pPr>
          </w:p>
        </w:tc>
        <w:tc>
          <w:tcPr>
            <w:tcW w:w="128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eastAsia="宋体" w:cs="Calibri"/>
                <w:szCs w:val="21"/>
              </w:rPr>
            </w:pPr>
          </w:p>
        </w:tc>
        <w:tc>
          <w:tcPr>
            <w:tcW w:w="7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92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6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873" w:type="dxa"/>
            <w:tcBorders>
              <w:top w:val="single" w:color="auto" w:sz="6" w:space="0"/>
              <w:left w:val="single" w:color="auto" w:sz="6" w:space="0"/>
              <w:bottom w:val="single" w:color="auto" w:sz="6" w:space="0"/>
              <w:right w:val="double" w:color="auto" w:sz="2" w:space="0"/>
            </w:tcBorders>
            <w:vAlign w:val="center"/>
          </w:tcPr>
          <w:p>
            <w:pPr>
              <w:spacing w:line="360" w:lineRule="auto"/>
              <w:jc w:val="center"/>
              <w:rPr>
                <w:rFonts w:ascii="Calibri" w:hAnsi="Calibri" w:eastAsia="宋体" w:cs="Calibri"/>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1929" w:type="dxa"/>
            <w:vMerge w:val="restart"/>
            <w:tcBorders>
              <w:top w:val="single" w:color="auto" w:sz="6" w:space="0"/>
              <w:left w:val="double" w:color="auto" w:sz="2" w:space="0"/>
              <w:bottom w:val="single" w:color="auto" w:sz="6" w:space="0"/>
              <w:right w:val="single" w:color="auto" w:sz="6" w:space="0"/>
            </w:tcBorders>
            <w:vAlign w:val="center"/>
          </w:tcPr>
          <w:p>
            <w:pPr>
              <w:spacing w:line="360" w:lineRule="auto"/>
              <w:jc w:val="center"/>
              <w:rPr>
                <w:rFonts w:ascii="Calibri" w:hAnsi="Calibri" w:eastAsia="宋体" w:cs="Calibri"/>
                <w:szCs w:val="21"/>
              </w:rPr>
            </w:pPr>
            <w:r>
              <w:t>……</w:t>
            </w: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7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92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6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873" w:type="dxa"/>
            <w:tcBorders>
              <w:top w:val="single" w:color="auto" w:sz="6" w:space="0"/>
              <w:left w:val="single" w:color="auto" w:sz="6" w:space="0"/>
              <w:bottom w:val="single" w:color="auto" w:sz="6" w:space="0"/>
              <w:right w:val="double" w:color="auto" w:sz="2" w:space="0"/>
            </w:tcBorders>
            <w:vAlign w:val="center"/>
          </w:tcPr>
          <w:p>
            <w:pPr>
              <w:spacing w:line="360" w:lineRule="auto"/>
              <w:jc w:val="center"/>
              <w:rPr>
                <w:rFonts w:ascii="Calibri" w:hAnsi="Calibri" w:eastAsia="宋体" w:cs="Calibri"/>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3211"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Calibri" w:hAnsi="Calibri" w:eastAsia="宋体" w:cs="Calibri"/>
                <w:szCs w:val="21"/>
              </w:rPr>
            </w:pPr>
          </w:p>
        </w:tc>
        <w:tc>
          <w:tcPr>
            <w:tcW w:w="128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Calibri" w:hAnsi="Calibri" w:eastAsia="宋体" w:cs="Calibri"/>
                <w:szCs w:val="21"/>
              </w:rPr>
            </w:pPr>
          </w:p>
        </w:tc>
        <w:tc>
          <w:tcPr>
            <w:tcW w:w="7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92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6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szCs w:val="21"/>
              </w:rPr>
            </w:pPr>
          </w:p>
        </w:tc>
        <w:tc>
          <w:tcPr>
            <w:tcW w:w="1873" w:type="dxa"/>
            <w:tcBorders>
              <w:top w:val="single" w:color="auto" w:sz="6" w:space="0"/>
              <w:left w:val="single" w:color="auto" w:sz="6" w:space="0"/>
              <w:bottom w:val="single" w:color="auto" w:sz="6" w:space="0"/>
              <w:right w:val="double" w:color="auto" w:sz="2" w:space="0"/>
            </w:tcBorders>
            <w:vAlign w:val="center"/>
          </w:tcPr>
          <w:p>
            <w:pPr>
              <w:spacing w:line="360" w:lineRule="auto"/>
              <w:jc w:val="center"/>
              <w:rPr>
                <w:rFonts w:ascii="Calibri" w:hAnsi="Calibri" w:eastAsia="宋体" w:cs="Calibri"/>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3211" w:type="dxa"/>
            <w:gridSpan w:val="2"/>
            <w:tcBorders>
              <w:top w:val="single" w:color="auto" w:sz="6" w:space="0"/>
              <w:left w:val="double" w:color="auto" w:sz="2" w:space="0"/>
              <w:bottom w:val="double" w:color="auto" w:sz="2" w:space="0"/>
              <w:right w:val="single" w:color="auto" w:sz="6" w:space="0"/>
            </w:tcBorders>
            <w:vAlign w:val="center"/>
          </w:tcPr>
          <w:p>
            <w:pPr>
              <w:spacing w:line="360" w:lineRule="auto"/>
              <w:jc w:val="center"/>
              <w:rPr>
                <w:rFonts w:ascii="Calibri" w:hAnsi="Calibri" w:eastAsia="宋体" w:cs="Calibri"/>
                <w:szCs w:val="21"/>
              </w:rPr>
            </w:pPr>
            <w:r>
              <w:rPr>
                <w:rFonts w:hint="eastAsia" w:ascii="宋体" w:hAnsi="宋体"/>
              </w:rPr>
              <w:t>合计</w:t>
            </w:r>
          </w:p>
        </w:tc>
        <w:tc>
          <w:tcPr>
            <w:tcW w:w="774" w:type="dxa"/>
            <w:tcBorders>
              <w:top w:val="single" w:color="auto" w:sz="6" w:space="0"/>
              <w:left w:val="single" w:color="auto" w:sz="6" w:space="0"/>
              <w:bottom w:val="double" w:color="auto" w:sz="2" w:space="0"/>
              <w:right w:val="single" w:color="auto" w:sz="6" w:space="0"/>
            </w:tcBorders>
          </w:tcPr>
          <w:p>
            <w:pPr>
              <w:spacing w:line="360" w:lineRule="auto"/>
              <w:jc w:val="center"/>
              <w:rPr>
                <w:rFonts w:ascii="Calibri" w:hAnsi="Calibri" w:eastAsia="宋体" w:cs="Calibri"/>
                <w:szCs w:val="21"/>
              </w:rPr>
            </w:pPr>
          </w:p>
        </w:tc>
        <w:tc>
          <w:tcPr>
            <w:tcW w:w="1850" w:type="dxa"/>
            <w:tcBorders>
              <w:top w:val="single" w:color="auto" w:sz="6" w:space="0"/>
              <w:left w:val="single" w:color="auto" w:sz="6" w:space="0"/>
              <w:bottom w:val="double" w:color="auto" w:sz="2" w:space="0"/>
              <w:right w:val="single" w:color="auto" w:sz="6" w:space="0"/>
            </w:tcBorders>
            <w:vAlign w:val="center"/>
          </w:tcPr>
          <w:p>
            <w:pPr>
              <w:spacing w:line="360" w:lineRule="auto"/>
              <w:jc w:val="center"/>
              <w:rPr>
                <w:rFonts w:ascii="Calibri" w:hAnsi="Calibri" w:eastAsia="宋体" w:cs="Calibri"/>
                <w:szCs w:val="21"/>
              </w:rPr>
            </w:pPr>
          </w:p>
        </w:tc>
        <w:tc>
          <w:tcPr>
            <w:tcW w:w="925" w:type="dxa"/>
            <w:tcBorders>
              <w:top w:val="single" w:color="auto" w:sz="6" w:space="0"/>
              <w:left w:val="single" w:color="auto" w:sz="6" w:space="0"/>
              <w:bottom w:val="double" w:color="auto" w:sz="2" w:space="0"/>
              <w:right w:val="single" w:color="auto" w:sz="6" w:space="0"/>
            </w:tcBorders>
            <w:vAlign w:val="center"/>
          </w:tcPr>
          <w:p>
            <w:pPr>
              <w:spacing w:line="360" w:lineRule="auto"/>
              <w:jc w:val="center"/>
              <w:rPr>
                <w:rFonts w:ascii="Calibri" w:hAnsi="Calibri" w:eastAsia="宋体" w:cs="Calibri"/>
                <w:szCs w:val="21"/>
              </w:rPr>
            </w:pPr>
          </w:p>
        </w:tc>
        <w:tc>
          <w:tcPr>
            <w:tcW w:w="1644" w:type="dxa"/>
            <w:tcBorders>
              <w:top w:val="single" w:color="auto" w:sz="6" w:space="0"/>
              <w:left w:val="single" w:color="auto" w:sz="6" w:space="0"/>
              <w:bottom w:val="double" w:color="auto" w:sz="2" w:space="0"/>
              <w:right w:val="single" w:color="auto" w:sz="6" w:space="0"/>
            </w:tcBorders>
            <w:vAlign w:val="center"/>
          </w:tcPr>
          <w:p>
            <w:pPr>
              <w:spacing w:line="360" w:lineRule="auto"/>
              <w:jc w:val="center"/>
              <w:rPr>
                <w:rFonts w:ascii="Calibri" w:hAnsi="Calibri" w:eastAsia="宋体" w:cs="Calibri"/>
                <w:szCs w:val="21"/>
              </w:rPr>
            </w:pPr>
          </w:p>
        </w:tc>
        <w:tc>
          <w:tcPr>
            <w:tcW w:w="1873" w:type="dxa"/>
            <w:tcBorders>
              <w:top w:val="single" w:color="auto" w:sz="6" w:space="0"/>
              <w:left w:val="single" w:color="auto" w:sz="6" w:space="0"/>
              <w:bottom w:val="double" w:color="auto" w:sz="2" w:space="0"/>
              <w:right w:val="double" w:color="auto" w:sz="2" w:space="0"/>
            </w:tcBorders>
            <w:vAlign w:val="center"/>
          </w:tcPr>
          <w:p>
            <w:pPr>
              <w:spacing w:line="360" w:lineRule="auto"/>
              <w:jc w:val="center"/>
              <w:rPr>
                <w:rFonts w:ascii="Calibri" w:hAnsi="Calibri" w:eastAsia="宋体" w:cs="Calibri"/>
                <w:szCs w:val="21"/>
              </w:rPr>
            </w:pPr>
          </w:p>
        </w:tc>
      </w:tr>
    </w:tbl>
    <w:p>
      <w:pPr>
        <w:adjustRightInd w:val="0"/>
        <w:snapToGrid w:val="0"/>
        <w:spacing w:line="360" w:lineRule="auto"/>
        <w:rPr>
          <w:rFonts w:ascii="Calibri" w:hAnsi="宋体" w:cs="Calibri"/>
          <w:b/>
          <w:bCs/>
          <w:sz w:val="24"/>
        </w:rPr>
      </w:pPr>
      <w:r>
        <w:rPr>
          <w:rFonts w:hint="eastAsia" w:ascii="宋体" w:hAnsi="宋体"/>
          <w:b/>
          <w:bCs/>
          <w:sz w:val="24"/>
        </w:rPr>
        <w:t>注：1.本表中的各分项价格应包括招标</w:t>
      </w:r>
      <w:r>
        <w:rPr>
          <w:rFonts w:ascii="宋体" w:hAnsi="宋体"/>
          <w:b/>
          <w:bCs/>
          <w:sz w:val="24"/>
        </w:rPr>
        <w:t>文件</w:t>
      </w:r>
      <w:r>
        <w:rPr>
          <w:rFonts w:hint="eastAsia" w:ascii="宋体" w:hAnsi="宋体"/>
          <w:b/>
          <w:bCs/>
          <w:sz w:val="24"/>
        </w:rPr>
        <w:t>要求的所有服务及产品的价格（除非招标</w:t>
      </w:r>
      <w:r>
        <w:rPr>
          <w:rFonts w:ascii="宋体" w:hAnsi="宋体"/>
          <w:b/>
          <w:bCs/>
          <w:sz w:val="24"/>
        </w:rPr>
        <w:t>文件</w:t>
      </w:r>
      <w:r>
        <w:rPr>
          <w:rFonts w:hint="eastAsia" w:ascii="宋体" w:hAnsi="宋体"/>
          <w:b/>
          <w:bCs/>
          <w:sz w:val="24"/>
        </w:rPr>
        <w:t>中明确规定由投标人另行报价）；</w:t>
      </w:r>
    </w:p>
    <w:p>
      <w:pPr>
        <w:adjustRightInd w:val="0"/>
        <w:snapToGrid w:val="0"/>
        <w:spacing w:line="360" w:lineRule="auto"/>
        <w:ind w:firstLine="420"/>
        <w:rPr>
          <w:rFonts w:hAnsi="宋体"/>
          <w:b/>
          <w:bCs/>
          <w:sz w:val="24"/>
        </w:rPr>
      </w:pPr>
      <w:r>
        <w:rPr>
          <w:rFonts w:hint="eastAsia" w:ascii="宋体" w:hAnsi="宋体"/>
          <w:b/>
          <w:bCs/>
          <w:sz w:val="24"/>
        </w:rPr>
        <w:t>2.投标报价除上表中列明的税价款项外，招标人无须再额外支付其他涉税款项；</w:t>
      </w:r>
    </w:p>
    <w:p>
      <w:pPr>
        <w:adjustRightInd w:val="0"/>
        <w:snapToGrid w:val="0"/>
        <w:spacing w:line="360" w:lineRule="auto"/>
        <w:ind w:firstLine="420"/>
        <w:rPr>
          <w:rFonts w:hAnsi="宋体"/>
          <w:b/>
          <w:bCs/>
          <w:sz w:val="24"/>
        </w:rPr>
      </w:pPr>
      <w:r>
        <w:rPr>
          <w:rFonts w:hint="eastAsia" w:ascii="宋体" w:hAnsi="宋体"/>
          <w:b/>
          <w:bCs/>
          <w:sz w:val="24"/>
        </w:rPr>
        <w:t>3.本表中合计不含税价格、合计税费应与开标一览表中一致；</w:t>
      </w:r>
    </w:p>
    <w:p>
      <w:pPr>
        <w:adjustRightInd w:val="0"/>
        <w:snapToGrid w:val="0"/>
        <w:spacing w:line="360" w:lineRule="auto"/>
        <w:ind w:firstLine="420"/>
        <w:rPr>
          <w:rFonts w:ascii="宋体" w:hAnsi="宋体"/>
          <w:b/>
          <w:bCs/>
          <w:sz w:val="24"/>
        </w:rPr>
      </w:pPr>
      <w:r>
        <w:rPr>
          <w:rFonts w:hint="eastAsia" w:ascii="宋体" w:hAnsi="宋体"/>
          <w:b/>
          <w:bCs/>
          <w:sz w:val="24"/>
        </w:rPr>
        <w:t>4.招标文件要求报价而投标人在本表中未予报价的项目，将视作由投标人免费提供或已包含在其他分项价格中；</w:t>
      </w:r>
    </w:p>
    <w:p>
      <w:pPr>
        <w:adjustRightInd w:val="0"/>
        <w:snapToGrid w:val="0"/>
        <w:spacing w:line="360" w:lineRule="auto"/>
        <w:ind w:firstLine="420"/>
        <w:rPr>
          <w:rFonts w:ascii="宋体" w:hAnsi="宋体"/>
          <w:b/>
          <w:bCs/>
          <w:sz w:val="24"/>
        </w:rPr>
      </w:pPr>
      <w:r>
        <w:rPr>
          <w:rFonts w:hint="eastAsia" w:ascii="宋体" w:hAnsi="宋体"/>
          <w:b/>
          <w:bCs/>
          <w:sz w:val="24"/>
        </w:rPr>
        <w:t>5.补充说明：分项报价表至少还要包括聘请第三方专业公司对机房进行测试和评级的费用。</w:t>
      </w:r>
    </w:p>
    <w:p>
      <w:pPr>
        <w:adjustRightInd w:val="0"/>
        <w:snapToGrid w:val="0"/>
        <w:spacing w:line="360" w:lineRule="auto"/>
        <w:ind w:firstLine="420"/>
        <w:rPr>
          <w:rFonts w:ascii="Calibri" w:hAnsi="宋体"/>
          <w:b/>
          <w:bCs/>
          <w:sz w:val="24"/>
        </w:rPr>
      </w:pPr>
      <w:r>
        <w:rPr>
          <w:rFonts w:hint="eastAsia" w:ascii="宋体" w:hAnsi="宋体"/>
          <w:b/>
          <w:bCs/>
          <w:sz w:val="24"/>
        </w:rPr>
        <w:t>6.本表中相关项目类型可自行调整。</w:t>
      </w:r>
    </w:p>
    <w:p>
      <w:pPr>
        <w:adjustRightInd w:val="0"/>
        <w:snapToGrid w:val="0"/>
        <w:spacing w:line="360" w:lineRule="auto"/>
        <w:rPr>
          <w:rFonts w:hAnsi="Calibri"/>
          <w:sz w:val="24"/>
        </w:rPr>
      </w:pPr>
      <w:r>
        <w:rPr>
          <w:rFonts w:ascii="宋体" w:hAnsi="宋体"/>
          <w:sz w:val="24"/>
        </w:rPr>
        <w:t>投标人授权代表签字：</w:t>
      </w:r>
    </w:p>
    <w:p>
      <w:pPr>
        <w:adjustRightInd w:val="0"/>
        <w:snapToGrid w:val="0"/>
        <w:spacing w:line="360" w:lineRule="auto"/>
        <w:rPr>
          <w:sz w:val="24"/>
        </w:rPr>
      </w:pPr>
      <w:r>
        <w:rPr>
          <w:rFonts w:ascii="宋体" w:hAnsi="宋体"/>
          <w:sz w:val="24"/>
        </w:rPr>
        <w:t>投标人盖章：</w:t>
      </w:r>
    </w:p>
    <w:p>
      <w:pPr>
        <w:adjustRightInd w:val="0"/>
        <w:snapToGrid w:val="0"/>
        <w:spacing w:line="360" w:lineRule="auto"/>
        <w:ind w:firstLine="420"/>
        <w:rPr>
          <w:rFonts w:hAnsi="宋体"/>
          <w:b/>
          <w:bCs/>
          <w:sz w:val="24"/>
        </w:rPr>
      </w:pPr>
      <w:r>
        <w:rPr>
          <w:rFonts w:hint="eastAsia" w:ascii="宋体" w:hAnsi="宋体"/>
          <w:sz w:val="24"/>
        </w:rPr>
        <w:t>日期：2020年  月  日</w:t>
      </w:r>
      <w:r>
        <w:rPr>
          <w:rFonts w:hAnsi="宋体"/>
          <w:sz w:val="24"/>
        </w:rPr>
        <w:br w:type="page"/>
      </w:r>
    </w:p>
    <w:p>
      <w:pPr>
        <w:pStyle w:val="5"/>
        <w:spacing w:before="165" w:after="165"/>
        <w:jc w:val="center"/>
        <w:rPr>
          <w:rFonts w:ascii="Times New Roman" w:hAnsi="宋体" w:eastAsia="宋体" w:cs="Times New Roman"/>
          <w:b w:val="0"/>
          <w:bCs/>
          <w:sz w:val="24"/>
        </w:rPr>
      </w:pPr>
      <w:r>
        <w:rPr>
          <w:rFonts w:hint="eastAsia" w:ascii="宋体" w:hAnsi="宋体" w:eastAsia="宋体"/>
          <w:b w:val="0"/>
          <w:bCs/>
        </w:rPr>
        <w:t>格式</w:t>
      </w:r>
      <w:r>
        <w:rPr>
          <w:rFonts w:hint="eastAsia" w:ascii="Times New Roman" w:hAnsi="宋体" w:eastAsia="宋体"/>
          <w:b w:val="0"/>
          <w:bCs/>
        </w:rPr>
        <w:t>5</w:t>
      </w:r>
      <w:r>
        <w:rPr>
          <w:rFonts w:ascii="Times New Roman" w:hAnsi="宋体" w:eastAsia="宋体" w:cs="Times New Roman"/>
          <w:b w:val="0"/>
          <w:bCs/>
        </w:rPr>
        <w:t>.</w:t>
      </w:r>
      <w:r>
        <w:rPr>
          <w:rFonts w:hint="eastAsia" w:ascii="宋体" w:hAnsi="宋体" w:eastAsia="宋体"/>
          <w:b w:val="0"/>
          <w:bCs/>
        </w:rPr>
        <w:t>投标保证金格式</w:t>
      </w:r>
    </w:p>
    <w:p>
      <w:pPr>
        <w:spacing w:line="360" w:lineRule="auto"/>
        <w:rPr>
          <w:rFonts w:ascii="宋体" w:hAnsi="宋体" w:eastAsia="宋体" w:cs="Calibri"/>
          <w:sz w:val="24"/>
        </w:rPr>
      </w:pPr>
      <w:r>
        <w:rPr>
          <w:rFonts w:hint="eastAsia" w:ascii="宋体" w:hAnsi="宋体"/>
          <w:kern w:val="0"/>
          <w:sz w:val="24"/>
        </w:rPr>
        <w:t>附电汇底单复印件加盖投标人公章。</w:t>
      </w:r>
    </w:p>
    <w:p>
      <w:pPr>
        <w:spacing w:line="360" w:lineRule="auto"/>
        <w:rPr>
          <w:kern w:val="0"/>
        </w:rPr>
      </w:pPr>
    </w:p>
    <w:p>
      <w:pPr>
        <w:spacing w:line="360" w:lineRule="auto"/>
        <w:rPr>
          <w:kern w:val="0"/>
        </w:rPr>
      </w:pPr>
    </w:p>
    <w:p>
      <w:pPr>
        <w:spacing w:line="360" w:lineRule="auto"/>
        <w:rPr>
          <w:kern w:val="0"/>
        </w:rPr>
      </w:pPr>
    </w:p>
    <w:p>
      <w:pPr>
        <w:spacing w:line="360" w:lineRule="auto"/>
        <w:rPr>
          <w:kern w:val="0"/>
        </w:rPr>
      </w:pPr>
      <w:r>
        <w:rPr>
          <w:kern w:val="0"/>
        </w:rPr>
        <w:t xml:space="preserve"> </w:t>
      </w:r>
    </w:p>
    <w:p>
      <w:pPr>
        <w:spacing w:line="360" w:lineRule="auto"/>
        <w:rPr>
          <w:kern w:val="0"/>
        </w:rPr>
      </w:pPr>
      <w:r>
        <w:rPr>
          <w:kern w:val="0"/>
        </w:rPr>
        <w:t xml:space="preserve"> </w:t>
      </w:r>
    </w:p>
    <w:p>
      <w:pPr>
        <w:spacing w:line="360" w:lineRule="auto"/>
        <w:rPr>
          <w:kern w:val="0"/>
        </w:rPr>
      </w:pPr>
      <w:r>
        <w:rPr>
          <w:kern w:val="0"/>
        </w:rPr>
        <w:t xml:space="preserve"> </w:t>
      </w:r>
    </w:p>
    <w:p>
      <w:pPr>
        <w:spacing w:line="360" w:lineRule="auto"/>
        <w:rPr>
          <w:kern w:val="0"/>
        </w:rPr>
      </w:pPr>
      <w:r>
        <w:rPr>
          <w:kern w:val="0"/>
        </w:rPr>
        <w:t xml:space="preserve"> </w:t>
      </w:r>
    </w:p>
    <w:p>
      <w:pPr>
        <w:spacing w:line="360" w:lineRule="auto"/>
        <w:rPr>
          <w:kern w:val="0"/>
        </w:rPr>
      </w:pPr>
      <w:r>
        <w:rPr>
          <w:kern w:val="0"/>
        </w:rPr>
        <w:t xml:space="preserve"> </w:t>
      </w:r>
    </w:p>
    <w:p>
      <w:pPr>
        <w:spacing w:line="360" w:lineRule="auto"/>
        <w:rPr>
          <w:kern w:val="0"/>
        </w:rPr>
      </w:pPr>
      <w:r>
        <w:rPr>
          <w:kern w:val="0"/>
        </w:rPr>
        <w:t xml:space="preserve"> </w:t>
      </w:r>
    </w:p>
    <w:p>
      <w:pPr>
        <w:spacing w:line="360" w:lineRule="auto"/>
      </w:pPr>
      <w:r>
        <w:rPr>
          <w:rFonts w:hint="eastAsia" w:ascii="宋体" w:hAnsi="宋体"/>
        </w:rPr>
        <w:t>--------------------------------------------------------------------------------------------</w:t>
      </w:r>
    </w:p>
    <w:p>
      <w:pPr>
        <w:spacing w:line="360" w:lineRule="auto"/>
        <w:jc w:val="center"/>
        <w:rPr>
          <w:b/>
          <w:bCs/>
        </w:rPr>
      </w:pPr>
      <w:r>
        <w:rPr>
          <w:rFonts w:hint="eastAsia" w:ascii="宋体" w:hAnsi="宋体"/>
          <w:b/>
          <w:bCs/>
        </w:rPr>
        <w:t>保证金退还信息回执</w:t>
      </w:r>
    </w:p>
    <w:p>
      <w:pPr>
        <w:spacing w:line="360" w:lineRule="auto"/>
      </w:pPr>
      <w:r>
        <w:rPr>
          <w:rFonts w:hint="eastAsia" w:ascii="宋体" w:hAnsi="宋体"/>
        </w:rPr>
        <w:t>投标人名称（盖公章）：</w:t>
      </w:r>
    </w:p>
    <w:p>
      <w:pPr>
        <w:spacing w:line="360" w:lineRule="auto"/>
      </w:pPr>
      <w:r>
        <w:rPr>
          <w:rFonts w:hint="eastAsia" w:ascii="宋体" w:hAnsi="宋体"/>
        </w:rPr>
        <w:t>开户行：                                   联系人：</w:t>
      </w:r>
    </w:p>
    <w:p>
      <w:pPr>
        <w:spacing w:line="360" w:lineRule="auto"/>
      </w:pPr>
      <w:r>
        <w:rPr>
          <w:rFonts w:hint="eastAsia" w:ascii="宋体" w:hAnsi="宋体"/>
        </w:rPr>
        <w:t>帐号：                                     联系电话：</w:t>
      </w:r>
    </w:p>
    <w:p>
      <w:pPr>
        <w:spacing w:line="360" w:lineRule="auto"/>
      </w:pPr>
      <w:r>
        <w:rPr>
          <w:rFonts w:hint="eastAsia" w:ascii="宋体" w:hAnsi="宋体"/>
        </w:rPr>
        <w:t>汇款金额：                                 金额大写：</w:t>
      </w:r>
    </w:p>
    <w:p>
      <w:pPr>
        <w:spacing w:line="360" w:lineRule="auto"/>
      </w:pPr>
      <w:r>
        <w:rPr>
          <w:rFonts w:hint="eastAsia" w:ascii="宋体" w:hAnsi="宋体"/>
          <w:b/>
          <w:bCs/>
        </w:rPr>
        <w:t>其中：保证金利息：</w:t>
      </w:r>
      <w:r>
        <w:rPr>
          <w:rFonts w:hint="eastAsia" w:ascii="宋体" w:hAnsi="宋体"/>
          <w:b/>
          <w:bCs/>
          <w:u w:val="single"/>
        </w:rPr>
        <w:t xml:space="preserve">    </w:t>
      </w:r>
      <w:r>
        <w:rPr>
          <w:rFonts w:hint="eastAsia" w:ascii="宋体" w:hAnsi="宋体"/>
        </w:rPr>
        <w:t>（利息计算起止日期为保证金到账日至中标通知书发出之日），利率为银行同期活期存款利率。（若需要利息需开具利息金额的地税资金占用发票；若不需要，请填写“放弃”。）</w:t>
      </w:r>
    </w:p>
    <w:p>
      <w:pPr>
        <w:adjustRightInd w:val="0"/>
        <w:snapToGrid w:val="0"/>
        <w:spacing w:line="360" w:lineRule="auto"/>
        <w:ind w:firstLine="525" w:firstLineChars="250"/>
        <w:rPr>
          <w:sz w:val="24"/>
        </w:rPr>
      </w:pPr>
      <w:r>
        <w:rPr>
          <w:rFonts w:ascii="宋体" w:hAnsi="宋体"/>
        </w:rPr>
        <w:t>注：</w:t>
      </w:r>
      <w:r>
        <w:rPr>
          <w:rFonts w:hint="eastAsia" w:ascii="宋体" w:hAnsi="宋体"/>
        </w:rPr>
        <w:t>若不能提供资金占用发票，利息无法退还。</w:t>
      </w:r>
      <w:r>
        <w:rPr>
          <w:sz w:val="24"/>
        </w:rPr>
        <w:br w:type="page"/>
      </w:r>
    </w:p>
    <w:p>
      <w:pPr>
        <w:pStyle w:val="5"/>
        <w:spacing w:before="165" w:after="165"/>
        <w:jc w:val="center"/>
        <w:rPr>
          <w:rFonts w:ascii="Times New Roman" w:hAnsi="宋体" w:eastAsia="宋体" w:cs="Times New Roman"/>
          <w:bCs/>
          <w:sz w:val="24"/>
        </w:rPr>
      </w:pPr>
      <w:r>
        <w:rPr>
          <w:rFonts w:hint="eastAsia" w:ascii="宋体" w:hAnsi="宋体" w:eastAsia="宋体"/>
          <w:b w:val="0"/>
          <w:bCs/>
        </w:rPr>
        <w:t>格式</w:t>
      </w:r>
      <w:r>
        <w:rPr>
          <w:rFonts w:hint="eastAsia" w:ascii="Times New Roman" w:hAnsi="宋体" w:eastAsia="宋体"/>
          <w:b w:val="0"/>
          <w:bCs/>
        </w:rPr>
        <w:t>6</w:t>
      </w:r>
      <w:r>
        <w:rPr>
          <w:rFonts w:ascii="Times New Roman" w:hAnsi="宋体" w:eastAsia="宋体" w:cs="Times New Roman"/>
          <w:b w:val="0"/>
          <w:bCs/>
        </w:rPr>
        <w:t>.</w:t>
      </w:r>
      <w:r>
        <w:rPr>
          <w:rFonts w:hint="eastAsia" w:ascii="宋体" w:hAnsi="宋体" w:eastAsia="宋体"/>
          <w:b w:val="0"/>
          <w:bCs/>
        </w:rPr>
        <w:t>投标文件应答索引表格式</w:t>
      </w:r>
    </w:p>
    <w:p>
      <w:pPr>
        <w:adjustRightInd w:val="0"/>
        <w:snapToGrid w:val="0"/>
        <w:spacing w:line="360" w:lineRule="auto"/>
        <w:jc w:val="center"/>
        <w:rPr>
          <w:rFonts w:ascii="Calibri" w:hAnsi="宋体" w:eastAsia="宋体" w:cs="Calibri"/>
          <w:b/>
          <w:bCs/>
          <w:sz w:val="24"/>
        </w:rPr>
      </w:pPr>
      <w:r>
        <w:rPr>
          <w:rFonts w:hint="eastAsia" w:ascii="宋体" w:hAnsi="宋体"/>
          <w:b/>
          <w:bCs/>
          <w:sz w:val="24"/>
        </w:rPr>
        <w:t>投标文件应答索引表</w:t>
      </w:r>
    </w:p>
    <w:p>
      <w:pPr>
        <w:spacing w:line="360" w:lineRule="auto"/>
        <w:rPr>
          <w:rFonts w:hAnsi="Calibri"/>
          <w:sz w:val="24"/>
          <w:u w:val="single"/>
        </w:rPr>
      </w:pPr>
      <w:r>
        <w:rPr>
          <w:sz w:val="24"/>
          <w:u w:val="single"/>
        </w:rPr>
        <w:t xml:space="preserve"> </w:t>
      </w:r>
    </w:p>
    <w:tbl>
      <w:tblPr>
        <w:tblStyle w:val="24"/>
        <w:tblW w:w="0" w:type="auto"/>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652"/>
        <w:gridCol w:w="2435"/>
        <w:gridCol w:w="3046"/>
        <w:gridCol w:w="134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022" w:hRule="atLeast"/>
        </w:trPr>
        <w:tc>
          <w:tcPr>
            <w:tcW w:w="1652" w:type="dxa"/>
            <w:tcBorders>
              <w:top w:val="double" w:color="auto" w:sz="2" w:space="0"/>
              <w:left w:val="double" w:color="auto" w:sz="2" w:space="0"/>
              <w:bottom w:val="single" w:color="auto" w:sz="6" w:space="0"/>
              <w:right w:val="single" w:color="auto" w:sz="6" w:space="0"/>
            </w:tcBorders>
            <w:vAlign w:val="center"/>
          </w:tcPr>
          <w:p>
            <w:pPr>
              <w:spacing w:line="360" w:lineRule="auto"/>
              <w:jc w:val="center"/>
              <w:rPr>
                <w:rFonts w:ascii="Calibri" w:hAnsi="Calibri" w:eastAsia="宋体" w:cs="Calibri"/>
                <w:kern w:val="0"/>
                <w:szCs w:val="21"/>
              </w:rPr>
            </w:pPr>
            <w:r>
              <w:rPr>
                <w:rFonts w:hint="eastAsia" w:ascii="宋体" w:hAnsi="宋体"/>
                <w:kern w:val="0"/>
              </w:rPr>
              <w:t>项目</w:t>
            </w:r>
          </w:p>
        </w:tc>
        <w:tc>
          <w:tcPr>
            <w:tcW w:w="2435" w:type="dxa"/>
            <w:tcBorders>
              <w:top w:val="double" w:color="auto" w:sz="2"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kern w:val="0"/>
                <w:szCs w:val="21"/>
              </w:rPr>
            </w:pPr>
            <w:r>
              <w:rPr>
                <w:rFonts w:hint="eastAsia" w:ascii="宋体" w:hAnsi="宋体"/>
                <w:kern w:val="0"/>
              </w:rPr>
              <w:t>细项</w:t>
            </w:r>
          </w:p>
        </w:tc>
        <w:tc>
          <w:tcPr>
            <w:tcW w:w="3046" w:type="dxa"/>
            <w:tcBorders>
              <w:top w:val="double" w:color="auto" w:sz="2" w:space="0"/>
              <w:left w:val="single" w:color="auto" w:sz="6" w:space="0"/>
              <w:bottom w:val="single" w:color="auto" w:sz="6" w:space="0"/>
              <w:right w:val="single" w:color="auto" w:sz="6" w:space="0"/>
            </w:tcBorders>
            <w:vAlign w:val="center"/>
          </w:tcPr>
          <w:p>
            <w:pPr>
              <w:spacing w:line="360" w:lineRule="auto"/>
              <w:jc w:val="center"/>
              <w:rPr>
                <w:rFonts w:ascii="Calibri" w:hAnsi="Calibri" w:eastAsia="宋体" w:cs="Calibri"/>
                <w:kern w:val="0"/>
                <w:szCs w:val="21"/>
              </w:rPr>
            </w:pPr>
            <w:r>
              <w:rPr>
                <w:rFonts w:hint="eastAsia" w:ascii="宋体" w:hAnsi="宋体"/>
                <w:kern w:val="0"/>
              </w:rPr>
              <w:t>响应情况（简要）</w:t>
            </w:r>
          </w:p>
        </w:tc>
        <w:tc>
          <w:tcPr>
            <w:tcW w:w="1346" w:type="dxa"/>
            <w:tcBorders>
              <w:top w:val="double" w:color="auto" w:sz="2" w:space="0"/>
              <w:left w:val="single" w:color="auto" w:sz="6" w:space="0"/>
              <w:bottom w:val="single" w:color="auto" w:sz="6" w:space="0"/>
              <w:right w:val="double" w:color="auto" w:sz="2" w:space="0"/>
            </w:tcBorders>
            <w:vAlign w:val="center"/>
          </w:tcPr>
          <w:p>
            <w:pPr>
              <w:spacing w:line="360" w:lineRule="auto"/>
              <w:rPr>
                <w:rFonts w:ascii="Calibri" w:hAnsi="Calibri" w:eastAsia="宋体" w:cs="Calibri"/>
                <w:kern w:val="0"/>
                <w:szCs w:val="21"/>
              </w:rPr>
            </w:pPr>
            <w:r>
              <w:rPr>
                <w:rFonts w:hint="eastAsia" w:ascii="宋体" w:hAnsi="宋体"/>
                <w:kern w:val="0"/>
              </w:rPr>
              <w:t>对应页码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59" w:hRule="atLeast"/>
        </w:trPr>
        <w:tc>
          <w:tcPr>
            <w:tcW w:w="1652" w:type="dxa"/>
            <w:tcBorders>
              <w:top w:val="single" w:color="auto" w:sz="6" w:space="0"/>
              <w:left w:val="double" w:color="auto" w:sz="2" w:space="0"/>
              <w:bottom w:val="single" w:color="auto" w:sz="6" w:space="0"/>
              <w:right w:val="single" w:color="auto" w:sz="6" w:space="0"/>
            </w:tcBorders>
            <w:vAlign w:val="center"/>
          </w:tcPr>
          <w:p>
            <w:pPr>
              <w:spacing w:line="360" w:lineRule="auto"/>
              <w:jc w:val="center"/>
              <w:rPr>
                <w:rFonts w:ascii="Calibri" w:hAnsi="Calibri" w:eastAsia="楷体_GB2312" w:cs="宋体"/>
                <w:szCs w:val="21"/>
              </w:rPr>
            </w:pPr>
            <w:r>
              <w:rPr>
                <w:rFonts w:hint="eastAsia" w:ascii="宋体" w:hAnsi="宋体"/>
              </w:rPr>
              <w:t>综合实力</w:t>
            </w:r>
          </w:p>
        </w:tc>
        <w:tc>
          <w:tcPr>
            <w:tcW w:w="2435" w:type="dxa"/>
            <w:tcBorders>
              <w:top w:val="single" w:color="auto" w:sz="6" w:space="0"/>
              <w:left w:val="single" w:color="auto" w:sz="6" w:space="0"/>
              <w:bottom w:val="single" w:color="auto" w:sz="4" w:space="0"/>
              <w:right w:val="single" w:color="auto" w:sz="6" w:space="0"/>
            </w:tcBorders>
          </w:tcPr>
          <w:p>
            <w:pPr>
              <w:spacing w:line="360" w:lineRule="auto"/>
              <w:jc w:val="center"/>
              <w:rPr>
                <w:rFonts w:ascii="Calibri" w:hAnsi="Calibri" w:eastAsia="宋体" w:cs="Calibri"/>
                <w:kern w:val="0"/>
                <w:szCs w:val="21"/>
              </w:rPr>
            </w:pPr>
          </w:p>
        </w:tc>
        <w:tc>
          <w:tcPr>
            <w:tcW w:w="3046"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Calibri" w:hAnsi="Calibri" w:eastAsia="宋体" w:cs="Calibri"/>
                <w:kern w:val="0"/>
                <w:szCs w:val="21"/>
              </w:rPr>
            </w:pPr>
          </w:p>
        </w:tc>
        <w:tc>
          <w:tcPr>
            <w:tcW w:w="1346" w:type="dxa"/>
            <w:tcBorders>
              <w:top w:val="single" w:color="auto" w:sz="6" w:space="0"/>
              <w:left w:val="single" w:color="auto" w:sz="6" w:space="0"/>
              <w:bottom w:val="single" w:color="auto" w:sz="4" w:space="0"/>
              <w:right w:val="double" w:color="auto" w:sz="2" w:space="0"/>
            </w:tcBorders>
            <w:vAlign w:val="center"/>
          </w:tcPr>
          <w:p>
            <w:pPr>
              <w:spacing w:line="360" w:lineRule="auto"/>
              <w:rPr>
                <w:rFonts w:ascii="Calibri" w:hAnsi="Calibri" w:eastAsia="宋体" w:cs="Calibri"/>
                <w:kern w:val="0"/>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59" w:hRule="atLeast"/>
        </w:trPr>
        <w:tc>
          <w:tcPr>
            <w:tcW w:w="1652" w:type="dxa"/>
            <w:tcBorders>
              <w:top w:val="single" w:color="auto" w:sz="6" w:space="0"/>
              <w:left w:val="double" w:color="auto" w:sz="2" w:space="0"/>
              <w:bottom w:val="single" w:color="auto" w:sz="6" w:space="0"/>
              <w:right w:val="single" w:color="auto" w:sz="6" w:space="0"/>
            </w:tcBorders>
            <w:vAlign w:val="center"/>
          </w:tcPr>
          <w:p>
            <w:pPr>
              <w:spacing w:line="360" w:lineRule="auto"/>
              <w:jc w:val="center"/>
              <w:rPr>
                <w:rFonts w:ascii="Calibri" w:hAnsi="Calibri" w:eastAsia="宋体" w:cs="Calibri"/>
                <w:szCs w:val="21"/>
              </w:rPr>
            </w:pPr>
            <w:r>
              <w:rPr>
                <w:rFonts w:hint="eastAsia" w:ascii="宋体" w:hAnsi="宋体"/>
              </w:rPr>
              <w:t>资质</w:t>
            </w:r>
            <w:r>
              <w:t>能力</w:t>
            </w:r>
          </w:p>
        </w:tc>
        <w:tc>
          <w:tcPr>
            <w:tcW w:w="2435" w:type="dxa"/>
            <w:tcBorders>
              <w:top w:val="single" w:color="auto" w:sz="6" w:space="0"/>
              <w:left w:val="single" w:color="auto" w:sz="6" w:space="0"/>
              <w:bottom w:val="single" w:color="auto" w:sz="4" w:space="0"/>
              <w:right w:val="single" w:color="auto" w:sz="6" w:space="0"/>
            </w:tcBorders>
          </w:tcPr>
          <w:p>
            <w:pPr>
              <w:spacing w:line="360" w:lineRule="auto"/>
              <w:jc w:val="center"/>
              <w:rPr>
                <w:rFonts w:ascii="Calibri" w:hAnsi="Calibri" w:eastAsia="宋体" w:cs="Calibri"/>
                <w:kern w:val="0"/>
                <w:szCs w:val="21"/>
              </w:rPr>
            </w:pPr>
          </w:p>
        </w:tc>
        <w:tc>
          <w:tcPr>
            <w:tcW w:w="3046"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Calibri" w:hAnsi="Calibri" w:eastAsia="宋体" w:cs="Calibri"/>
                <w:kern w:val="0"/>
                <w:szCs w:val="21"/>
              </w:rPr>
            </w:pPr>
          </w:p>
        </w:tc>
        <w:tc>
          <w:tcPr>
            <w:tcW w:w="1346" w:type="dxa"/>
            <w:tcBorders>
              <w:top w:val="single" w:color="auto" w:sz="6" w:space="0"/>
              <w:left w:val="single" w:color="auto" w:sz="6" w:space="0"/>
              <w:bottom w:val="single" w:color="auto" w:sz="4" w:space="0"/>
              <w:right w:val="double" w:color="auto" w:sz="2" w:space="0"/>
            </w:tcBorders>
            <w:vAlign w:val="center"/>
          </w:tcPr>
          <w:p>
            <w:pPr>
              <w:spacing w:line="360" w:lineRule="auto"/>
              <w:rPr>
                <w:rFonts w:ascii="Calibri" w:hAnsi="Calibri" w:eastAsia="宋体" w:cs="Calibri"/>
                <w:kern w:val="0"/>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59" w:hRule="atLeast"/>
        </w:trPr>
        <w:tc>
          <w:tcPr>
            <w:tcW w:w="1652" w:type="dxa"/>
            <w:tcBorders>
              <w:top w:val="single" w:color="auto" w:sz="6" w:space="0"/>
              <w:left w:val="double" w:color="auto" w:sz="2" w:space="0"/>
              <w:bottom w:val="single" w:color="auto" w:sz="6" w:space="0"/>
              <w:right w:val="single" w:color="auto" w:sz="6" w:space="0"/>
            </w:tcBorders>
            <w:vAlign w:val="center"/>
          </w:tcPr>
          <w:p>
            <w:pPr>
              <w:spacing w:line="360" w:lineRule="auto"/>
              <w:jc w:val="center"/>
              <w:rPr>
                <w:rFonts w:ascii="Calibri" w:hAnsi="Calibri" w:eastAsia="宋体" w:cs="Calibri"/>
                <w:szCs w:val="21"/>
              </w:rPr>
            </w:pPr>
            <w:r>
              <w:rPr>
                <w:rFonts w:hint="eastAsia" w:ascii="宋体" w:hAnsi="宋体"/>
              </w:rPr>
              <w:t>类似项目</w:t>
            </w:r>
            <w:r>
              <w:t>业绩</w:t>
            </w:r>
          </w:p>
        </w:tc>
        <w:tc>
          <w:tcPr>
            <w:tcW w:w="2435" w:type="dxa"/>
            <w:tcBorders>
              <w:top w:val="single" w:color="auto" w:sz="6" w:space="0"/>
              <w:left w:val="single" w:color="auto" w:sz="6" w:space="0"/>
              <w:bottom w:val="single" w:color="auto" w:sz="4" w:space="0"/>
              <w:right w:val="single" w:color="auto" w:sz="6" w:space="0"/>
            </w:tcBorders>
          </w:tcPr>
          <w:p>
            <w:pPr>
              <w:spacing w:line="360" w:lineRule="auto"/>
              <w:jc w:val="center"/>
              <w:rPr>
                <w:rFonts w:ascii="Calibri" w:hAnsi="Calibri" w:eastAsia="宋体" w:cs="Calibri"/>
                <w:kern w:val="0"/>
                <w:szCs w:val="21"/>
              </w:rPr>
            </w:pPr>
          </w:p>
        </w:tc>
        <w:tc>
          <w:tcPr>
            <w:tcW w:w="3046"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Calibri" w:hAnsi="Calibri" w:eastAsia="宋体" w:cs="Calibri"/>
                <w:kern w:val="0"/>
                <w:szCs w:val="21"/>
              </w:rPr>
            </w:pPr>
          </w:p>
        </w:tc>
        <w:tc>
          <w:tcPr>
            <w:tcW w:w="1346" w:type="dxa"/>
            <w:tcBorders>
              <w:top w:val="single" w:color="auto" w:sz="6" w:space="0"/>
              <w:left w:val="single" w:color="auto" w:sz="6" w:space="0"/>
              <w:bottom w:val="single" w:color="auto" w:sz="4" w:space="0"/>
              <w:right w:val="double" w:color="auto" w:sz="2" w:space="0"/>
            </w:tcBorders>
            <w:vAlign w:val="center"/>
          </w:tcPr>
          <w:p>
            <w:pPr>
              <w:spacing w:line="360" w:lineRule="auto"/>
              <w:rPr>
                <w:rFonts w:ascii="Calibri" w:hAnsi="Calibri" w:eastAsia="宋体" w:cs="Calibri"/>
                <w:kern w:val="0"/>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59" w:hRule="atLeast"/>
        </w:trPr>
        <w:tc>
          <w:tcPr>
            <w:tcW w:w="1652" w:type="dxa"/>
            <w:tcBorders>
              <w:top w:val="single" w:color="auto" w:sz="6" w:space="0"/>
              <w:left w:val="double" w:color="auto" w:sz="2" w:space="0"/>
              <w:bottom w:val="single" w:color="auto" w:sz="6" w:space="0"/>
              <w:right w:val="single" w:color="auto" w:sz="6" w:space="0"/>
            </w:tcBorders>
            <w:vAlign w:val="center"/>
          </w:tcPr>
          <w:p>
            <w:pPr>
              <w:spacing w:line="360" w:lineRule="auto"/>
              <w:jc w:val="center"/>
              <w:rPr>
                <w:rFonts w:ascii="Calibri" w:hAnsi="Calibri" w:eastAsia="宋体" w:cs="Calibri"/>
                <w:szCs w:val="21"/>
              </w:rPr>
            </w:pPr>
            <w:r>
              <w:rPr>
                <w:rFonts w:hint="eastAsia" w:ascii="宋体" w:hAnsi="宋体"/>
              </w:rPr>
              <w:t>产品</w:t>
            </w:r>
            <w:r>
              <w:t>技术指标</w:t>
            </w:r>
          </w:p>
        </w:tc>
        <w:tc>
          <w:tcPr>
            <w:tcW w:w="2435" w:type="dxa"/>
            <w:tcBorders>
              <w:top w:val="single" w:color="auto" w:sz="6" w:space="0"/>
              <w:left w:val="single" w:color="auto" w:sz="6" w:space="0"/>
              <w:bottom w:val="single" w:color="auto" w:sz="4" w:space="0"/>
              <w:right w:val="single" w:color="auto" w:sz="6" w:space="0"/>
            </w:tcBorders>
          </w:tcPr>
          <w:p>
            <w:pPr>
              <w:spacing w:line="360" w:lineRule="auto"/>
              <w:jc w:val="center"/>
              <w:rPr>
                <w:rFonts w:ascii="Calibri" w:hAnsi="Calibri" w:eastAsia="宋体" w:cs="Calibri"/>
                <w:kern w:val="0"/>
                <w:szCs w:val="21"/>
              </w:rPr>
            </w:pPr>
          </w:p>
        </w:tc>
        <w:tc>
          <w:tcPr>
            <w:tcW w:w="3046"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Calibri" w:hAnsi="Calibri" w:eastAsia="宋体" w:cs="Calibri"/>
                <w:kern w:val="0"/>
                <w:szCs w:val="21"/>
              </w:rPr>
            </w:pPr>
          </w:p>
        </w:tc>
        <w:tc>
          <w:tcPr>
            <w:tcW w:w="1346" w:type="dxa"/>
            <w:tcBorders>
              <w:top w:val="single" w:color="auto" w:sz="6" w:space="0"/>
              <w:left w:val="single" w:color="auto" w:sz="6" w:space="0"/>
              <w:bottom w:val="single" w:color="auto" w:sz="4" w:space="0"/>
              <w:right w:val="double" w:color="auto" w:sz="2" w:space="0"/>
            </w:tcBorders>
            <w:vAlign w:val="center"/>
          </w:tcPr>
          <w:p>
            <w:pPr>
              <w:spacing w:line="360" w:lineRule="auto"/>
              <w:rPr>
                <w:rFonts w:ascii="Calibri" w:hAnsi="Calibri" w:eastAsia="宋体" w:cs="Calibri"/>
                <w:kern w:val="0"/>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59" w:hRule="atLeast"/>
        </w:trPr>
        <w:tc>
          <w:tcPr>
            <w:tcW w:w="1652" w:type="dxa"/>
            <w:tcBorders>
              <w:top w:val="single" w:color="auto" w:sz="6" w:space="0"/>
              <w:left w:val="double" w:color="auto" w:sz="2" w:space="0"/>
              <w:bottom w:val="single" w:color="auto" w:sz="6" w:space="0"/>
              <w:right w:val="single" w:color="auto" w:sz="6" w:space="0"/>
            </w:tcBorders>
            <w:vAlign w:val="center"/>
          </w:tcPr>
          <w:p>
            <w:pPr>
              <w:spacing w:line="360" w:lineRule="auto"/>
              <w:jc w:val="center"/>
              <w:rPr>
                <w:rFonts w:ascii="Calibri" w:hAnsi="Calibri" w:eastAsia="宋体" w:cs="Calibri"/>
                <w:szCs w:val="21"/>
              </w:rPr>
            </w:pPr>
            <w:r>
              <w:rPr>
                <w:rFonts w:hint="eastAsia" w:ascii="宋体" w:hAnsi="宋体"/>
              </w:rPr>
              <w:t>组织</w:t>
            </w:r>
            <w:r>
              <w:t>能力</w:t>
            </w:r>
          </w:p>
        </w:tc>
        <w:tc>
          <w:tcPr>
            <w:tcW w:w="2435" w:type="dxa"/>
            <w:tcBorders>
              <w:top w:val="single" w:color="auto" w:sz="6" w:space="0"/>
              <w:left w:val="single" w:color="auto" w:sz="6" w:space="0"/>
              <w:bottom w:val="single" w:color="auto" w:sz="4" w:space="0"/>
              <w:right w:val="single" w:color="auto" w:sz="6" w:space="0"/>
            </w:tcBorders>
          </w:tcPr>
          <w:p>
            <w:pPr>
              <w:spacing w:line="360" w:lineRule="auto"/>
              <w:jc w:val="center"/>
              <w:rPr>
                <w:rFonts w:ascii="Calibri" w:hAnsi="Calibri" w:eastAsia="宋体" w:cs="Calibri"/>
                <w:kern w:val="0"/>
                <w:szCs w:val="21"/>
              </w:rPr>
            </w:pPr>
          </w:p>
        </w:tc>
        <w:tc>
          <w:tcPr>
            <w:tcW w:w="3046"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Calibri" w:hAnsi="Calibri" w:eastAsia="宋体" w:cs="Calibri"/>
                <w:kern w:val="0"/>
                <w:szCs w:val="21"/>
              </w:rPr>
            </w:pPr>
          </w:p>
        </w:tc>
        <w:tc>
          <w:tcPr>
            <w:tcW w:w="1346" w:type="dxa"/>
            <w:tcBorders>
              <w:top w:val="single" w:color="auto" w:sz="6" w:space="0"/>
              <w:left w:val="single" w:color="auto" w:sz="6" w:space="0"/>
              <w:bottom w:val="single" w:color="auto" w:sz="4" w:space="0"/>
              <w:right w:val="double" w:color="auto" w:sz="2" w:space="0"/>
            </w:tcBorders>
            <w:vAlign w:val="center"/>
          </w:tcPr>
          <w:p>
            <w:pPr>
              <w:spacing w:line="360" w:lineRule="auto"/>
              <w:rPr>
                <w:rFonts w:ascii="Calibri" w:hAnsi="Calibri" w:eastAsia="宋体" w:cs="Calibri"/>
                <w:kern w:val="0"/>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59" w:hRule="atLeast"/>
        </w:trPr>
        <w:tc>
          <w:tcPr>
            <w:tcW w:w="1652" w:type="dxa"/>
            <w:tcBorders>
              <w:top w:val="single" w:color="auto" w:sz="6" w:space="0"/>
              <w:left w:val="double" w:color="auto" w:sz="2" w:space="0"/>
              <w:bottom w:val="single" w:color="auto" w:sz="6" w:space="0"/>
              <w:right w:val="single" w:color="auto" w:sz="6" w:space="0"/>
            </w:tcBorders>
            <w:vAlign w:val="center"/>
          </w:tcPr>
          <w:p>
            <w:pPr>
              <w:spacing w:line="360" w:lineRule="auto"/>
              <w:jc w:val="center"/>
              <w:rPr>
                <w:rFonts w:ascii="Calibri" w:hAnsi="Calibri" w:eastAsia="宋体" w:cs="Calibri"/>
                <w:szCs w:val="21"/>
              </w:rPr>
            </w:pPr>
            <w:r>
              <w:rPr>
                <w:rFonts w:hint="eastAsia" w:ascii="宋体" w:hAnsi="宋体"/>
              </w:rPr>
              <w:t>技术</w:t>
            </w:r>
            <w:r>
              <w:t>能力</w:t>
            </w:r>
          </w:p>
        </w:tc>
        <w:tc>
          <w:tcPr>
            <w:tcW w:w="2435" w:type="dxa"/>
            <w:tcBorders>
              <w:top w:val="single" w:color="auto" w:sz="6" w:space="0"/>
              <w:left w:val="single" w:color="auto" w:sz="6" w:space="0"/>
              <w:bottom w:val="single" w:color="auto" w:sz="4" w:space="0"/>
              <w:right w:val="single" w:color="auto" w:sz="6" w:space="0"/>
            </w:tcBorders>
          </w:tcPr>
          <w:p>
            <w:pPr>
              <w:spacing w:line="360" w:lineRule="auto"/>
              <w:jc w:val="center"/>
              <w:rPr>
                <w:rFonts w:ascii="Calibri" w:hAnsi="Calibri" w:eastAsia="宋体" w:cs="Calibri"/>
                <w:kern w:val="0"/>
                <w:szCs w:val="21"/>
              </w:rPr>
            </w:pPr>
          </w:p>
        </w:tc>
        <w:tc>
          <w:tcPr>
            <w:tcW w:w="3046"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Calibri" w:hAnsi="Calibri" w:eastAsia="宋体" w:cs="Calibri"/>
                <w:kern w:val="0"/>
                <w:szCs w:val="21"/>
              </w:rPr>
            </w:pPr>
          </w:p>
        </w:tc>
        <w:tc>
          <w:tcPr>
            <w:tcW w:w="1346" w:type="dxa"/>
            <w:tcBorders>
              <w:top w:val="single" w:color="auto" w:sz="6" w:space="0"/>
              <w:left w:val="single" w:color="auto" w:sz="6" w:space="0"/>
              <w:bottom w:val="single" w:color="auto" w:sz="4" w:space="0"/>
              <w:right w:val="double" w:color="auto" w:sz="2" w:space="0"/>
            </w:tcBorders>
            <w:vAlign w:val="center"/>
          </w:tcPr>
          <w:p>
            <w:pPr>
              <w:spacing w:line="360" w:lineRule="auto"/>
              <w:rPr>
                <w:rFonts w:ascii="Calibri" w:hAnsi="Calibri" w:eastAsia="宋体" w:cs="Calibri"/>
                <w:kern w:val="0"/>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59" w:hRule="atLeast"/>
        </w:trPr>
        <w:tc>
          <w:tcPr>
            <w:tcW w:w="1652" w:type="dxa"/>
            <w:tcBorders>
              <w:top w:val="single" w:color="auto" w:sz="6" w:space="0"/>
              <w:left w:val="double" w:color="auto" w:sz="2" w:space="0"/>
              <w:bottom w:val="single" w:color="auto" w:sz="6" w:space="0"/>
              <w:right w:val="single" w:color="auto" w:sz="6" w:space="0"/>
            </w:tcBorders>
            <w:vAlign w:val="center"/>
          </w:tcPr>
          <w:p>
            <w:pPr>
              <w:spacing w:line="360" w:lineRule="auto"/>
              <w:jc w:val="center"/>
              <w:rPr>
                <w:rFonts w:ascii="Calibri" w:hAnsi="Calibri" w:eastAsia="宋体" w:cs="Calibri"/>
                <w:szCs w:val="21"/>
              </w:rPr>
            </w:pPr>
            <w:r>
              <w:rPr>
                <w:rFonts w:hint="eastAsia" w:ascii="宋体" w:hAnsi="宋体"/>
              </w:rPr>
              <w:t>售后</w:t>
            </w:r>
            <w:r>
              <w:t>服务</w:t>
            </w:r>
          </w:p>
        </w:tc>
        <w:tc>
          <w:tcPr>
            <w:tcW w:w="2435" w:type="dxa"/>
            <w:tcBorders>
              <w:top w:val="single" w:color="auto" w:sz="6" w:space="0"/>
              <w:left w:val="single" w:color="auto" w:sz="6" w:space="0"/>
              <w:bottom w:val="single" w:color="auto" w:sz="4" w:space="0"/>
              <w:right w:val="single" w:color="auto" w:sz="6" w:space="0"/>
            </w:tcBorders>
          </w:tcPr>
          <w:p>
            <w:pPr>
              <w:spacing w:line="360" w:lineRule="auto"/>
              <w:jc w:val="center"/>
              <w:rPr>
                <w:rFonts w:ascii="Calibri" w:hAnsi="Calibri" w:eastAsia="宋体" w:cs="Calibri"/>
                <w:kern w:val="0"/>
                <w:szCs w:val="21"/>
              </w:rPr>
            </w:pPr>
          </w:p>
        </w:tc>
        <w:tc>
          <w:tcPr>
            <w:tcW w:w="3046"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Calibri" w:hAnsi="Calibri" w:eastAsia="宋体" w:cs="Calibri"/>
                <w:kern w:val="0"/>
                <w:szCs w:val="21"/>
              </w:rPr>
            </w:pPr>
          </w:p>
        </w:tc>
        <w:tc>
          <w:tcPr>
            <w:tcW w:w="1346" w:type="dxa"/>
            <w:tcBorders>
              <w:top w:val="single" w:color="auto" w:sz="6" w:space="0"/>
              <w:left w:val="single" w:color="auto" w:sz="6" w:space="0"/>
              <w:bottom w:val="single" w:color="auto" w:sz="4" w:space="0"/>
              <w:right w:val="double" w:color="auto" w:sz="2" w:space="0"/>
            </w:tcBorders>
            <w:vAlign w:val="center"/>
          </w:tcPr>
          <w:p>
            <w:pPr>
              <w:spacing w:line="360" w:lineRule="auto"/>
              <w:rPr>
                <w:rFonts w:ascii="Calibri" w:hAnsi="Calibri" w:eastAsia="宋体" w:cs="Calibri"/>
                <w:kern w:val="0"/>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59" w:hRule="atLeast"/>
        </w:trPr>
        <w:tc>
          <w:tcPr>
            <w:tcW w:w="1652" w:type="dxa"/>
            <w:tcBorders>
              <w:top w:val="single" w:color="auto" w:sz="6" w:space="0"/>
              <w:left w:val="double" w:color="auto" w:sz="2" w:space="0"/>
              <w:bottom w:val="single" w:color="auto" w:sz="6" w:space="0"/>
              <w:right w:val="single" w:color="auto" w:sz="6" w:space="0"/>
            </w:tcBorders>
            <w:vAlign w:val="center"/>
          </w:tcPr>
          <w:p>
            <w:pPr>
              <w:spacing w:line="360" w:lineRule="auto"/>
              <w:jc w:val="center"/>
              <w:rPr>
                <w:rFonts w:ascii="Calibri" w:hAnsi="Calibri" w:eastAsia="宋体" w:cs="Calibri"/>
                <w:szCs w:val="21"/>
              </w:rPr>
            </w:pPr>
            <w:r>
              <w:rPr>
                <w:rFonts w:hint="eastAsia" w:ascii="宋体" w:hAnsi="宋体"/>
              </w:rPr>
              <w:t>项目</w:t>
            </w:r>
            <w:r>
              <w:t>工期</w:t>
            </w:r>
          </w:p>
        </w:tc>
        <w:tc>
          <w:tcPr>
            <w:tcW w:w="2435" w:type="dxa"/>
            <w:tcBorders>
              <w:top w:val="single" w:color="auto" w:sz="6" w:space="0"/>
              <w:left w:val="single" w:color="auto" w:sz="6" w:space="0"/>
              <w:bottom w:val="single" w:color="auto" w:sz="4" w:space="0"/>
              <w:right w:val="single" w:color="auto" w:sz="6" w:space="0"/>
            </w:tcBorders>
          </w:tcPr>
          <w:p>
            <w:pPr>
              <w:spacing w:line="360" w:lineRule="auto"/>
              <w:jc w:val="center"/>
              <w:rPr>
                <w:rFonts w:ascii="Calibri" w:hAnsi="Calibri" w:eastAsia="宋体" w:cs="Calibri"/>
                <w:kern w:val="0"/>
                <w:szCs w:val="21"/>
              </w:rPr>
            </w:pPr>
          </w:p>
        </w:tc>
        <w:tc>
          <w:tcPr>
            <w:tcW w:w="3046"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Calibri" w:hAnsi="Calibri" w:eastAsia="宋体" w:cs="Calibri"/>
                <w:kern w:val="0"/>
                <w:szCs w:val="21"/>
              </w:rPr>
            </w:pPr>
          </w:p>
        </w:tc>
        <w:tc>
          <w:tcPr>
            <w:tcW w:w="1346" w:type="dxa"/>
            <w:tcBorders>
              <w:top w:val="single" w:color="auto" w:sz="6" w:space="0"/>
              <w:left w:val="single" w:color="auto" w:sz="6" w:space="0"/>
              <w:bottom w:val="single" w:color="auto" w:sz="4" w:space="0"/>
              <w:right w:val="double" w:color="auto" w:sz="2" w:space="0"/>
            </w:tcBorders>
            <w:vAlign w:val="center"/>
          </w:tcPr>
          <w:p>
            <w:pPr>
              <w:spacing w:line="360" w:lineRule="auto"/>
              <w:rPr>
                <w:rFonts w:ascii="Calibri" w:hAnsi="Calibri" w:eastAsia="宋体" w:cs="Calibri"/>
                <w:kern w:val="0"/>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479" w:type="dxa"/>
            <w:gridSpan w:val="4"/>
            <w:tcBorders>
              <w:top w:val="single" w:color="auto" w:sz="6" w:space="0"/>
              <w:left w:val="double" w:color="auto" w:sz="2" w:space="0"/>
              <w:bottom w:val="double" w:color="auto" w:sz="2" w:space="0"/>
              <w:right w:val="double" w:color="auto" w:sz="2" w:space="0"/>
            </w:tcBorders>
            <w:vAlign w:val="center"/>
          </w:tcPr>
          <w:p>
            <w:pPr>
              <w:spacing w:line="360" w:lineRule="auto"/>
              <w:rPr>
                <w:rFonts w:ascii="Calibri" w:hAnsi="Calibri" w:eastAsia="宋体" w:cs="Calibri"/>
                <w:kern w:val="0"/>
                <w:szCs w:val="21"/>
              </w:rPr>
            </w:pPr>
            <w:r>
              <w:rPr>
                <w:kern w:val="0"/>
              </w:rPr>
              <w:t>注</w:t>
            </w:r>
            <w:r>
              <w:rPr>
                <w:rFonts w:hint="eastAsia" w:ascii="宋体" w:hAnsi="宋体"/>
                <w:kern w:val="0"/>
              </w:rPr>
              <w:t>：</w:t>
            </w:r>
            <w:r>
              <w:rPr>
                <w:kern w:val="0"/>
              </w:rPr>
              <w:t>各投标人可根据实际情况对本表进行扩充</w:t>
            </w:r>
            <w:r>
              <w:rPr>
                <w:rFonts w:hint="eastAsia" w:ascii="宋体" w:hAnsi="宋体"/>
                <w:kern w:val="0"/>
              </w:rPr>
              <w:t>、</w:t>
            </w:r>
            <w:r>
              <w:rPr>
                <w:kern w:val="0"/>
              </w:rPr>
              <w:t>修改</w:t>
            </w:r>
            <w:r>
              <w:rPr>
                <w:rFonts w:hint="eastAsia" w:ascii="宋体" w:hAnsi="宋体"/>
                <w:kern w:val="0"/>
              </w:rPr>
              <w:t>、</w:t>
            </w:r>
            <w:r>
              <w:rPr>
                <w:kern w:val="0"/>
              </w:rPr>
              <w:t>延伸</w:t>
            </w:r>
            <w:r>
              <w:rPr>
                <w:rFonts w:hint="eastAsia" w:ascii="宋体" w:hAnsi="宋体"/>
                <w:kern w:val="0"/>
              </w:rPr>
              <w:t>。</w:t>
            </w:r>
          </w:p>
        </w:tc>
      </w:tr>
    </w:tbl>
    <w:p>
      <w:pPr>
        <w:pStyle w:val="5"/>
        <w:spacing w:before="165" w:after="165"/>
        <w:jc w:val="center"/>
        <w:rPr>
          <w:rStyle w:val="60"/>
          <w:b w:val="0"/>
          <w:bCs w:val="0"/>
        </w:rPr>
      </w:pPr>
      <w:r>
        <w:rPr>
          <w:rFonts w:hint="eastAsia"/>
          <w:b w:val="0"/>
          <w:bCs/>
          <w:u w:val="single"/>
        </w:rPr>
        <w:br w:type="page"/>
      </w:r>
      <w:r>
        <w:rPr>
          <w:rFonts w:hint="eastAsia" w:ascii="宋体" w:hAnsi="宋体" w:eastAsia="宋体"/>
          <w:b w:val="0"/>
          <w:bCs/>
        </w:rPr>
        <w:t>格式</w:t>
      </w:r>
      <w:r>
        <w:rPr>
          <w:rFonts w:hint="eastAsia" w:ascii="Times New Roman" w:hAnsi="宋体" w:eastAsia="宋体"/>
          <w:b w:val="0"/>
          <w:bCs/>
        </w:rPr>
        <w:t>7</w:t>
      </w:r>
      <w:r>
        <w:rPr>
          <w:rFonts w:ascii="Times New Roman" w:hAnsi="宋体" w:eastAsia="宋体" w:cs="Times New Roman"/>
          <w:b w:val="0"/>
          <w:bCs/>
        </w:rPr>
        <w:t>.</w:t>
      </w:r>
      <w:r>
        <w:rPr>
          <w:rFonts w:hint="eastAsia" w:ascii="宋体" w:hAnsi="宋体" w:eastAsia="宋体"/>
          <w:b w:val="0"/>
          <w:bCs/>
        </w:rPr>
        <w:t>商务响应表（商务偏离表）格式</w:t>
      </w:r>
    </w:p>
    <w:p>
      <w:pPr>
        <w:spacing w:line="500" w:lineRule="atLeast"/>
        <w:ind w:right="71" w:firstLine="249" w:firstLineChars="100"/>
        <w:jc w:val="center"/>
        <w:rPr>
          <w:b/>
          <w:bCs/>
          <w:color w:val="000000"/>
          <w:spacing w:val="4"/>
          <w:sz w:val="24"/>
        </w:rPr>
      </w:pPr>
      <w:r>
        <w:rPr>
          <w:rFonts w:hint="eastAsia" w:ascii="宋体" w:hAnsi="宋体"/>
          <w:b/>
          <w:bCs/>
          <w:color w:val="000000"/>
          <w:spacing w:val="4"/>
          <w:sz w:val="24"/>
        </w:rPr>
        <w:t>商务偏离表</w:t>
      </w:r>
    </w:p>
    <w:p>
      <w:pPr>
        <w:adjustRightInd w:val="0"/>
        <w:snapToGrid w:val="0"/>
        <w:spacing w:line="400" w:lineRule="atLeast"/>
        <w:rPr>
          <w:rFonts w:hAnsi="宋体"/>
          <w:szCs w:val="21"/>
        </w:rPr>
      </w:pPr>
      <w:r>
        <w:rPr>
          <w:rFonts w:hAnsi="宋体"/>
        </w:rPr>
        <w:t xml:space="preserve"> </w:t>
      </w:r>
    </w:p>
    <w:p>
      <w:pPr>
        <w:adjustRightInd w:val="0"/>
        <w:snapToGrid w:val="0"/>
        <w:spacing w:line="400" w:lineRule="atLeast"/>
        <w:rPr>
          <w:rFonts w:hAnsi="Calibri"/>
        </w:rPr>
      </w:pPr>
      <w:r>
        <w:rPr>
          <w:rFonts w:ascii="宋体" w:hAnsi="宋体"/>
        </w:rPr>
        <w:t>项目名称：</w:t>
      </w:r>
    </w:p>
    <w:p>
      <w:pPr>
        <w:adjustRightInd w:val="0"/>
        <w:snapToGrid w:val="0"/>
        <w:spacing w:line="400" w:lineRule="atLeast"/>
      </w:pPr>
      <w:r>
        <w:rPr>
          <w:rFonts w:ascii="宋体" w:hAnsi="宋体"/>
        </w:rPr>
        <w:t>招标编号：</w:t>
      </w:r>
    </w:p>
    <w:p>
      <w:pPr>
        <w:adjustRightInd w:val="0"/>
        <w:snapToGrid w:val="0"/>
        <w:spacing w:line="400" w:lineRule="atLeast"/>
      </w:pPr>
      <w:r>
        <w:rPr>
          <w:rFonts w:ascii="宋体" w:hAnsi="宋体"/>
        </w:rPr>
        <w:t>投标人名称：</w:t>
      </w:r>
    </w:p>
    <w:p>
      <w:pPr>
        <w:adjustRightInd w:val="0"/>
        <w:snapToGrid w:val="0"/>
        <w:spacing w:line="400" w:lineRule="atLeast"/>
        <w:rPr>
          <w:sz w:val="24"/>
        </w:rPr>
      </w:pPr>
      <w:r>
        <w:rPr>
          <w:sz w:val="24"/>
        </w:rPr>
        <w:t xml:space="preserve"> </w:t>
      </w:r>
    </w:p>
    <w:tbl>
      <w:tblPr>
        <w:tblStyle w:val="24"/>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825"/>
        <w:gridCol w:w="2282"/>
        <w:gridCol w:w="2282"/>
        <w:gridCol w:w="1626"/>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3" w:type="dxa"/>
            <w:tcBorders>
              <w:top w:val="double" w:color="auto" w:sz="2" w:space="0"/>
              <w:left w:val="double" w:color="auto" w:sz="2" w:space="0"/>
              <w:bottom w:val="single" w:color="auto" w:sz="4" w:space="0"/>
              <w:right w:val="single" w:color="auto" w:sz="4" w:space="0"/>
            </w:tcBorders>
          </w:tcPr>
          <w:p>
            <w:pPr>
              <w:rPr>
                <w:rFonts w:ascii="Calibri" w:hAnsi="Calibri" w:eastAsia="宋体" w:cs="Calibri"/>
                <w:b/>
                <w:bCs/>
                <w:sz w:val="24"/>
              </w:rPr>
            </w:pPr>
            <w:r>
              <w:rPr>
                <w:rFonts w:hAnsi="宋体"/>
                <w:b/>
                <w:bCs/>
                <w:sz w:val="24"/>
              </w:rPr>
              <w:t>序号</w:t>
            </w:r>
          </w:p>
        </w:tc>
        <w:tc>
          <w:tcPr>
            <w:tcW w:w="1825" w:type="dxa"/>
            <w:tcBorders>
              <w:top w:val="double" w:color="auto" w:sz="2" w:space="0"/>
              <w:left w:val="single" w:color="auto" w:sz="4" w:space="0"/>
              <w:bottom w:val="single" w:color="auto" w:sz="4" w:space="0"/>
              <w:right w:val="single" w:color="auto" w:sz="4" w:space="0"/>
            </w:tcBorders>
          </w:tcPr>
          <w:p>
            <w:pPr>
              <w:rPr>
                <w:rFonts w:ascii="Calibri" w:hAnsi="Calibri" w:eastAsia="宋体" w:cs="Calibri"/>
                <w:b/>
                <w:bCs/>
                <w:sz w:val="24"/>
              </w:rPr>
            </w:pPr>
            <w:r>
              <w:rPr>
                <w:rFonts w:hAnsi="宋体"/>
                <w:b/>
                <w:bCs/>
                <w:sz w:val="24"/>
              </w:rPr>
              <w:t>招标文件条款号</w:t>
            </w:r>
          </w:p>
        </w:tc>
        <w:tc>
          <w:tcPr>
            <w:tcW w:w="2282" w:type="dxa"/>
            <w:tcBorders>
              <w:top w:val="double" w:color="auto" w:sz="2" w:space="0"/>
              <w:left w:val="single" w:color="auto" w:sz="4" w:space="0"/>
              <w:bottom w:val="single" w:color="auto" w:sz="4" w:space="0"/>
              <w:right w:val="single" w:color="auto" w:sz="4" w:space="0"/>
            </w:tcBorders>
          </w:tcPr>
          <w:p>
            <w:pPr>
              <w:rPr>
                <w:rFonts w:ascii="Calibri" w:hAnsi="Calibri" w:eastAsia="宋体" w:cs="Calibri"/>
                <w:b/>
                <w:bCs/>
                <w:sz w:val="24"/>
              </w:rPr>
            </w:pPr>
            <w:r>
              <w:rPr>
                <w:rFonts w:hAnsi="宋体"/>
                <w:b/>
                <w:bCs/>
                <w:sz w:val="24"/>
              </w:rPr>
              <w:t>招标文件商务条款要求</w:t>
            </w:r>
          </w:p>
        </w:tc>
        <w:tc>
          <w:tcPr>
            <w:tcW w:w="2282" w:type="dxa"/>
            <w:tcBorders>
              <w:top w:val="double" w:color="auto" w:sz="2" w:space="0"/>
              <w:left w:val="single" w:color="auto" w:sz="4" w:space="0"/>
              <w:bottom w:val="single" w:color="auto" w:sz="4" w:space="0"/>
              <w:right w:val="single" w:color="auto" w:sz="4" w:space="0"/>
            </w:tcBorders>
          </w:tcPr>
          <w:p>
            <w:pPr>
              <w:rPr>
                <w:rFonts w:ascii="Calibri" w:hAnsi="Calibri" w:eastAsia="宋体" w:cs="Calibri"/>
                <w:b/>
                <w:bCs/>
                <w:sz w:val="24"/>
              </w:rPr>
            </w:pPr>
            <w:r>
              <w:rPr>
                <w:rFonts w:hAnsi="宋体"/>
                <w:b/>
                <w:bCs/>
                <w:sz w:val="24"/>
              </w:rPr>
              <w:t>投标文件商务条款应答</w:t>
            </w:r>
          </w:p>
        </w:tc>
        <w:tc>
          <w:tcPr>
            <w:tcW w:w="1626" w:type="dxa"/>
            <w:tcBorders>
              <w:top w:val="double" w:color="auto" w:sz="2" w:space="0"/>
              <w:left w:val="single" w:color="auto" w:sz="4" w:space="0"/>
              <w:bottom w:val="single" w:color="auto" w:sz="4" w:space="0"/>
              <w:right w:val="double" w:color="auto" w:sz="2" w:space="0"/>
            </w:tcBorders>
          </w:tcPr>
          <w:p>
            <w:pPr>
              <w:rPr>
                <w:rFonts w:ascii="Calibri" w:hAnsi="Calibri" w:eastAsia="宋体" w:cs="Calibri"/>
                <w:b/>
                <w:bCs/>
                <w:sz w:val="24"/>
              </w:rPr>
            </w:pPr>
            <w:r>
              <w:rPr>
                <w:rFonts w:hAnsi="宋体"/>
                <w:b/>
                <w:bCs/>
                <w:sz w:val="24"/>
              </w:rPr>
              <w:t>偏离说明</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3" w:type="dxa"/>
            <w:tcBorders>
              <w:top w:val="single" w:color="auto" w:sz="4" w:space="0"/>
              <w:left w:val="double" w:color="auto" w:sz="2" w:space="0"/>
              <w:bottom w:val="single" w:color="auto" w:sz="4" w:space="0"/>
              <w:right w:val="single" w:color="auto" w:sz="4" w:space="0"/>
            </w:tcBorders>
          </w:tcPr>
          <w:p>
            <w:pPr>
              <w:rPr>
                <w:rFonts w:ascii="Calibri" w:hAnsi="Calibri" w:eastAsia="宋体" w:cs="Calibri"/>
                <w:sz w:val="24"/>
              </w:rPr>
            </w:pPr>
          </w:p>
        </w:tc>
        <w:tc>
          <w:tcPr>
            <w:tcW w:w="1825"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sz w:val="24"/>
              </w:rPr>
            </w:pPr>
          </w:p>
        </w:tc>
        <w:tc>
          <w:tcPr>
            <w:tcW w:w="228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sz w:val="24"/>
              </w:rPr>
            </w:pPr>
          </w:p>
        </w:tc>
        <w:tc>
          <w:tcPr>
            <w:tcW w:w="228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sz w:val="24"/>
              </w:rPr>
            </w:pPr>
          </w:p>
        </w:tc>
        <w:tc>
          <w:tcPr>
            <w:tcW w:w="1626" w:type="dxa"/>
            <w:tcBorders>
              <w:top w:val="single" w:color="auto" w:sz="4" w:space="0"/>
              <w:left w:val="single" w:color="auto" w:sz="4" w:space="0"/>
              <w:bottom w:val="single" w:color="auto" w:sz="4" w:space="0"/>
              <w:right w:val="double" w:color="auto" w:sz="2" w:space="0"/>
            </w:tcBorders>
          </w:tcPr>
          <w:p>
            <w:pPr>
              <w:rPr>
                <w:rFonts w:ascii="Calibri" w:hAnsi="Calibri" w:eastAsia="宋体" w:cs="Calibri"/>
                <w:sz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3" w:type="dxa"/>
            <w:tcBorders>
              <w:top w:val="single" w:color="auto" w:sz="4" w:space="0"/>
              <w:left w:val="double" w:color="auto" w:sz="2" w:space="0"/>
              <w:bottom w:val="single" w:color="auto" w:sz="4" w:space="0"/>
              <w:right w:val="single" w:color="auto" w:sz="4" w:space="0"/>
            </w:tcBorders>
          </w:tcPr>
          <w:p>
            <w:pPr>
              <w:rPr>
                <w:rFonts w:ascii="Calibri" w:hAnsi="Calibri" w:eastAsia="宋体" w:cs="Calibri"/>
                <w:sz w:val="24"/>
              </w:rPr>
            </w:pPr>
          </w:p>
        </w:tc>
        <w:tc>
          <w:tcPr>
            <w:tcW w:w="1825"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sz w:val="24"/>
              </w:rPr>
            </w:pPr>
          </w:p>
        </w:tc>
        <w:tc>
          <w:tcPr>
            <w:tcW w:w="228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sz w:val="24"/>
              </w:rPr>
            </w:pPr>
          </w:p>
        </w:tc>
        <w:tc>
          <w:tcPr>
            <w:tcW w:w="228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sz w:val="24"/>
              </w:rPr>
            </w:pPr>
          </w:p>
        </w:tc>
        <w:tc>
          <w:tcPr>
            <w:tcW w:w="1626" w:type="dxa"/>
            <w:tcBorders>
              <w:top w:val="single" w:color="auto" w:sz="4" w:space="0"/>
              <w:left w:val="single" w:color="auto" w:sz="4" w:space="0"/>
              <w:bottom w:val="single" w:color="auto" w:sz="4" w:space="0"/>
              <w:right w:val="double" w:color="auto" w:sz="2" w:space="0"/>
            </w:tcBorders>
          </w:tcPr>
          <w:p>
            <w:pPr>
              <w:rPr>
                <w:rFonts w:ascii="Calibri" w:hAnsi="Calibri" w:eastAsia="宋体" w:cs="Calibri"/>
                <w:sz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3" w:type="dxa"/>
            <w:tcBorders>
              <w:top w:val="single" w:color="auto" w:sz="4" w:space="0"/>
              <w:left w:val="double" w:color="auto" w:sz="2" w:space="0"/>
              <w:bottom w:val="single" w:color="auto" w:sz="4" w:space="0"/>
              <w:right w:val="single" w:color="auto" w:sz="4" w:space="0"/>
            </w:tcBorders>
          </w:tcPr>
          <w:p>
            <w:pPr>
              <w:rPr>
                <w:rFonts w:ascii="Calibri" w:hAnsi="Calibri" w:eastAsia="宋体" w:cs="Calibri"/>
                <w:sz w:val="24"/>
              </w:rPr>
            </w:pPr>
          </w:p>
        </w:tc>
        <w:tc>
          <w:tcPr>
            <w:tcW w:w="1825"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sz w:val="24"/>
              </w:rPr>
            </w:pPr>
          </w:p>
        </w:tc>
        <w:tc>
          <w:tcPr>
            <w:tcW w:w="228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sz w:val="24"/>
              </w:rPr>
            </w:pPr>
          </w:p>
        </w:tc>
        <w:tc>
          <w:tcPr>
            <w:tcW w:w="228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sz w:val="24"/>
              </w:rPr>
            </w:pPr>
          </w:p>
        </w:tc>
        <w:tc>
          <w:tcPr>
            <w:tcW w:w="1626" w:type="dxa"/>
            <w:tcBorders>
              <w:top w:val="single" w:color="auto" w:sz="4" w:space="0"/>
              <w:left w:val="single" w:color="auto" w:sz="4" w:space="0"/>
              <w:bottom w:val="single" w:color="auto" w:sz="4" w:space="0"/>
              <w:right w:val="double" w:color="auto" w:sz="2" w:space="0"/>
            </w:tcBorders>
          </w:tcPr>
          <w:p>
            <w:pPr>
              <w:rPr>
                <w:rFonts w:ascii="Calibri" w:hAnsi="Calibri" w:eastAsia="宋体" w:cs="Calibri"/>
                <w:sz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3" w:type="dxa"/>
            <w:tcBorders>
              <w:top w:val="single" w:color="auto" w:sz="4" w:space="0"/>
              <w:left w:val="double" w:color="auto" w:sz="2" w:space="0"/>
              <w:bottom w:val="single" w:color="auto" w:sz="4" w:space="0"/>
              <w:right w:val="single" w:color="auto" w:sz="4" w:space="0"/>
            </w:tcBorders>
          </w:tcPr>
          <w:p>
            <w:pPr>
              <w:rPr>
                <w:rFonts w:ascii="Calibri" w:hAnsi="Calibri" w:eastAsia="宋体" w:cs="Calibri"/>
                <w:sz w:val="24"/>
              </w:rPr>
            </w:pPr>
          </w:p>
        </w:tc>
        <w:tc>
          <w:tcPr>
            <w:tcW w:w="1825"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sz w:val="24"/>
              </w:rPr>
            </w:pPr>
          </w:p>
        </w:tc>
        <w:tc>
          <w:tcPr>
            <w:tcW w:w="228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sz w:val="24"/>
              </w:rPr>
            </w:pPr>
          </w:p>
        </w:tc>
        <w:tc>
          <w:tcPr>
            <w:tcW w:w="228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sz w:val="24"/>
              </w:rPr>
            </w:pPr>
          </w:p>
        </w:tc>
        <w:tc>
          <w:tcPr>
            <w:tcW w:w="1626" w:type="dxa"/>
            <w:tcBorders>
              <w:top w:val="single" w:color="auto" w:sz="4" w:space="0"/>
              <w:left w:val="single" w:color="auto" w:sz="4" w:space="0"/>
              <w:bottom w:val="single" w:color="auto" w:sz="4" w:space="0"/>
              <w:right w:val="double" w:color="auto" w:sz="2" w:space="0"/>
            </w:tcBorders>
          </w:tcPr>
          <w:p>
            <w:pPr>
              <w:rPr>
                <w:rFonts w:ascii="Calibri" w:hAnsi="Calibri" w:eastAsia="宋体" w:cs="Calibri"/>
                <w:sz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3" w:type="dxa"/>
            <w:tcBorders>
              <w:top w:val="single" w:color="auto" w:sz="4" w:space="0"/>
              <w:left w:val="double" w:color="auto" w:sz="2" w:space="0"/>
              <w:bottom w:val="double" w:color="auto" w:sz="2" w:space="0"/>
              <w:right w:val="single" w:color="auto" w:sz="4" w:space="0"/>
            </w:tcBorders>
          </w:tcPr>
          <w:p>
            <w:pPr>
              <w:rPr>
                <w:rFonts w:ascii="Calibri" w:hAnsi="Calibri" w:eastAsia="宋体" w:cs="Calibri"/>
                <w:sz w:val="24"/>
              </w:rPr>
            </w:pPr>
          </w:p>
        </w:tc>
        <w:tc>
          <w:tcPr>
            <w:tcW w:w="1825" w:type="dxa"/>
            <w:tcBorders>
              <w:top w:val="single" w:color="auto" w:sz="4" w:space="0"/>
              <w:left w:val="single" w:color="auto" w:sz="4" w:space="0"/>
              <w:bottom w:val="double" w:color="auto" w:sz="2" w:space="0"/>
              <w:right w:val="single" w:color="auto" w:sz="4" w:space="0"/>
            </w:tcBorders>
          </w:tcPr>
          <w:p>
            <w:pPr>
              <w:rPr>
                <w:rFonts w:ascii="Calibri" w:hAnsi="Calibri" w:eastAsia="宋体" w:cs="Calibri"/>
                <w:sz w:val="24"/>
              </w:rPr>
            </w:pPr>
          </w:p>
        </w:tc>
        <w:tc>
          <w:tcPr>
            <w:tcW w:w="2282" w:type="dxa"/>
            <w:tcBorders>
              <w:top w:val="single" w:color="auto" w:sz="4" w:space="0"/>
              <w:left w:val="single" w:color="auto" w:sz="4" w:space="0"/>
              <w:bottom w:val="double" w:color="auto" w:sz="2" w:space="0"/>
              <w:right w:val="single" w:color="auto" w:sz="4" w:space="0"/>
            </w:tcBorders>
          </w:tcPr>
          <w:p>
            <w:pPr>
              <w:rPr>
                <w:rFonts w:ascii="Calibri" w:hAnsi="Calibri" w:eastAsia="宋体" w:cs="Calibri"/>
                <w:sz w:val="24"/>
              </w:rPr>
            </w:pPr>
          </w:p>
        </w:tc>
        <w:tc>
          <w:tcPr>
            <w:tcW w:w="2282" w:type="dxa"/>
            <w:tcBorders>
              <w:top w:val="single" w:color="auto" w:sz="4" w:space="0"/>
              <w:left w:val="single" w:color="auto" w:sz="4" w:space="0"/>
              <w:bottom w:val="double" w:color="auto" w:sz="2" w:space="0"/>
              <w:right w:val="single" w:color="auto" w:sz="4" w:space="0"/>
            </w:tcBorders>
          </w:tcPr>
          <w:p>
            <w:pPr>
              <w:rPr>
                <w:rFonts w:ascii="Calibri" w:hAnsi="Calibri" w:eastAsia="宋体" w:cs="Calibri"/>
                <w:sz w:val="24"/>
              </w:rPr>
            </w:pPr>
          </w:p>
        </w:tc>
        <w:tc>
          <w:tcPr>
            <w:tcW w:w="1626" w:type="dxa"/>
            <w:tcBorders>
              <w:top w:val="single" w:color="auto" w:sz="4" w:space="0"/>
              <w:left w:val="single" w:color="auto" w:sz="4" w:space="0"/>
              <w:bottom w:val="double" w:color="auto" w:sz="2" w:space="0"/>
              <w:right w:val="double" w:color="auto" w:sz="2" w:space="0"/>
            </w:tcBorders>
          </w:tcPr>
          <w:p>
            <w:pPr>
              <w:rPr>
                <w:rFonts w:ascii="Calibri" w:hAnsi="Calibri" w:eastAsia="宋体" w:cs="Calibri"/>
                <w:sz w:val="24"/>
              </w:rPr>
            </w:pPr>
          </w:p>
        </w:tc>
      </w:tr>
    </w:tbl>
    <w:p>
      <w:pPr>
        <w:adjustRightInd w:val="0"/>
        <w:snapToGrid w:val="0"/>
        <w:spacing w:line="400" w:lineRule="atLeast"/>
        <w:rPr>
          <w:rFonts w:ascii="Calibri" w:hAnsi="宋体" w:cs="Calibri"/>
          <w:sz w:val="24"/>
        </w:rPr>
      </w:pPr>
      <w:r>
        <w:rPr>
          <w:rFonts w:ascii="宋体" w:hAnsi="宋体"/>
          <w:sz w:val="24"/>
        </w:rPr>
        <w:t>我司确认，除上述偏离外，我司完全接受招标文件中其他商务条款。</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投标人</w:t>
      </w:r>
      <w:r>
        <w:rPr>
          <w:rFonts w:ascii="宋体" w:hAnsi="宋体"/>
          <w:sz w:val="24"/>
        </w:rPr>
        <w:t>授权代表</w:t>
      </w:r>
      <w:r>
        <w:rPr>
          <w:rFonts w:hint="eastAsia" w:ascii="宋体" w:hAnsi="宋体"/>
          <w:sz w:val="24"/>
        </w:rPr>
        <w:t>签字：</w:t>
      </w:r>
    </w:p>
    <w:p>
      <w:pPr>
        <w:spacing w:line="360" w:lineRule="auto"/>
        <w:rPr>
          <w:rFonts w:ascii="宋体" w:hAnsi="宋体"/>
          <w:sz w:val="24"/>
        </w:rPr>
      </w:pPr>
      <w:r>
        <w:rPr>
          <w:rFonts w:hint="eastAsia" w:ascii="宋体" w:hAnsi="宋体"/>
          <w:sz w:val="24"/>
        </w:rPr>
        <w:t>投标人单位盖章：</w:t>
      </w:r>
    </w:p>
    <w:p>
      <w:pPr>
        <w:adjustRightInd w:val="0"/>
        <w:snapToGrid w:val="0"/>
        <w:spacing w:line="400" w:lineRule="atLeast"/>
        <w:rPr>
          <w:rFonts w:ascii="Calibri" w:hAnsi="Calibri"/>
          <w:sz w:val="24"/>
        </w:rPr>
      </w:pPr>
      <w:r>
        <w:rPr>
          <w:rFonts w:hint="eastAsia" w:ascii="宋体" w:hAnsi="宋体"/>
          <w:sz w:val="24"/>
        </w:rPr>
        <w:t>日期：   年   月   日</w:t>
      </w:r>
    </w:p>
    <w:p>
      <w:pPr>
        <w:rPr>
          <w:sz w:val="24"/>
        </w:rPr>
      </w:pPr>
      <w:r>
        <w:rPr>
          <w:sz w:val="24"/>
        </w:rPr>
        <w:t xml:space="preserve"> </w:t>
      </w:r>
    </w:p>
    <w:p>
      <w:pPr>
        <w:rPr>
          <w:sz w:val="24"/>
        </w:rPr>
      </w:pPr>
      <w:r>
        <w:rPr>
          <w:sz w:val="24"/>
        </w:rPr>
        <w:t xml:space="preserve"> </w:t>
      </w:r>
    </w:p>
    <w:p>
      <w:pPr>
        <w:rPr>
          <w:sz w:val="24"/>
        </w:rPr>
      </w:pPr>
      <w:r>
        <w:rPr>
          <w:sz w:val="24"/>
        </w:rPr>
        <w:t xml:space="preserve"> </w:t>
      </w:r>
    </w:p>
    <w:p>
      <w:pPr>
        <w:ind w:left="960" w:hanging="960" w:hangingChars="400"/>
        <w:rPr>
          <w:rFonts w:hAnsi="宋体"/>
          <w:sz w:val="24"/>
        </w:rPr>
      </w:pPr>
      <w:r>
        <w:rPr>
          <w:rFonts w:ascii="宋体" w:hAnsi="宋体"/>
          <w:sz w:val="24"/>
        </w:rPr>
        <w:t>注解：</w:t>
      </w:r>
    </w:p>
    <w:p>
      <w:pPr>
        <w:rPr>
          <w:rFonts w:hAnsi="Calibri"/>
          <w:sz w:val="24"/>
        </w:rPr>
      </w:pPr>
      <w:r>
        <w:rPr>
          <w:rFonts w:hAnsi="宋体"/>
          <w:sz w:val="24"/>
        </w:rPr>
        <w:t>1</w:t>
      </w:r>
      <w:r>
        <w:rPr>
          <w:rFonts w:hint="eastAsia" w:ascii="宋体" w:hAnsi="宋体"/>
          <w:sz w:val="24"/>
        </w:rPr>
        <w:t>）</w:t>
      </w:r>
      <w:r>
        <w:rPr>
          <w:rFonts w:ascii="宋体" w:hAnsi="宋体"/>
          <w:sz w:val="24"/>
        </w:rPr>
        <w:t>投标人必须填写此表</w:t>
      </w:r>
      <w:r>
        <w:rPr>
          <w:rFonts w:hint="eastAsia" w:ascii="宋体" w:hAnsi="宋体"/>
          <w:sz w:val="24"/>
        </w:rPr>
        <w:t>，</w:t>
      </w:r>
      <w:r>
        <w:rPr>
          <w:rFonts w:ascii="宋体" w:hAnsi="宋体"/>
          <w:sz w:val="24"/>
        </w:rPr>
        <w:t>若</w:t>
      </w:r>
      <w:r>
        <w:rPr>
          <w:rFonts w:hint="eastAsia" w:ascii="宋体" w:hAnsi="宋体"/>
          <w:sz w:val="24"/>
        </w:rPr>
        <w:t>无</w:t>
      </w:r>
      <w:r>
        <w:rPr>
          <w:rFonts w:ascii="宋体" w:hAnsi="宋体"/>
          <w:sz w:val="24"/>
        </w:rPr>
        <w:t>偏离</w:t>
      </w:r>
      <w:r>
        <w:rPr>
          <w:rFonts w:hint="eastAsia" w:ascii="宋体" w:hAnsi="宋体"/>
          <w:sz w:val="24"/>
        </w:rPr>
        <w:t>和</w:t>
      </w:r>
      <w:r>
        <w:rPr>
          <w:rFonts w:ascii="宋体" w:hAnsi="宋体"/>
          <w:sz w:val="24"/>
        </w:rPr>
        <w:t>有不影响评分的正偏离</w:t>
      </w:r>
      <w:r>
        <w:rPr>
          <w:rFonts w:hint="eastAsia" w:ascii="宋体" w:hAnsi="宋体"/>
          <w:sz w:val="24"/>
        </w:rPr>
        <w:t>，</w:t>
      </w:r>
      <w:r>
        <w:rPr>
          <w:rFonts w:ascii="宋体" w:hAnsi="宋体"/>
          <w:sz w:val="24"/>
        </w:rPr>
        <w:t>请</w:t>
      </w:r>
      <w:r>
        <w:rPr>
          <w:rFonts w:hint="eastAsia" w:ascii="宋体" w:hAnsi="宋体"/>
          <w:sz w:val="24"/>
        </w:rPr>
        <w:t>在“偏离说明”列</w:t>
      </w:r>
      <w:r>
        <w:rPr>
          <w:rFonts w:ascii="宋体" w:hAnsi="宋体"/>
          <w:sz w:val="24"/>
        </w:rPr>
        <w:t>填写</w:t>
      </w:r>
      <w:r>
        <w:rPr>
          <w:rFonts w:hint="eastAsia" w:ascii="宋体" w:hAnsi="宋体"/>
          <w:sz w:val="24"/>
        </w:rPr>
        <w:t>“</w:t>
      </w:r>
      <w:r>
        <w:rPr>
          <w:rFonts w:ascii="宋体" w:hAnsi="宋体"/>
          <w:sz w:val="24"/>
        </w:rPr>
        <w:t>无</w:t>
      </w:r>
      <w:r>
        <w:rPr>
          <w:rFonts w:hint="eastAsia" w:ascii="宋体" w:hAnsi="宋体"/>
          <w:sz w:val="24"/>
        </w:rPr>
        <w:t>”；其他</w:t>
      </w:r>
      <w:r>
        <w:rPr>
          <w:rFonts w:ascii="宋体" w:hAnsi="宋体"/>
          <w:sz w:val="24"/>
        </w:rPr>
        <w:t>情况请填写</w:t>
      </w:r>
      <w:r>
        <w:rPr>
          <w:rFonts w:hint="eastAsia" w:ascii="宋体" w:hAnsi="宋体"/>
          <w:sz w:val="24"/>
        </w:rPr>
        <w:t>“正偏离”或“负偏离”（部分满足视为负偏离）；</w:t>
      </w:r>
    </w:p>
    <w:p>
      <w:pPr>
        <w:rPr>
          <w:rFonts w:ascii="宋体" w:hAnsi="宋体"/>
          <w:sz w:val="24"/>
        </w:rPr>
      </w:pPr>
      <w:r>
        <w:rPr>
          <w:rFonts w:hint="eastAsia" w:ascii="宋体" w:hAnsi="宋体"/>
          <w:sz w:val="24"/>
        </w:rPr>
        <w:t>2）投标人需将所有针对合同条款等商务部分的偏离逐一列明，未声明部分将被视为已接受招标文件要求，没有偏离，签约时未经招标人同意不得改变；</w:t>
      </w:r>
    </w:p>
    <w:p>
      <w:pPr>
        <w:rPr>
          <w:rFonts w:ascii="宋体" w:hAnsi="宋体"/>
          <w:sz w:val="24"/>
        </w:rPr>
      </w:pPr>
      <w:r>
        <w:rPr>
          <w:rFonts w:hint="eastAsia" w:ascii="宋体" w:hAnsi="宋体"/>
          <w:sz w:val="24"/>
        </w:rPr>
        <w:t>3）偏离项应填写具体的应答内容，并辅以详细解释。</w:t>
      </w:r>
    </w:p>
    <w:p>
      <w:pPr>
        <w:widowControl/>
        <w:jc w:val="left"/>
        <w:rPr>
          <w:rFonts w:ascii="宋体" w:hAnsi="宋体"/>
          <w:szCs w:val="21"/>
        </w:rPr>
      </w:pPr>
      <w:r>
        <w:rPr>
          <w:rFonts w:hint="eastAsia" w:ascii="宋体" w:hAnsi="宋体"/>
        </w:rPr>
        <w:br w:type="page"/>
      </w:r>
    </w:p>
    <w:p>
      <w:pPr>
        <w:pStyle w:val="5"/>
        <w:spacing w:before="165" w:after="165"/>
        <w:jc w:val="center"/>
        <w:rPr>
          <w:rFonts w:ascii="Times New Roman" w:hAnsi="宋体" w:eastAsia="宋体" w:cs="Times New Roman"/>
          <w:bCs/>
        </w:rPr>
      </w:pPr>
      <w:r>
        <w:rPr>
          <w:rFonts w:hint="eastAsia" w:ascii="宋体" w:hAnsi="宋体" w:eastAsia="宋体"/>
          <w:b w:val="0"/>
          <w:bCs/>
        </w:rPr>
        <w:t>格式</w:t>
      </w:r>
      <w:r>
        <w:rPr>
          <w:rFonts w:hint="eastAsia" w:ascii="Times New Roman" w:hAnsi="宋体" w:eastAsia="宋体"/>
          <w:b w:val="0"/>
          <w:bCs/>
        </w:rPr>
        <w:t>8.</w:t>
      </w:r>
      <w:r>
        <w:rPr>
          <w:rFonts w:hint="eastAsia" w:ascii="宋体" w:hAnsi="宋体" w:eastAsia="宋体"/>
          <w:b w:val="0"/>
          <w:bCs/>
        </w:rPr>
        <w:t>技术响应表（技术偏离表）格式</w:t>
      </w:r>
    </w:p>
    <w:p>
      <w:pPr>
        <w:spacing w:line="500" w:lineRule="atLeast"/>
        <w:ind w:right="71" w:firstLine="249" w:firstLineChars="100"/>
        <w:jc w:val="center"/>
        <w:rPr>
          <w:rFonts w:ascii="Calibri" w:hAnsi="Calibri" w:eastAsia="宋体" w:cs="Calibri"/>
          <w:b/>
          <w:bCs/>
          <w:color w:val="000000"/>
          <w:spacing w:val="4"/>
          <w:sz w:val="24"/>
        </w:rPr>
      </w:pPr>
      <w:r>
        <w:rPr>
          <w:rFonts w:hint="eastAsia" w:ascii="宋体" w:hAnsi="宋体"/>
          <w:b/>
          <w:bCs/>
          <w:color w:val="000000"/>
          <w:spacing w:val="4"/>
          <w:sz w:val="24"/>
        </w:rPr>
        <w:t>技术偏离表</w:t>
      </w:r>
    </w:p>
    <w:p>
      <w:pPr>
        <w:ind w:right="71" w:firstLine="248" w:firstLineChars="100"/>
        <w:rPr>
          <w:color w:val="000000"/>
          <w:spacing w:val="4"/>
          <w:sz w:val="24"/>
        </w:rPr>
      </w:pPr>
      <w:r>
        <w:rPr>
          <w:rFonts w:hint="eastAsia" w:ascii="宋体" w:hAnsi="宋体"/>
          <w:color w:val="000000"/>
          <w:spacing w:val="4"/>
          <w:sz w:val="24"/>
        </w:rPr>
        <w:t>项目名称：</w:t>
      </w:r>
    </w:p>
    <w:p>
      <w:pPr>
        <w:ind w:right="71" w:firstLine="248" w:firstLineChars="100"/>
        <w:rPr>
          <w:color w:val="000000"/>
          <w:spacing w:val="4"/>
          <w:sz w:val="24"/>
        </w:rPr>
      </w:pPr>
      <w:r>
        <w:rPr>
          <w:rFonts w:hint="eastAsia" w:ascii="宋体" w:hAnsi="宋体"/>
          <w:color w:val="000000"/>
          <w:spacing w:val="4"/>
          <w:sz w:val="24"/>
        </w:rPr>
        <w:t>投标人名称：</w:t>
      </w:r>
    </w:p>
    <w:p>
      <w:pPr>
        <w:ind w:right="71" w:firstLine="248" w:firstLineChars="100"/>
        <w:rPr>
          <w:color w:val="000000"/>
          <w:spacing w:val="4"/>
          <w:sz w:val="24"/>
        </w:rPr>
      </w:pPr>
      <w:r>
        <w:rPr>
          <w:rFonts w:hint="eastAsia" w:ascii="宋体" w:hAnsi="宋体"/>
          <w:color w:val="000000"/>
          <w:spacing w:val="4"/>
          <w:sz w:val="24"/>
        </w:rPr>
        <w:t>招标编号：</w:t>
      </w:r>
    </w:p>
    <w:tbl>
      <w:tblPr>
        <w:tblStyle w:val="24"/>
        <w:tblW w:w="0" w:type="auto"/>
        <w:tblInd w:w="123" w:type="dxa"/>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Layout w:type="fixed"/>
        <w:tblCellMar>
          <w:top w:w="0" w:type="dxa"/>
          <w:left w:w="108" w:type="dxa"/>
          <w:bottom w:w="0" w:type="dxa"/>
          <w:right w:w="108" w:type="dxa"/>
        </w:tblCellMar>
      </w:tblPr>
      <w:tblGrid>
        <w:gridCol w:w="627"/>
        <w:gridCol w:w="1343"/>
        <w:gridCol w:w="2449"/>
        <w:gridCol w:w="2954"/>
        <w:gridCol w:w="1155"/>
      </w:tblGrid>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627" w:type="dxa"/>
            <w:tcBorders>
              <w:top w:val="double" w:color="auto" w:sz="2" w:space="0"/>
              <w:left w:val="double" w:color="auto" w:sz="2" w:space="0"/>
              <w:bottom w:val="single" w:color="auto" w:sz="8" w:space="0"/>
              <w:right w:val="single" w:color="auto" w:sz="8" w:space="0"/>
            </w:tcBorders>
            <w:vAlign w:val="center"/>
          </w:tcPr>
          <w:p>
            <w:pPr>
              <w:ind w:left="-27" w:leftChars="-13"/>
              <w:jc w:val="center"/>
              <w:rPr>
                <w:rFonts w:ascii="Calibri" w:hAnsi="Calibri" w:eastAsia="宋体" w:cs="Calibri"/>
                <w:b/>
                <w:bCs/>
                <w:color w:val="000000"/>
                <w:spacing w:val="4"/>
                <w:sz w:val="24"/>
              </w:rPr>
            </w:pPr>
            <w:r>
              <w:rPr>
                <w:rFonts w:hint="eastAsia" w:ascii="宋体" w:hAnsi="宋体"/>
                <w:b/>
                <w:bCs/>
                <w:color w:val="000000"/>
                <w:spacing w:val="4"/>
                <w:sz w:val="24"/>
              </w:rPr>
              <w:t>序号</w:t>
            </w:r>
          </w:p>
        </w:tc>
        <w:tc>
          <w:tcPr>
            <w:tcW w:w="1343" w:type="dxa"/>
            <w:tcBorders>
              <w:top w:val="double" w:color="auto" w:sz="2" w:space="0"/>
              <w:left w:val="single" w:color="auto" w:sz="8" w:space="0"/>
              <w:bottom w:val="single" w:color="auto" w:sz="8" w:space="0"/>
              <w:right w:val="single" w:color="auto" w:sz="8" w:space="0"/>
            </w:tcBorders>
            <w:vAlign w:val="center"/>
          </w:tcPr>
          <w:p>
            <w:pPr>
              <w:jc w:val="center"/>
              <w:rPr>
                <w:rFonts w:ascii="Calibri" w:hAnsi="Calibri" w:eastAsia="宋体" w:cs="Calibri"/>
                <w:b/>
                <w:bCs/>
                <w:color w:val="000000"/>
                <w:spacing w:val="4"/>
                <w:sz w:val="24"/>
              </w:rPr>
            </w:pPr>
            <w:r>
              <w:rPr>
                <w:rFonts w:hint="eastAsia" w:ascii="宋体" w:hAnsi="宋体"/>
                <w:b/>
                <w:bCs/>
                <w:color w:val="000000"/>
                <w:spacing w:val="4"/>
                <w:sz w:val="24"/>
              </w:rPr>
              <w:t>招标文件条款号</w:t>
            </w:r>
          </w:p>
        </w:tc>
        <w:tc>
          <w:tcPr>
            <w:tcW w:w="2449" w:type="dxa"/>
            <w:tcBorders>
              <w:top w:val="double" w:color="auto" w:sz="2" w:space="0"/>
              <w:left w:val="single" w:color="auto" w:sz="8" w:space="0"/>
              <w:bottom w:val="single" w:color="auto" w:sz="8" w:space="0"/>
              <w:right w:val="single" w:color="auto" w:sz="8" w:space="0"/>
            </w:tcBorders>
            <w:vAlign w:val="center"/>
          </w:tcPr>
          <w:p>
            <w:pPr>
              <w:jc w:val="center"/>
              <w:rPr>
                <w:rFonts w:ascii="Calibri" w:hAnsi="Calibri" w:eastAsia="宋体" w:cs="Calibri"/>
                <w:b/>
                <w:bCs/>
                <w:color w:val="000000"/>
                <w:spacing w:val="4"/>
                <w:sz w:val="24"/>
              </w:rPr>
            </w:pPr>
            <w:r>
              <w:rPr>
                <w:rFonts w:hint="eastAsia" w:ascii="宋体" w:hAnsi="宋体"/>
                <w:b/>
                <w:bCs/>
                <w:color w:val="000000"/>
                <w:spacing w:val="4"/>
                <w:sz w:val="24"/>
              </w:rPr>
              <w:t>招标文件技术条款要求</w:t>
            </w:r>
          </w:p>
        </w:tc>
        <w:tc>
          <w:tcPr>
            <w:tcW w:w="2954" w:type="dxa"/>
            <w:tcBorders>
              <w:top w:val="double" w:color="auto" w:sz="2" w:space="0"/>
              <w:left w:val="single" w:color="auto" w:sz="8" w:space="0"/>
              <w:bottom w:val="single" w:color="auto" w:sz="8" w:space="0"/>
              <w:right w:val="single" w:color="auto" w:sz="8" w:space="0"/>
            </w:tcBorders>
            <w:vAlign w:val="center"/>
          </w:tcPr>
          <w:p>
            <w:pPr>
              <w:jc w:val="center"/>
              <w:rPr>
                <w:rFonts w:ascii="Calibri" w:hAnsi="Calibri" w:eastAsia="宋体" w:cs="Calibri"/>
                <w:b/>
                <w:bCs/>
                <w:color w:val="000000"/>
                <w:spacing w:val="4"/>
                <w:sz w:val="24"/>
              </w:rPr>
            </w:pPr>
            <w:r>
              <w:rPr>
                <w:b/>
                <w:bCs/>
                <w:color w:val="000000"/>
                <w:spacing w:val="4"/>
                <w:sz w:val="24"/>
              </w:rPr>
              <w:t>投标文件</w:t>
            </w:r>
            <w:r>
              <w:rPr>
                <w:rFonts w:hint="eastAsia" w:ascii="宋体" w:hAnsi="宋体"/>
                <w:b/>
                <w:bCs/>
                <w:color w:val="000000"/>
                <w:spacing w:val="4"/>
                <w:sz w:val="24"/>
              </w:rPr>
              <w:t>技术</w:t>
            </w:r>
            <w:r>
              <w:rPr>
                <w:b/>
                <w:bCs/>
                <w:color w:val="000000"/>
                <w:spacing w:val="4"/>
                <w:sz w:val="24"/>
              </w:rPr>
              <w:t>条款应答</w:t>
            </w:r>
          </w:p>
        </w:tc>
        <w:tc>
          <w:tcPr>
            <w:tcW w:w="1155" w:type="dxa"/>
            <w:tcBorders>
              <w:top w:val="double" w:color="auto" w:sz="2" w:space="0"/>
              <w:left w:val="single" w:color="auto" w:sz="8" w:space="0"/>
              <w:bottom w:val="single" w:color="auto" w:sz="8" w:space="0"/>
              <w:right w:val="double" w:color="auto" w:sz="2" w:space="0"/>
            </w:tcBorders>
            <w:vAlign w:val="center"/>
          </w:tcPr>
          <w:p>
            <w:pPr>
              <w:jc w:val="center"/>
              <w:rPr>
                <w:rFonts w:ascii="Calibri" w:hAnsi="Calibri" w:eastAsia="宋体" w:cs="Calibri"/>
                <w:b/>
                <w:bCs/>
                <w:color w:val="000000"/>
                <w:spacing w:val="4"/>
                <w:sz w:val="24"/>
              </w:rPr>
            </w:pPr>
            <w:r>
              <w:rPr>
                <w:rFonts w:hint="eastAsia" w:ascii="宋体" w:hAnsi="宋体"/>
                <w:b/>
                <w:bCs/>
                <w:color w:val="000000"/>
                <w:spacing w:val="4"/>
                <w:sz w:val="24"/>
              </w:rPr>
              <w:t>偏离说明</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108" w:type="dxa"/>
            <w:bottom w:w="0" w:type="dxa"/>
            <w:right w:w="108" w:type="dxa"/>
          </w:tblCellMar>
        </w:tblPrEx>
        <w:trPr>
          <w:cantSplit/>
          <w:trHeight w:val="643" w:hRule="atLeast"/>
        </w:trPr>
        <w:tc>
          <w:tcPr>
            <w:tcW w:w="627" w:type="dxa"/>
            <w:tcBorders>
              <w:top w:val="single" w:color="auto" w:sz="8" w:space="0"/>
              <w:left w:val="double" w:color="auto" w:sz="2" w:space="0"/>
              <w:bottom w:val="single" w:color="auto" w:sz="8" w:space="0"/>
              <w:right w:val="single" w:color="auto" w:sz="8" w:space="0"/>
            </w:tcBorders>
          </w:tcPr>
          <w:p>
            <w:pPr>
              <w:rPr>
                <w:rFonts w:ascii="Calibri" w:hAnsi="Calibri" w:eastAsia="宋体" w:cs="Calibri"/>
                <w:color w:val="000000"/>
                <w:spacing w:val="4"/>
                <w:sz w:val="24"/>
              </w:rPr>
            </w:pPr>
          </w:p>
        </w:tc>
        <w:tc>
          <w:tcPr>
            <w:tcW w:w="1343" w:type="dxa"/>
            <w:tcBorders>
              <w:top w:val="single" w:color="auto" w:sz="8" w:space="0"/>
              <w:left w:val="single" w:color="auto" w:sz="8" w:space="0"/>
              <w:bottom w:val="single" w:color="auto" w:sz="8" w:space="0"/>
              <w:right w:val="single" w:color="auto" w:sz="8" w:space="0"/>
            </w:tcBorders>
          </w:tcPr>
          <w:p>
            <w:pPr>
              <w:rPr>
                <w:rFonts w:ascii="Calibri" w:hAnsi="Calibri" w:eastAsia="宋体" w:cs="Calibri"/>
                <w:color w:val="000000"/>
                <w:spacing w:val="4"/>
                <w:sz w:val="24"/>
              </w:rPr>
            </w:pPr>
          </w:p>
        </w:tc>
        <w:tc>
          <w:tcPr>
            <w:tcW w:w="2449" w:type="dxa"/>
            <w:tcBorders>
              <w:top w:val="single" w:color="auto" w:sz="8" w:space="0"/>
              <w:left w:val="single" w:color="auto" w:sz="8" w:space="0"/>
              <w:bottom w:val="single" w:color="auto" w:sz="8" w:space="0"/>
              <w:right w:val="single" w:color="auto" w:sz="8" w:space="0"/>
            </w:tcBorders>
          </w:tcPr>
          <w:p>
            <w:pPr>
              <w:rPr>
                <w:rFonts w:ascii="Calibri" w:hAnsi="Calibri" w:eastAsia="宋体" w:cs="Calibri"/>
                <w:color w:val="000000"/>
                <w:spacing w:val="4"/>
                <w:sz w:val="24"/>
              </w:rPr>
            </w:pPr>
          </w:p>
        </w:tc>
        <w:tc>
          <w:tcPr>
            <w:tcW w:w="2954" w:type="dxa"/>
            <w:tcBorders>
              <w:top w:val="single" w:color="auto" w:sz="8" w:space="0"/>
              <w:left w:val="single" w:color="auto" w:sz="8" w:space="0"/>
              <w:bottom w:val="single" w:color="auto" w:sz="8" w:space="0"/>
              <w:right w:val="single" w:color="auto" w:sz="8" w:space="0"/>
            </w:tcBorders>
          </w:tcPr>
          <w:p>
            <w:pPr>
              <w:rPr>
                <w:rFonts w:ascii="Calibri" w:hAnsi="Calibri" w:eastAsia="宋体" w:cs="Calibri"/>
                <w:color w:val="000000"/>
                <w:spacing w:val="4"/>
                <w:sz w:val="24"/>
              </w:rPr>
            </w:pPr>
          </w:p>
        </w:tc>
        <w:tc>
          <w:tcPr>
            <w:tcW w:w="1155" w:type="dxa"/>
            <w:tcBorders>
              <w:top w:val="single" w:color="auto" w:sz="8" w:space="0"/>
              <w:left w:val="single" w:color="auto" w:sz="8" w:space="0"/>
              <w:bottom w:val="single" w:color="auto" w:sz="8" w:space="0"/>
              <w:right w:val="double" w:color="auto" w:sz="2" w:space="0"/>
            </w:tcBorders>
          </w:tcPr>
          <w:p>
            <w:pPr>
              <w:rPr>
                <w:rFonts w:ascii="Calibri" w:hAnsi="Calibri" w:eastAsia="宋体" w:cs="Calibri"/>
                <w:color w:val="000000"/>
                <w:spacing w:val="4"/>
                <w:sz w:val="24"/>
              </w:rPr>
            </w:pP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108" w:type="dxa"/>
            <w:bottom w:w="0" w:type="dxa"/>
            <w:right w:w="108" w:type="dxa"/>
          </w:tblCellMar>
        </w:tblPrEx>
        <w:trPr>
          <w:cantSplit/>
          <w:trHeight w:val="619" w:hRule="atLeast"/>
        </w:trPr>
        <w:tc>
          <w:tcPr>
            <w:tcW w:w="627" w:type="dxa"/>
            <w:tcBorders>
              <w:top w:val="single" w:color="auto" w:sz="8" w:space="0"/>
              <w:left w:val="double" w:color="auto" w:sz="2" w:space="0"/>
              <w:bottom w:val="single" w:color="auto" w:sz="8" w:space="0"/>
              <w:right w:val="single" w:color="auto" w:sz="8" w:space="0"/>
            </w:tcBorders>
          </w:tcPr>
          <w:p>
            <w:pPr>
              <w:rPr>
                <w:rFonts w:ascii="Calibri" w:hAnsi="Calibri" w:eastAsia="宋体" w:cs="Calibri"/>
                <w:color w:val="000000"/>
                <w:spacing w:val="4"/>
                <w:sz w:val="24"/>
              </w:rPr>
            </w:pPr>
          </w:p>
        </w:tc>
        <w:tc>
          <w:tcPr>
            <w:tcW w:w="1343" w:type="dxa"/>
            <w:tcBorders>
              <w:top w:val="single" w:color="auto" w:sz="8" w:space="0"/>
              <w:left w:val="single" w:color="auto" w:sz="8" w:space="0"/>
              <w:bottom w:val="single" w:color="auto" w:sz="8" w:space="0"/>
              <w:right w:val="single" w:color="auto" w:sz="8" w:space="0"/>
            </w:tcBorders>
          </w:tcPr>
          <w:p>
            <w:pPr>
              <w:rPr>
                <w:rFonts w:ascii="Calibri" w:hAnsi="Calibri" w:eastAsia="宋体" w:cs="Calibri"/>
                <w:color w:val="000000"/>
                <w:spacing w:val="4"/>
                <w:sz w:val="24"/>
              </w:rPr>
            </w:pPr>
          </w:p>
        </w:tc>
        <w:tc>
          <w:tcPr>
            <w:tcW w:w="2449" w:type="dxa"/>
            <w:tcBorders>
              <w:top w:val="single" w:color="auto" w:sz="8" w:space="0"/>
              <w:left w:val="single" w:color="auto" w:sz="8" w:space="0"/>
              <w:bottom w:val="single" w:color="auto" w:sz="8" w:space="0"/>
              <w:right w:val="single" w:color="auto" w:sz="8" w:space="0"/>
            </w:tcBorders>
          </w:tcPr>
          <w:p>
            <w:pPr>
              <w:rPr>
                <w:rFonts w:ascii="Calibri" w:hAnsi="Calibri" w:eastAsia="宋体" w:cs="Calibri"/>
                <w:color w:val="000000"/>
                <w:spacing w:val="4"/>
                <w:sz w:val="24"/>
              </w:rPr>
            </w:pPr>
          </w:p>
        </w:tc>
        <w:tc>
          <w:tcPr>
            <w:tcW w:w="2954" w:type="dxa"/>
            <w:tcBorders>
              <w:top w:val="single" w:color="auto" w:sz="8" w:space="0"/>
              <w:left w:val="single" w:color="auto" w:sz="8" w:space="0"/>
              <w:bottom w:val="single" w:color="auto" w:sz="8" w:space="0"/>
              <w:right w:val="single" w:color="auto" w:sz="8" w:space="0"/>
            </w:tcBorders>
          </w:tcPr>
          <w:p>
            <w:pPr>
              <w:rPr>
                <w:rFonts w:ascii="Calibri" w:hAnsi="Calibri" w:eastAsia="宋体" w:cs="Calibri"/>
                <w:color w:val="000000"/>
                <w:spacing w:val="4"/>
                <w:sz w:val="24"/>
              </w:rPr>
            </w:pPr>
          </w:p>
        </w:tc>
        <w:tc>
          <w:tcPr>
            <w:tcW w:w="1155" w:type="dxa"/>
            <w:tcBorders>
              <w:top w:val="single" w:color="auto" w:sz="8" w:space="0"/>
              <w:left w:val="single" w:color="auto" w:sz="8" w:space="0"/>
              <w:bottom w:val="single" w:color="auto" w:sz="8" w:space="0"/>
              <w:right w:val="double" w:color="auto" w:sz="2" w:space="0"/>
            </w:tcBorders>
          </w:tcPr>
          <w:p>
            <w:pPr>
              <w:rPr>
                <w:rFonts w:ascii="Calibri" w:hAnsi="Calibri" w:eastAsia="宋体" w:cs="Calibri"/>
                <w:color w:val="000000"/>
                <w:spacing w:val="4"/>
                <w:sz w:val="24"/>
              </w:rPr>
            </w:pP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108" w:type="dxa"/>
            <w:bottom w:w="0" w:type="dxa"/>
            <w:right w:w="108" w:type="dxa"/>
          </w:tblCellMar>
        </w:tblPrEx>
        <w:trPr>
          <w:cantSplit/>
          <w:trHeight w:val="595" w:hRule="atLeast"/>
        </w:trPr>
        <w:tc>
          <w:tcPr>
            <w:tcW w:w="627" w:type="dxa"/>
            <w:tcBorders>
              <w:top w:val="single" w:color="auto" w:sz="8" w:space="0"/>
              <w:left w:val="double" w:color="auto" w:sz="2" w:space="0"/>
              <w:bottom w:val="single" w:color="auto" w:sz="8" w:space="0"/>
              <w:right w:val="single" w:color="auto" w:sz="8" w:space="0"/>
            </w:tcBorders>
          </w:tcPr>
          <w:p>
            <w:pPr>
              <w:rPr>
                <w:rFonts w:ascii="Calibri" w:hAnsi="Calibri" w:eastAsia="宋体" w:cs="Calibri"/>
                <w:color w:val="000000"/>
                <w:spacing w:val="4"/>
                <w:sz w:val="24"/>
              </w:rPr>
            </w:pPr>
          </w:p>
        </w:tc>
        <w:tc>
          <w:tcPr>
            <w:tcW w:w="1343" w:type="dxa"/>
            <w:tcBorders>
              <w:top w:val="single" w:color="auto" w:sz="8" w:space="0"/>
              <w:left w:val="single" w:color="auto" w:sz="8" w:space="0"/>
              <w:bottom w:val="single" w:color="auto" w:sz="8" w:space="0"/>
              <w:right w:val="single" w:color="auto" w:sz="8" w:space="0"/>
            </w:tcBorders>
          </w:tcPr>
          <w:p>
            <w:pPr>
              <w:rPr>
                <w:rFonts w:ascii="Calibri" w:hAnsi="Calibri" w:eastAsia="宋体" w:cs="Calibri"/>
                <w:color w:val="000000"/>
                <w:spacing w:val="4"/>
                <w:sz w:val="24"/>
              </w:rPr>
            </w:pPr>
          </w:p>
        </w:tc>
        <w:tc>
          <w:tcPr>
            <w:tcW w:w="2449" w:type="dxa"/>
            <w:tcBorders>
              <w:top w:val="single" w:color="auto" w:sz="8" w:space="0"/>
              <w:left w:val="single" w:color="auto" w:sz="8" w:space="0"/>
              <w:bottom w:val="single" w:color="auto" w:sz="8" w:space="0"/>
              <w:right w:val="single" w:color="auto" w:sz="8" w:space="0"/>
            </w:tcBorders>
          </w:tcPr>
          <w:p>
            <w:pPr>
              <w:rPr>
                <w:rFonts w:ascii="Calibri" w:hAnsi="Calibri" w:eastAsia="宋体" w:cs="Calibri"/>
                <w:color w:val="000000"/>
                <w:spacing w:val="4"/>
                <w:sz w:val="24"/>
              </w:rPr>
            </w:pPr>
          </w:p>
        </w:tc>
        <w:tc>
          <w:tcPr>
            <w:tcW w:w="2954" w:type="dxa"/>
            <w:tcBorders>
              <w:top w:val="single" w:color="auto" w:sz="8" w:space="0"/>
              <w:left w:val="single" w:color="auto" w:sz="8" w:space="0"/>
              <w:bottom w:val="single" w:color="auto" w:sz="8" w:space="0"/>
              <w:right w:val="single" w:color="auto" w:sz="8" w:space="0"/>
            </w:tcBorders>
          </w:tcPr>
          <w:p>
            <w:pPr>
              <w:rPr>
                <w:rFonts w:ascii="Calibri" w:hAnsi="Calibri" w:eastAsia="宋体" w:cs="Calibri"/>
                <w:color w:val="000000"/>
                <w:spacing w:val="4"/>
                <w:sz w:val="24"/>
              </w:rPr>
            </w:pPr>
          </w:p>
        </w:tc>
        <w:tc>
          <w:tcPr>
            <w:tcW w:w="1155" w:type="dxa"/>
            <w:tcBorders>
              <w:top w:val="single" w:color="auto" w:sz="8" w:space="0"/>
              <w:left w:val="single" w:color="auto" w:sz="8" w:space="0"/>
              <w:bottom w:val="single" w:color="auto" w:sz="8" w:space="0"/>
              <w:right w:val="double" w:color="auto" w:sz="2" w:space="0"/>
            </w:tcBorders>
          </w:tcPr>
          <w:p>
            <w:pPr>
              <w:rPr>
                <w:rFonts w:ascii="Calibri" w:hAnsi="Calibri" w:eastAsia="宋体" w:cs="Calibri"/>
                <w:color w:val="000000"/>
                <w:spacing w:val="4"/>
                <w:sz w:val="24"/>
              </w:rPr>
            </w:pP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108" w:type="dxa"/>
            <w:bottom w:w="0" w:type="dxa"/>
            <w:right w:w="108" w:type="dxa"/>
          </w:tblCellMar>
        </w:tblPrEx>
        <w:trPr>
          <w:cantSplit/>
          <w:trHeight w:val="585" w:hRule="atLeast"/>
        </w:trPr>
        <w:tc>
          <w:tcPr>
            <w:tcW w:w="627" w:type="dxa"/>
            <w:tcBorders>
              <w:top w:val="single" w:color="auto" w:sz="8" w:space="0"/>
              <w:left w:val="double" w:color="auto" w:sz="2" w:space="0"/>
              <w:bottom w:val="single" w:color="auto" w:sz="8" w:space="0"/>
              <w:right w:val="single" w:color="auto" w:sz="8" w:space="0"/>
            </w:tcBorders>
          </w:tcPr>
          <w:p>
            <w:pPr>
              <w:rPr>
                <w:rFonts w:ascii="Calibri" w:hAnsi="Calibri" w:eastAsia="宋体" w:cs="Calibri"/>
                <w:color w:val="000000"/>
                <w:spacing w:val="4"/>
                <w:sz w:val="24"/>
              </w:rPr>
            </w:pPr>
          </w:p>
        </w:tc>
        <w:tc>
          <w:tcPr>
            <w:tcW w:w="1343" w:type="dxa"/>
            <w:tcBorders>
              <w:top w:val="single" w:color="auto" w:sz="8" w:space="0"/>
              <w:left w:val="single" w:color="auto" w:sz="8" w:space="0"/>
              <w:bottom w:val="single" w:color="auto" w:sz="8" w:space="0"/>
              <w:right w:val="single" w:color="auto" w:sz="8" w:space="0"/>
            </w:tcBorders>
          </w:tcPr>
          <w:p>
            <w:pPr>
              <w:rPr>
                <w:rFonts w:ascii="Calibri" w:hAnsi="Calibri" w:eastAsia="宋体" w:cs="Calibri"/>
                <w:color w:val="000000"/>
                <w:spacing w:val="4"/>
                <w:sz w:val="24"/>
              </w:rPr>
            </w:pPr>
          </w:p>
        </w:tc>
        <w:tc>
          <w:tcPr>
            <w:tcW w:w="2449" w:type="dxa"/>
            <w:tcBorders>
              <w:top w:val="single" w:color="auto" w:sz="8" w:space="0"/>
              <w:left w:val="single" w:color="auto" w:sz="8" w:space="0"/>
              <w:bottom w:val="single" w:color="auto" w:sz="8" w:space="0"/>
              <w:right w:val="single" w:color="auto" w:sz="8" w:space="0"/>
            </w:tcBorders>
          </w:tcPr>
          <w:p>
            <w:pPr>
              <w:rPr>
                <w:rFonts w:ascii="Calibri" w:hAnsi="Calibri" w:eastAsia="宋体" w:cs="Calibri"/>
                <w:color w:val="000000"/>
                <w:spacing w:val="4"/>
                <w:sz w:val="24"/>
              </w:rPr>
            </w:pPr>
          </w:p>
        </w:tc>
        <w:tc>
          <w:tcPr>
            <w:tcW w:w="2954" w:type="dxa"/>
            <w:tcBorders>
              <w:top w:val="single" w:color="auto" w:sz="8" w:space="0"/>
              <w:left w:val="single" w:color="auto" w:sz="8" w:space="0"/>
              <w:bottom w:val="single" w:color="auto" w:sz="8" w:space="0"/>
              <w:right w:val="single" w:color="auto" w:sz="8" w:space="0"/>
            </w:tcBorders>
          </w:tcPr>
          <w:p>
            <w:pPr>
              <w:rPr>
                <w:rFonts w:ascii="Calibri" w:hAnsi="Calibri" w:eastAsia="宋体" w:cs="Calibri"/>
                <w:color w:val="000000"/>
                <w:spacing w:val="4"/>
                <w:sz w:val="24"/>
              </w:rPr>
            </w:pPr>
          </w:p>
        </w:tc>
        <w:tc>
          <w:tcPr>
            <w:tcW w:w="1155" w:type="dxa"/>
            <w:tcBorders>
              <w:top w:val="single" w:color="auto" w:sz="8" w:space="0"/>
              <w:left w:val="single" w:color="auto" w:sz="8" w:space="0"/>
              <w:bottom w:val="single" w:color="auto" w:sz="8" w:space="0"/>
              <w:right w:val="double" w:color="auto" w:sz="2" w:space="0"/>
            </w:tcBorders>
          </w:tcPr>
          <w:p>
            <w:pPr>
              <w:rPr>
                <w:rFonts w:ascii="Calibri" w:hAnsi="Calibri" w:eastAsia="宋体" w:cs="Calibri"/>
                <w:color w:val="000000"/>
                <w:spacing w:val="4"/>
                <w:sz w:val="24"/>
              </w:rPr>
            </w:pP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108" w:type="dxa"/>
            <w:bottom w:w="0" w:type="dxa"/>
            <w:right w:w="108" w:type="dxa"/>
          </w:tblCellMar>
        </w:tblPrEx>
        <w:trPr>
          <w:cantSplit/>
          <w:trHeight w:val="702" w:hRule="atLeast"/>
        </w:trPr>
        <w:tc>
          <w:tcPr>
            <w:tcW w:w="627" w:type="dxa"/>
            <w:tcBorders>
              <w:top w:val="single" w:color="auto" w:sz="8" w:space="0"/>
              <w:left w:val="double" w:color="auto" w:sz="2" w:space="0"/>
              <w:bottom w:val="double" w:color="auto" w:sz="2" w:space="0"/>
              <w:right w:val="single" w:color="auto" w:sz="8" w:space="0"/>
            </w:tcBorders>
          </w:tcPr>
          <w:p>
            <w:pPr>
              <w:rPr>
                <w:rFonts w:ascii="Calibri" w:hAnsi="Calibri" w:eastAsia="宋体" w:cs="Calibri"/>
                <w:color w:val="000000"/>
                <w:spacing w:val="4"/>
                <w:sz w:val="24"/>
              </w:rPr>
            </w:pPr>
          </w:p>
        </w:tc>
        <w:tc>
          <w:tcPr>
            <w:tcW w:w="1343" w:type="dxa"/>
            <w:tcBorders>
              <w:top w:val="single" w:color="auto" w:sz="8" w:space="0"/>
              <w:left w:val="single" w:color="auto" w:sz="8" w:space="0"/>
              <w:bottom w:val="double" w:color="auto" w:sz="2" w:space="0"/>
              <w:right w:val="single" w:color="auto" w:sz="8" w:space="0"/>
            </w:tcBorders>
          </w:tcPr>
          <w:p>
            <w:pPr>
              <w:rPr>
                <w:rFonts w:ascii="Calibri" w:hAnsi="Calibri" w:eastAsia="宋体" w:cs="Calibri"/>
                <w:color w:val="000000"/>
                <w:spacing w:val="4"/>
                <w:sz w:val="24"/>
              </w:rPr>
            </w:pPr>
          </w:p>
        </w:tc>
        <w:tc>
          <w:tcPr>
            <w:tcW w:w="2449" w:type="dxa"/>
            <w:tcBorders>
              <w:top w:val="single" w:color="auto" w:sz="8" w:space="0"/>
              <w:left w:val="single" w:color="auto" w:sz="8" w:space="0"/>
              <w:bottom w:val="double" w:color="auto" w:sz="2" w:space="0"/>
              <w:right w:val="single" w:color="auto" w:sz="8" w:space="0"/>
            </w:tcBorders>
          </w:tcPr>
          <w:p>
            <w:pPr>
              <w:rPr>
                <w:rFonts w:ascii="Calibri" w:hAnsi="Calibri" w:eastAsia="宋体" w:cs="Calibri"/>
                <w:color w:val="000000"/>
                <w:spacing w:val="4"/>
                <w:sz w:val="24"/>
              </w:rPr>
            </w:pPr>
          </w:p>
        </w:tc>
        <w:tc>
          <w:tcPr>
            <w:tcW w:w="2954" w:type="dxa"/>
            <w:tcBorders>
              <w:top w:val="single" w:color="auto" w:sz="8" w:space="0"/>
              <w:left w:val="single" w:color="auto" w:sz="8" w:space="0"/>
              <w:bottom w:val="double" w:color="auto" w:sz="2" w:space="0"/>
              <w:right w:val="single" w:color="auto" w:sz="8" w:space="0"/>
            </w:tcBorders>
          </w:tcPr>
          <w:p>
            <w:pPr>
              <w:rPr>
                <w:rFonts w:ascii="Calibri" w:hAnsi="Calibri" w:eastAsia="宋体" w:cs="Calibri"/>
                <w:color w:val="000000"/>
                <w:spacing w:val="4"/>
                <w:sz w:val="24"/>
              </w:rPr>
            </w:pPr>
          </w:p>
        </w:tc>
        <w:tc>
          <w:tcPr>
            <w:tcW w:w="1155" w:type="dxa"/>
            <w:tcBorders>
              <w:top w:val="single" w:color="auto" w:sz="8" w:space="0"/>
              <w:left w:val="single" w:color="auto" w:sz="8" w:space="0"/>
              <w:bottom w:val="double" w:color="auto" w:sz="2" w:space="0"/>
              <w:right w:val="double" w:color="auto" w:sz="2" w:space="0"/>
            </w:tcBorders>
          </w:tcPr>
          <w:p>
            <w:pPr>
              <w:rPr>
                <w:rFonts w:ascii="Calibri" w:hAnsi="Calibri" w:eastAsia="宋体" w:cs="Calibri"/>
                <w:color w:val="000000"/>
                <w:spacing w:val="4"/>
                <w:sz w:val="24"/>
              </w:rPr>
            </w:pPr>
          </w:p>
        </w:tc>
      </w:tr>
    </w:tbl>
    <w:p>
      <w:pPr>
        <w:adjustRightInd w:val="0"/>
        <w:snapToGrid w:val="0"/>
        <w:spacing w:line="400" w:lineRule="atLeast"/>
        <w:rPr>
          <w:rFonts w:ascii="Calibri" w:hAnsi="宋体" w:cs="Calibri"/>
          <w:sz w:val="24"/>
        </w:rPr>
      </w:pPr>
      <w:r>
        <w:rPr>
          <w:rFonts w:ascii="宋体" w:hAnsi="宋体"/>
          <w:sz w:val="24"/>
        </w:rPr>
        <w:t>我司确认，除上述偏离外，我司完全接受招标文件中其他</w:t>
      </w:r>
      <w:r>
        <w:rPr>
          <w:rFonts w:hint="eastAsia" w:ascii="宋体" w:hAnsi="宋体"/>
          <w:sz w:val="24"/>
        </w:rPr>
        <w:t>技术</w:t>
      </w:r>
      <w:r>
        <w:rPr>
          <w:rFonts w:ascii="宋体" w:hAnsi="宋体"/>
          <w:sz w:val="24"/>
        </w:rPr>
        <w:t>条款。</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投标人</w:t>
      </w:r>
      <w:r>
        <w:rPr>
          <w:rFonts w:ascii="宋体" w:hAnsi="宋体"/>
          <w:sz w:val="24"/>
        </w:rPr>
        <w:t>授权代表</w:t>
      </w:r>
      <w:r>
        <w:rPr>
          <w:rFonts w:hint="eastAsia" w:ascii="宋体" w:hAnsi="宋体"/>
          <w:sz w:val="24"/>
        </w:rPr>
        <w:t>（签字）：</w:t>
      </w:r>
    </w:p>
    <w:p>
      <w:pPr>
        <w:spacing w:line="360" w:lineRule="auto"/>
        <w:rPr>
          <w:rFonts w:ascii="宋体" w:hAnsi="宋体"/>
          <w:sz w:val="24"/>
        </w:rPr>
      </w:pPr>
      <w:r>
        <w:rPr>
          <w:rFonts w:hint="eastAsia" w:ascii="宋体" w:hAnsi="宋体"/>
          <w:sz w:val="24"/>
        </w:rPr>
        <w:t>投标人（盖公章）：</w:t>
      </w:r>
    </w:p>
    <w:p>
      <w:pPr>
        <w:adjustRightInd w:val="0"/>
        <w:snapToGrid w:val="0"/>
        <w:spacing w:line="400" w:lineRule="atLeast"/>
        <w:rPr>
          <w:rFonts w:ascii="Calibri" w:hAnsi="Calibri"/>
          <w:sz w:val="24"/>
        </w:rPr>
      </w:pPr>
      <w:r>
        <w:rPr>
          <w:rFonts w:hint="eastAsia" w:ascii="宋体" w:hAnsi="宋体"/>
          <w:sz w:val="24"/>
        </w:rPr>
        <w:t>日期：   年   月   日</w:t>
      </w:r>
    </w:p>
    <w:p>
      <w:pPr>
        <w:rPr>
          <w:sz w:val="24"/>
        </w:rPr>
      </w:pPr>
      <w:r>
        <w:rPr>
          <w:sz w:val="24"/>
        </w:rPr>
        <w:t xml:space="preserve"> </w:t>
      </w:r>
    </w:p>
    <w:p>
      <w:pPr>
        <w:rPr>
          <w:sz w:val="24"/>
        </w:rPr>
      </w:pPr>
      <w:r>
        <w:rPr>
          <w:sz w:val="24"/>
        </w:rPr>
        <w:t xml:space="preserve"> </w:t>
      </w:r>
    </w:p>
    <w:p>
      <w:pPr>
        <w:ind w:left="960" w:hanging="960" w:hangingChars="400"/>
        <w:rPr>
          <w:rFonts w:hAnsi="宋体"/>
          <w:sz w:val="24"/>
        </w:rPr>
      </w:pPr>
      <w:r>
        <w:rPr>
          <w:rFonts w:ascii="宋体" w:hAnsi="宋体"/>
          <w:sz w:val="24"/>
        </w:rPr>
        <w:t>注解：</w:t>
      </w:r>
    </w:p>
    <w:p>
      <w:pPr>
        <w:rPr>
          <w:rFonts w:hAnsi="宋体"/>
          <w:sz w:val="24"/>
        </w:rPr>
      </w:pPr>
      <w:r>
        <w:rPr>
          <w:rFonts w:hAnsi="宋体"/>
          <w:sz w:val="24"/>
        </w:rPr>
        <w:t>1</w:t>
      </w:r>
      <w:r>
        <w:rPr>
          <w:rFonts w:hint="eastAsia" w:ascii="宋体" w:hAnsi="宋体"/>
          <w:sz w:val="24"/>
        </w:rPr>
        <w:t>）</w:t>
      </w:r>
      <w:r>
        <w:rPr>
          <w:rFonts w:ascii="宋体" w:hAnsi="宋体"/>
          <w:sz w:val="24"/>
        </w:rPr>
        <w:t>投标人必须填写此表</w:t>
      </w:r>
      <w:r>
        <w:rPr>
          <w:rFonts w:hint="eastAsia" w:ascii="宋体" w:hAnsi="宋体"/>
          <w:sz w:val="24"/>
        </w:rPr>
        <w:t>，</w:t>
      </w:r>
      <w:r>
        <w:rPr>
          <w:rFonts w:ascii="宋体" w:hAnsi="宋体"/>
          <w:sz w:val="24"/>
        </w:rPr>
        <w:t>若</w:t>
      </w:r>
      <w:r>
        <w:rPr>
          <w:rFonts w:hint="eastAsia" w:ascii="宋体" w:hAnsi="宋体"/>
          <w:sz w:val="24"/>
        </w:rPr>
        <w:t>无</w:t>
      </w:r>
      <w:r>
        <w:rPr>
          <w:rFonts w:ascii="宋体" w:hAnsi="宋体"/>
          <w:sz w:val="24"/>
        </w:rPr>
        <w:t>偏离</w:t>
      </w:r>
      <w:r>
        <w:rPr>
          <w:rFonts w:hint="eastAsia" w:ascii="宋体" w:hAnsi="宋体"/>
          <w:sz w:val="24"/>
        </w:rPr>
        <w:t>和</w:t>
      </w:r>
      <w:r>
        <w:rPr>
          <w:rFonts w:ascii="宋体" w:hAnsi="宋体"/>
          <w:sz w:val="24"/>
        </w:rPr>
        <w:t>有不影响评分的正偏离</w:t>
      </w:r>
      <w:r>
        <w:rPr>
          <w:rFonts w:hint="eastAsia" w:ascii="宋体" w:hAnsi="宋体"/>
          <w:sz w:val="24"/>
        </w:rPr>
        <w:t>，</w:t>
      </w:r>
      <w:r>
        <w:rPr>
          <w:rFonts w:ascii="宋体" w:hAnsi="宋体"/>
          <w:sz w:val="24"/>
        </w:rPr>
        <w:t>请</w:t>
      </w:r>
      <w:r>
        <w:rPr>
          <w:rFonts w:hint="eastAsia" w:ascii="宋体" w:hAnsi="宋体"/>
          <w:sz w:val="24"/>
        </w:rPr>
        <w:t>在“偏离说明”列</w:t>
      </w:r>
      <w:r>
        <w:rPr>
          <w:rFonts w:ascii="宋体" w:hAnsi="宋体"/>
          <w:sz w:val="24"/>
        </w:rPr>
        <w:t>填写</w:t>
      </w:r>
      <w:r>
        <w:rPr>
          <w:rFonts w:hint="eastAsia" w:ascii="宋体" w:hAnsi="宋体"/>
          <w:sz w:val="24"/>
        </w:rPr>
        <w:t>“</w:t>
      </w:r>
      <w:r>
        <w:rPr>
          <w:rFonts w:ascii="宋体" w:hAnsi="宋体"/>
          <w:sz w:val="24"/>
        </w:rPr>
        <w:t>无</w:t>
      </w:r>
      <w:r>
        <w:rPr>
          <w:rFonts w:hint="eastAsia" w:ascii="宋体" w:hAnsi="宋体"/>
          <w:sz w:val="24"/>
        </w:rPr>
        <w:t>”；其他</w:t>
      </w:r>
      <w:r>
        <w:rPr>
          <w:rFonts w:ascii="宋体" w:hAnsi="宋体"/>
          <w:sz w:val="24"/>
        </w:rPr>
        <w:t>情况请填写</w:t>
      </w:r>
      <w:r>
        <w:rPr>
          <w:rFonts w:hAnsi="宋体"/>
          <w:sz w:val="24"/>
        </w:rPr>
        <w:t>“</w:t>
      </w:r>
      <w:r>
        <w:rPr>
          <w:rFonts w:hint="eastAsia" w:ascii="宋体" w:hAnsi="宋体"/>
          <w:sz w:val="24"/>
        </w:rPr>
        <w:t>正偏离</w:t>
      </w:r>
      <w:r>
        <w:rPr>
          <w:rFonts w:hAnsi="宋体"/>
          <w:sz w:val="24"/>
        </w:rPr>
        <w:t>”</w:t>
      </w:r>
      <w:r>
        <w:rPr>
          <w:rFonts w:hint="eastAsia" w:ascii="宋体" w:hAnsi="宋体"/>
          <w:sz w:val="24"/>
        </w:rPr>
        <w:t>或“负偏离</w:t>
      </w:r>
      <w:r>
        <w:rPr>
          <w:rFonts w:hAnsi="宋体"/>
          <w:sz w:val="24"/>
        </w:rPr>
        <w:t>”</w:t>
      </w:r>
      <w:r>
        <w:rPr>
          <w:rFonts w:hint="eastAsia" w:ascii="宋体" w:hAnsi="宋体"/>
          <w:sz w:val="24"/>
        </w:rPr>
        <w:t>（部分</w:t>
      </w:r>
      <w:r>
        <w:rPr>
          <w:rFonts w:ascii="宋体" w:hAnsi="宋体"/>
          <w:sz w:val="24"/>
        </w:rPr>
        <w:t>满足</w:t>
      </w:r>
      <w:r>
        <w:rPr>
          <w:rFonts w:hint="eastAsia" w:ascii="宋体" w:hAnsi="宋体"/>
          <w:sz w:val="24"/>
        </w:rPr>
        <w:t>视为</w:t>
      </w:r>
      <w:r>
        <w:rPr>
          <w:rFonts w:ascii="宋体" w:hAnsi="宋体"/>
          <w:sz w:val="24"/>
        </w:rPr>
        <w:t>负偏离）</w:t>
      </w:r>
      <w:r>
        <w:rPr>
          <w:rFonts w:hint="eastAsia" w:ascii="宋体" w:hAnsi="宋体"/>
          <w:sz w:val="24"/>
        </w:rPr>
        <w:t>；</w:t>
      </w:r>
    </w:p>
    <w:p>
      <w:pPr>
        <w:rPr>
          <w:rFonts w:ascii="宋体" w:hAnsi="宋体"/>
          <w:sz w:val="24"/>
        </w:rPr>
      </w:pPr>
      <w:r>
        <w:rPr>
          <w:rFonts w:hint="eastAsia" w:ascii="宋体" w:hAnsi="宋体"/>
          <w:sz w:val="24"/>
        </w:rPr>
        <w:t>2）投标人</w:t>
      </w:r>
      <w:r>
        <w:rPr>
          <w:rFonts w:ascii="宋体" w:hAnsi="宋体"/>
          <w:sz w:val="24"/>
        </w:rPr>
        <w:t>需将</w:t>
      </w:r>
      <w:r>
        <w:rPr>
          <w:rFonts w:hint="eastAsia" w:ascii="宋体" w:hAnsi="宋体"/>
          <w:sz w:val="24"/>
        </w:rPr>
        <w:t>技术需求说明书所有</w:t>
      </w:r>
      <w:r>
        <w:rPr>
          <w:rFonts w:ascii="宋体" w:hAnsi="宋体"/>
          <w:sz w:val="24"/>
        </w:rPr>
        <w:t>要求部分</w:t>
      </w:r>
      <w:r>
        <w:rPr>
          <w:rFonts w:hint="eastAsia" w:ascii="宋体" w:hAnsi="宋体"/>
          <w:sz w:val="24"/>
        </w:rPr>
        <w:t>的偏离逐一列明，未声明部分将被视为已接受招标文件要求，没有偏离，签约时未经招标人同意不得改变；</w:t>
      </w:r>
    </w:p>
    <w:p>
      <w:pPr>
        <w:rPr>
          <w:rFonts w:ascii="宋体" w:hAnsi="宋体"/>
          <w:sz w:val="24"/>
        </w:rPr>
      </w:pPr>
      <w:r>
        <w:rPr>
          <w:rFonts w:hint="eastAsia" w:ascii="宋体" w:hAnsi="宋体"/>
          <w:sz w:val="24"/>
        </w:rPr>
        <w:t>3）偏离项应填写具体的应答内容，并辅以详细解释；</w:t>
      </w:r>
    </w:p>
    <w:p>
      <w:pPr>
        <w:rPr>
          <w:rFonts w:ascii="宋体" w:hAnsi="宋体"/>
          <w:sz w:val="24"/>
        </w:rPr>
      </w:pPr>
      <w:r>
        <w:rPr>
          <w:rFonts w:hint="eastAsia" w:ascii="宋体" w:hAnsi="宋体"/>
          <w:sz w:val="24"/>
        </w:rPr>
        <w:t xml:space="preserve"> </w:t>
      </w:r>
    </w:p>
    <w:p>
      <w:pPr>
        <w:adjustRightInd w:val="0"/>
        <w:snapToGrid w:val="0"/>
        <w:spacing w:line="360" w:lineRule="auto"/>
        <w:rPr>
          <w:rFonts w:ascii="Calibri" w:hAnsi="Calibri"/>
          <w:b/>
          <w:bCs/>
          <w:sz w:val="24"/>
        </w:rPr>
      </w:pPr>
      <w:r>
        <w:rPr>
          <w:b/>
          <w:bCs/>
          <w:sz w:val="24"/>
        </w:rPr>
        <w:t xml:space="preserve"> </w:t>
      </w:r>
    </w:p>
    <w:p>
      <w:pPr>
        <w:adjustRightInd w:val="0"/>
        <w:snapToGrid w:val="0"/>
        <w:spacing w:line="360" w:lineRule="auto"/>
        <w:rPr>
          <w:b/>
          <w:bCs/>
          <w:sz w:val="24"/>
        </w:rPr>
      </w:pPr>
      <w:r>
        <w:rPr>
          <w:b/>
          <w:bCs/>
          <w:sz w:val="24"/>
        </w:rPr>
        <w:t xml:space="preserve"> </w:t>
      </w:r>
    </w:p>
    <w:p>
      <w:pPr>
        <w:pStyle w:val="5"/>
        <w:spacing w:before="165" w:after="165"/>
        <w:jc w:val="center"/>
        <w:rPr>
          <w:rFonts w:ascii="Times New Roman" w:hAnsi="宋体" w:eastAsia="宋体" w:cs="Times New Roman"/>
          <w:b w:val="0"/>
          <w:bCs/>
          <w:sz w:val="24"/>
        </w:rPr>
      </w:pPr>
      <w:r>
        <w:rPr>
          <w:rFonts w:hint="eastAsia"/>
        </w:rPr>
        <w:br w:type="page"/>
      </w:r>
      <w:r>
        <w:rPr>
          <w:rFonts w:ascii="宋体" w:hAnsi="宋体" w:eastAsia="宋体" w:cs="Times New Roman"/>
          <w:b w:val="0"/>
          <w:bCs/>
        </w:rPr>
        <w:t>格式</w:t>
      </w:r>
      <w:r>
        <w:rPr>
          <w:rFonts w:hint="eastAsia" w:ascii="Times New Roman" w:hAnsi="宋体" w:eastAsia="宋体"/>
          <w:b w:val="0"/>
          <w:bCs/>
        </w:rPr>
        <w:t>9</w:t>
      </w:r>
      <w:r>
        <w:rPr>
          <w:rFonts w:ascii="Times New Roman" w:hAnsi="宋体" w:eastAsia="宋体" w:cs="Times New Roman"/>
          <w:b w:val="0"/>
          <w:bCs/>
        </w:rPr>
        <w:t>.</w:t>
      </w:r>
      <w:r>
        <w:rPr>
          <w:rFonts w:ascii="宋体" w:hAnsi="宋体" w:eastAsia="宋体" w:cs="Times New Roman"/>
          <w:b w:val="0"/>
          <w:bCs/>
        </w:rPr>
        <w:t>资格</w:t>
      </w:r>
      <w:r>
        <w:rPr>
          <w:rFonts w:hint="eastAsia" w:ascii="宋体" w:hAnsi="宋体" w:eastAsia="宋体"/>
          <w:b w:val="0"/>
          <w:bCs/>
        </w:rPr>
        <w:t>证明文件</w:t>
      </w:r>
      <w:r>
        <w:rPr>
          <w:rFonts w:ascii="宋体" w:hAnsi="宋体" w:eastAsia="宋体" w:cs="Times New Roman"/>
          <w:b w:val="0"/>
          <w:bCs/>
        </w:rPr>
        <w:t>格式</w:t>
      </w:r>
    </w:p>
    <w:p>
      <w:pPr>
        <w:spacing w:line="360" w:lineRule="auto"/>
        <w:jc w:val="center"/>
        <w:rPr>
          <w:rFonts w:ascii="Calibri" w:hAnsi="Calibri" w:eastAsia="宋体" w:cs="Calibri"/>
          <w:sz w:val="24"/>
        </w:rPr>
      </w:pPr>
      <w:r>
        <w:rPr>
          <w:rFonts w:hint="eastAsia" w:ascii="宋体" w:hAnsi="宋体"/>
          <w:sz w:val="24"/>
        </w:rPr>
        <w:t>资格声明</w:t>
      </w:r>
    </w:p>
    <w:p>
      <w:pPr>
        <w:adjustRightInd w:val="0"/>
        <w:snapToGrid w:val="0"/>
        <w:spacing w:line="360" w:lineRule="auto"/>
        <w:rPr>
          <w:sz w:val="24"/>
        </w:rPr>
      </w:pPr>
      <w:r>
        <w:rPr>
          <w:sz w:val="24"/>
        </w:rPr>
        <w:t xml:space="preserve"> </w:t>
      </w:r>
    </w:p>
    <w:p>
      <w:pPr>
        <w:adjustRightInd w:val="0"/>
        <w:snapToGrid w:val="0"/>
        <w:spacing w:line="360" w:lineRule="auto"/>
        <w:rPr>
          <w:sz w:val="24"/>
        </w:rPr>
      </w:pPr>
      <w:r>
        <w:rPr>
          <w:sz w:val="24"/>
        </w:rPr>
        <w:t>1</w:t>
      </w:r>
      <w:r>
        <w:rPr>
          <w:rFonts w:hint="eastAsia" w:ascii="宋体" w:hAnsi="宋体"/>
          <w:sz w:val="24"/>
        </w:rPr>
        <w:t>．投标人名称及概况：</w:t>
      </w:r>
    </w:p>
    <w:p>
      <w:pPr>
        <w:adjustRightInd w:val="0"/>
        <w:snapToGrid w:val="0"/>
        <w:spacing w:line="360" w:lineRule="auto"/>
        <w:ind w:firstLine="360" w:firstLineChars="150"/>
        <w:rPr>
          <w:sz w:val="24"/>
        </w:rPr>
      </w:pPr>
      <w:r>
        <w:rPr>
          <w:rFonts w:hint="eastAsia" w:ascii="宋体" w:hAnsi="宋体"/>
          <w:sz w:val="24"/>
        </w:rPr>
        <w:t>（</w:t>
      </w:r>
      <w:r>
        <w:rPr>
          <w:sz w:val="24"/>
        </w:rPr>
        <w:t>1</w:t>
      </w:r>
      <w:r>
        <w:rPr>
          <w:rFonts w:hint="eastAsia" w:ascii="宋体" w:hAnsi="宋体"/>
          <w:sz w:val="24"/>
        </w:rPr>
        <w:t>）名称：</w:t>
      </w:r>
    </w:p>
    <w:p>
      <w:pPr>
        <w:adjustRightInd w:val="0"/>
        <w:snapToGrid w:val="0"/>
        <w:spacing w:line="360" w:lineRule="auto"/>
        <w:ind w:firstLine="360" w:firstLineChars="150"/>
        <w:rPr>
          <w:sz w:val="24"/>
        </w:rPr>
      </w:pPr>
      <w:r>
        <w:rPr>
          <w:rFonts w:hint="eastAsia" w:ascii="宋体" w:hAnsi="宋体"/>
          <w:sz w:val="24"/>
        </w:rPr>
        <w:t>（</w:t>
      </w:r>
      <w:r>
        <w:rPr>
          <w:sz w:val="24"/>
        </w:rPr>
        <w:t>2</w:t>
      </w:r>
      <w:r>
        <w:rPr>
          <w:rFonts w:hint="eastAsia" w:ascii="宋体" w:hAnsi="宋体"/>
          <w:sz w:val="24"/>
        </w:rPr>
        <w:t>）</w:t>
      </w:r>
      <w:r>
        <w:rPr>
          <w:sz w:val="24"/>
        </w:rPr>
        <w:tab/>
      </w:r>
      <w:r>
        <w:rPr>
          <w:rFonts w:hint="eastAsia" w:ascii="宋体" w:hAnsi="宋体"/>
          <w:sz w:val="24"/>
        </w:rPr>
        <w:t>地址：</w:t>
      </w:r>
    </w:p>
    <w:p>
      <w:pPr>
        <w:adjustRightInd w:val="0"/>
        <w:snapToGrid w:val="0"/>
        <w:spacing w:line="360" w:lineRule="auto"/>
        <w:ind w:left="850" w:firstLine="425"/>
        <w:rPr>
          <w:sz w:val="24"/>
        </w:rPr>
      </w:pPr>
      <w:r>
        <w:rPr>
          <w:rFonts w:hint="eastAsia" w:ascii="宋体" w:hAnsi="宋体"/>
          <w:sz w:val="24"/>
        </w:rPr>
        <w:t>邮编：</w:t>
      </w:r>
    </w:p>
    <w:p>
      <w:pPr>
        <w:adjustRightInd w:val="0"/>
        <w:snapToGrid w:val="0"/>
        <w:spacing w:line="360" w:lineRule="auto"/>
        <w:rPr>
          <w:sz w:val="24"/>
        </w:rPr>
      </w:pPr>
      <w:r>
        <w:rPr>
          <w:sz w:val="24"/>
        </w:rPr>
        <w:tab/>
      </w:r>
      <w:r>
        <w:rPr>
          <w:sz w:val="24"/>
        </w:rPr>
        <w:tab/>
      </w:r>
      <w:r>
        <w:rPr>
          <w:rFonts w:hint="eastAsia" w:ascii="宋体" w:hAnsi="宋体"/>
          <w:sz w:val="24"/>
        </w:rPr>
        <w:t>传真／电话：</w:t>
      </w:r>
    </w:p>
    <w:p>
      <w:pPr>
        <w:adjustRightInd w:val="0"/>
        <w:snapToGrid w:val="0"/>
        <w:spacing w:line="360" w:lineRule="auto"/>
        <w:ind w:firstLine="360" w:firstLineChars="150"/>
        <w:rPr>
          <w:sz w:val="24"/>
        </w:rPr>
      </w:pPr>
      <w:r>
        <w:rPr>
          <w:rFonts w:hint="eastAsia" w:ascii="宋体" w:hAnsi="宋体"/>
          <w:sz w:val="24"/>
        </w:rPr>
        <w:t>（</w:t>
      </w:r>
      <w:r>
        <w:rPr>
          <w:sz w:val="24"/>
        </w:rPr>
        <w:t>3</w:t>
      </w:r>
      <w:r>
        <w:rPr>
          <w:rFonts w:hint="eastAsia" w:ascii="宋体" w:hAnsi="宋体"/>
          <w:sz w:val="24"/>
        </w:rPr>
        <w:t>）成立和注册日期：</w:t>
      </w:r>
    </w:p>
    <w:p>
      <w:pPr>
        <w:adjustRightInd w:val="0"/>
        <w:snapToGrid w:val="0"/>
        <w:spacing w:line="360" w:lineRule="auto"/>
        <w:ind w:firstLine="360" w:firstLineChars="150"/>
        <w:rPr>
          <w:sz w:val="24"/>
        </w:rPr>
      </w:pPr>
      <w:r>
        <w:rPr>
          <w:rFonts w:hint="eastAsia" w:ascii="宋体" w:hAnsi="宋体"/>
          <w:sz w:val="24"/>
        </w:rPr>
        <w:t>（</w:t>
      </w:r>
      <w:r>
        <w:rPr>
          <w:sz w:val="24"/>
        </w:rPr>
        <w:t>4</w:t>
      </w:r>
      <w:r>
        <w:rPr>
          <w:rFonts w:hint="eastAsia" w:ascii="宋体" w:hAnsi="宋体"/>
          <w:sz w:val="24"/>
        </w:rPr>
        <w:t>）企业性质：</w:t>
      </w:r>
    </w:p>
    <w:p>
      <w:pPr>
        <w:adjustRightInd w:val="0"/>
        <w:snapToGrid w:val="0"/>
        <w:spacing w:line="360" w:lineRule="auto"/>
        <w:ind w:firstLine="360" w:firstLineChars="150"/>
        <w:rPr>
          <w:sz w:val="24"/>
        </w:rPr>
      </w:pPr>
      <w:r>
        <w:rPr>
          <w:rFonts w:hint="eastAsia" w:ascii="宋体" w:hAnsi="宋体"/>
          <w:sz w:val="24"/>
        </w:rPr>
        <w:t>（</w:t>
      </w:r>
      <w:r>
        <w:rPr>
          <w:sz w:val="24"/>
        </w:rPr>
        <w:t>5</w:t>
      </w:r>
      <w:r>
        <w:rPr>
          <w:rFonts w:hint="eastAsia" w:ascii="宋体" w:hAnsi="宋体"/>
          <w:sz w:val="24"/>
        </w:rPr>
        <w:t>）职员人数：</w:t>
      </w:r>
    </w:p>
    <w:p>
      <w:pPr>
        <w:adjustRightInd w:val="0"/>
        <w:snapToGrid w:val="0"/>
        <w:spacing w:line="360" w:lineRule="auto"/>
        <w:ind w:firstLine="1320" w:firstLineChars="550"/>
        <w:rPr>
          <w:sz w:val="24"/>
        </w:rPr>
      </w:pPr>
      <w:r>
        <w:rPr>
          <w:sz w:val="24"/>
        </w:rPr>
        <w:t xml:space="preserve"> </w:t>
      </w:r>
    </w:p>
    <w:p>
      <w:pPr>
        <w:adjustRightInd w:val="0"/>
        <w:snapToGrid w:val="0"/>
        <w:spacing w:line="360" w:lineRule="auto"/>
        <w:rPr>
          <w:sz w:val="24"/>
        </w:rPr>
      </w:pPr>
      <w:r>
        <w:rPr>
          <w:sz w:val="24"/>
        </w:rPr>
        <w:t xml:space="preserve"> </w:t>
      </w:r>
    </w:p>
    <w:p>
      <w:pPr>
        <w:adjustRightInd w:val="0"/>
        <w:snapToGrid w:val="0"/>
        <w:spacing w:line="360" w:lineRule="auto"/>
        <w:ind w:left="567" w:hanging="567"/>
        <w:rPr>
          <w:sz w:val="24"/>
        </w:rPr>
      </w:pPr>
      <w:r>
        <w:rPr>
          <w:rFonts w:hAnsi="宋体"/>
          <w:sz w:val="24"/>
        </w:rPr>
        <w:t>2</w:t>
      </w:r>
      <w:r>
        <w:rPr>
          <w:rFonts w:hint="eastAsia" w:ascii="宋体" w:hAnsi="宋体"/>
          <w:sz w:val="24"/>
        </w:rPr>
        <w:t>．从事本项目相关工作的历史（年数）：</w:t>
      </w:r>
    </w:p>
    <w:p>
      <w:pPr>
        <w:adjustRightInd w:val="0"/>
        <w:snapToGrid w:val="0"/>
        <w:spacing w:line="360" w:lineRule="auto"/>
        <w:ind w:left="567" w:hanging="141"/>
        <w:rPr>
          <w:sz w:val="24"/>
        </w:rPr>
      </w:pPr>
      <w:r>
        <w:rPr>
          <w:sz w:val="24"/>
        </w:rPr>
        <w:t xml:space="preserve"> </w:t>
      </w:r>
    </w:p>
    <w:p>
      <w:pPr>
        <w:adjustRightInd w:val="0"/>
        <w:snapToGrid w:val="0"/>
        <w:spacing w:line="360" w:lineRule="auto"/>
        <w:rPr>
          <w:sz w:val="24"/>
        </w:rPr>
      </w:pPr>
      <w:r>
        <w:rPr>
          <w:sz w:val="24"/>
        </w:rPr>
        <w:tab/>
      </w:r>
    </w:p>
    <w:p>
      <w:pPr>
        <w:adjustRightInd w:val="0"/>
        <w:snapToGrid w:val="0"/>
        <w:spacing w:line="360" w:lineRule="auto"/>
        <w:rPr>
          <w:sz w:val="24"/>
        </w:rPr>
      </w:pPr>
      <w:r>
        <w:rPr>
          <w:rFonts w:hAnsi="宋体"/>
          <w:sz w:val="24"/>
        </w:rPr>
        <w:t>3</w:t>
      </w:r>
      <w:r>
        <w:rPr>
          <w:rFonts w:hint="eastAsia" w:ascii="宋体" w:hAnsi="宋体"/>
          <w:sz w:val="24"/>
        </w:rPr>
        <w:t>．开户银行名称和地址：</w:t>
      </w:r>
    </w:p>
    <w:p>
      <w:pPr>
        <w:adjustRightInd w:val="0"/>
        <w:snapToGrid w:val="0"/>
        <w:spacing w:line="360" w:lineRule="auto"/>
        <w:rPr>
          <w:sz w:val="24"/>
        </w:rPr>
      </w:pPr>
      <w:r>
        <w:rPr>
          <w:sz w:val="24"/>
        </w:rPr>
        <w:t xml:space="preserve"> </w:t>
      </w:r>
    </w:p>
    <w:p>
      <w:pPr>
        <w:adjustRightInd w:val="0"/>
        <w:snapToGrid w:val="0"/>
        <w:spacing w:line="360" w:lineRule="auto"/>
        <w:rPr>
          <w:sz w:val="24"/>
        </w:rPr>
      </w:pPr>
      <w:r>
        <w:rPr>
          <w:sz w:val="24"/>
        </w:rPr>
        <w:t xml:space="preserve"> </w:t>
      </w:r>
    </w:p>
    <w:p>
      <w:pPr>
        <w:spacing w:line="360" w:lineRule="auto"/>
        <w:rPr>
          <w:sz w:val="24"/>
        </w:rPr>
      </w:pPr>
      <w:r>
        <w:rPr>
          <w:sz w:val="24"/>
        </w:rPr>
        <w:t>4</w:t>
      </w:r>
      <w:r>
        <w:rPr>
          <w:rFonts w:hint="eastAsia" w:ascii="宋体" w:hAnsi="宋体"/>
          <w:sz w:val="24"/>
        </w:rPr>
        <w:t>．投标人所属的集团公司，如有的话：</w:t>
      </w:r>
    </w:p>
    <w:p>
      <w:pPr>
        <w:adjustRightInd w:val="0"/>
        <w:snapToGrid w:val="0"/>
        <w:spacing w:line="360" w:lineRule="auto"/>
        <w:rPr>
          <w:sz w:val="24"/>
        </w:rPr>
      </w:pPr>
      <w:r>
        <w:rPr>
          <w:sz w:val="24"/>
        </w:rPr>
        <w:t xml:space="preserve"> </w:t>
      </w:r>
    </w:p>
    <w:p>
      <w:pPr>
        <w:adjustRightInd w:val="0"/>
        <w:snapToGrid w:val="0"/>
        <w:spacing w:line="360" w:lineRule="auto"/>
        <w:rPr>
          <w:sz w:val="24"/>
        </w:rPr>
      </w:pPr>
      <w:r>
        <w:rPr>
          <w:sz w:val="24"/>
        </w:rPr>
        <w:t xml:space="preserve"> </w:t>
      </w:r>
    </w:p>
    <w:p>
      <w:pPr>
        <w:adjustRightInd w:val="0"/>
        <w:snapToGrid w:val="0"/>
        <w:spacing w:line="360" w:lineRule="auto"/>
        <w:rPr>
          <w:sz w:val="24"/>
        </w:rPr>
      </w:pPr>
      <w:r>
        <w:rPr>
          <w:sz w:val="24"/>
        </w:rPr>
        <w:t>5</w:t>
      </w:r>
      <w:r>
        <w:rPr>
          <w:rFonts w:hint="eastAsia" w:ascii="宋体" w:hAnsi="宋体"/>
          <w:sz w:val="24"/>
        </w:rPr>
        <w:t>．其它情况：</w:t>
      </w:r>
    </w:p>
    <w:p>
      <w:pPr>
        <w:adjustRightInd w:val="0"/>
        <w:snapToGrid w:val="0"/>
        <w:spacing w:line="360" w:lineRule="auto"/>
        <w:rPr>
          <w:sz w:val="24"/>
        </w:rPr>
      </w:pPr>
      <w:r>
        <w:rPr>
          <w:sz w:val="24"/>
        </w:rPr>
        <w:tab/>
      </w:r>
    </w:p>
    <w:p>
      <w:pPr>
        <w:adjustRightInd w:val="0"/>
        <w:snapToGrid w:val="0"/>
        <w:spacing w:line="360" w:lineRule="auto"/>
        <w:rPr>
          <w:sz w:val="24"/>
        </w:rPr>
      </w:pPr>
      <w:r>
        <w:rPr>
          <w:rFonts w:hint="eastAsia" w:ascii="宋体" w:hAnsi="宋体"/>
          <w:sz w:val="24"/>
        </w:rPr>
        <w:t>兹证明上述声明是真实、正确的，并提供了全部能提供的资料和数据，我们同意遵照贵方要求提供有关证明文件。</w:t>
      </w:r>
    </w:p>
    <w:p>
      <w:pPr>
        <w:adjustRightInd w:val="0"/>
        <w:snapToGrid w:val="0"/>
        <w:spacing w:line="360" w:lineRule="auto"/>
        <w:rPr>
          <w:sz w:val="24"/>
        </w:rPr>
      </w:pPr>
      <w:r>
        <w:rPr>
          <w:sz w:val="24"/>
        </w:rPr>
        <w:tab/>
      </w:r>
      <w:r>
        <w:rPr>
          <w:rFonts w:hint="eastAsia" w:ascii="宋体" w:hAnsi="宋体"/>
          <w:sz w:val="24"/>
        </w:rPr>
        <w:t>投标人名称：</w:t>
      </w:r>
    </w:p>
    <w:p>
      <w:pPr>
        <w:adjustRightInd w:val="0"/>
        <w:snapToGrid w:val="0"/>
        <w:spacing w:line="360" w:lineRule="auto"/>
        <w:rPr>
          <w:sz w:val="24"/>
        </w:rPr>
      </w:pPr>
      <w:r>
        <w:rPr>
          <w:sz w:val="24"/>
        </w:rPr>
        <w:tab/>
      </w:r>
      <w:r>
        <w:rPr>
          <w:rFonts w:hint="eastAsia" w:ascii="宋体" w:hAnsi="宋体"/>
          <w:sz w:val="24"/>
        </w:rPr>
        <w:t>法定代表人或授权代表签字：</w:t>
      </w:r>
    </w:p>
    <w:p>
      <w:pPr>
        <w:adjustRightInd w:val="0"/>
        <w:snapToGrid w:val="0"/>
        <w:spacing w:line="360" w:lineRule="auto"/>
        <w:rPr>
          <w:sz w:val="24"/>
        </w:rPr>
      </w:pPr>
      <w:r>
        <w:rPr>
          <w:sz w:val="24"/>
        </w:rPr>
        <w:tab/>
      </w:r>
      <w:r>
        <w:rPr>
          <w:rFonts w:hint="eastAsia" w:ascii="宋体" w:hAnsi="宋体"/>
          <w:sz w:val="24"/>
        </w:rPr>
        <w:t>签字人职务：</w:t>
      </w:r>
    </w:p>
    <w:p>
      <w:pPr>
        <w:adjustRightInd w:val="0"/>
        <w:snapToGrid w:val="0"/>
        <w:spacing w:line="360" w:lineRule="auto"/>
        <w:rPr>
          <w:sz w:val="24"/>
        </w:rPr>
      </w:pPr>
      <w:r>
        <w:rPr>
          <w:sz w:val="24"/>
        </w:rPr>
        <w:tab/>
      </w:r>
      <w:r>
        <w:rPr>
          <w:rFonts w:hint="eastAsia" w:ascii="宋体" w:hAnsi="宋体"/>
          <w:sz w:val="24"/>
        </w:rPr>
        <w:t>传真／电话：</w:t>
      </w:r>
    </w:p>
    <w:p>
      <w:pPr>
        <w:adjustRightInd w:val="0"/>
        <w:snapToGrid w:val="0"/>
        <w:spacing w:line="360" w:lineRule="auto"/>
        <w:rPr>
          <w:sz w:val="24"/>
        </w:rPr>
      </w:pPr>
      <w:r>
        <w:rPr>
          <w:sz w:val="24"/>
        </w:rPr>
        <w:tab/>
      </w:r>
      <w:r>
        <w:rPr>
          <w:rFonts w:hint="eastAsia" w:ascii="宋体" w:hAnsi="宋体"/>
          <w:sz w:val="24"/>
        </w:rPr>
        <w:t>日期：</w:t>
      </w:r>
    </w:p>
    <w:p>
      <w:pPr>
        <w:adjustRightInd w:val="0"/>
        <w:snapToGrid w:val="0"/>
        <w:spacing w:line="360" w:lineRule="auto"/>
        <w:ind w:firstLine="480" w:firstLineChars="200"/>
        <w:rPr>
          <w:sz w:val="24"/>
        </w:rPr>
      </w:pPr>
      <w:r>
        <w:rPr>
          <w:rFonts w:hint="eastAsia" w:ascii="宋体" w:hAnsi="宋体"/>
          <w:sz w:val="24"/>
        </w:rPr>
        <w:t>公章：</w:t>
      </w:r>
    </w:p>
    <w:p>
      <w:pPr>
        <w:adjustRightInd w:val="0"/>
        <w:snapToGrid w:val="0"/>
        <w:spacing w:line="360" w:lineRule="auto"/>
        <w:rPr>
          <w:b/>
          <w:bCs/>
          <w:sz w:val="24"/>
        </w:rPr>
      </w:pPr>
      <w:r>
        <w:rPr>
          <w:rFonts w:hint="eastAsia" w:ascii="宋体" w:hAnsi="宋体"/>
          <w:b/>
          <w:bCs/>
          <w:sz w:val="24"/>
        </w:rPr>
        <w:t>注：须附营业执照、相关资质证明文件及投标人认为需要提供的其他资格证明材料（复印件加盖投标人公章）。</w:t>
      </w:r>
    </w:p>
    <w:p>
      <w:pPr>
        <w:adjustRightInd w:val="0"/>
        <w:snapToGrid w:val="0"/>
        <w:spacing w:line="360" w:lineRule="auto"/>
        <w:rPr>
          <w:sz w:val="24"/>
        </w:rPr>
      </w:pPr>
      <w:r>
        <w:rPr>
          <w:b/>
          <w:bCs/>
          <w:sz w:val="24"/>
        </w:rPr>
        <w:br w:type="page"/>
      </w:r>
    </w:p>
    <w:p>
      <w:pPr>
        <w:pStyle w:val="5"/>
        <w:spacing w:before="165" w:after="165"/>
        <w:jc w:val="center"/>
        <w:rPr>
          <w:rFonts w:ascii="Times New Roman" w:hAnsi="宋体" w:eastAsia="宋体" w:cs="Times New Roman"/>
          <w:bCs/>
          <w:sz w:val="24"/>
        </w:rPr>
      </w:pPr>
      <w:r>
        <w:rPr>
          <w:rFonts w:ascii="宋体" w:hAnsi="宋体" w:eastAsia="宋体" w:cs="Times New Roman"/>
          <w:b w:val="0"/>
          <w:bCs/>
        </w:rPr>
        <w:t>格式</w:t>
      </w:r>
      <w:r>
        <w:rPr>
          <w:rFonts w:hint="eastAsia" w:ascii="Times New Roman" w:hAnsi="宋体" w:eastAsia="宋体"/>
          <w:b w:val="0"/>
          <w:bCs/>
        </w:rPr>
        <w:t>10.</w:t>
      </w:r>
      <w:r>
        <w:rPr>
          <w:rFonts w:hint="eastAsia" w:ascii="宋体" w:hAnsi="宋体" w:eastAsia="宋体"/>
          <w:b w:val="0"/>
          <w:bCs/>
        </w:rPr>
        <w:t>其他证明文件</w:t>
      </w:r>
    </w:p>
    <w:p>
      <w:pPr>
        <w:spacing w:line="360" w:lineRule="auto"/>
        <w:rPr>
          <w:rFonts w:ascii="宋体" w:hAnsi="宋体" w:eastAsia="宋体" w:cs="Calibri"/>
          <w:b/>
          <w:bCs/>
          <w:sz w:val="24"/>
        </w:rPr>
      </w:pPr>
      <w:r>
        <w:rPr>
          <w:rFonts w:hint="eastAsia" w:ascii="宋体" w:hAnsi="宋体"/>
          <w:b/>
          <w:bCs/>
          <w:sz w:val="24"/>
        </w:rPr>
        <w:t>10-1企业情况介绍（格式自拟）</w:t>
      </w:r>
    </w:p>
    <w:p>
      <w:pPr>
        <w:spacing w:line="360" w:lineRule="auto"/>
        <w:rPr>
          <w:rFonts w:ascii="宋体" w:hAnsi="宋体"/>
          <w:sz w:val="24"/>
        </w:rPr>
      </w:pPr>
      <w:r>
        <w:rPr>
          <w:rFonts w:hint="eastAsia" w:ascii="宋体" w:hAnsi="宋体"/>
          <w:sz w:val="24"/>
        </w:rPr>
        <w:t>特别是包括如下内容：</w:t>
      </w:r>
    </w:p>
    <w:p>
      <w:pPr>
        <w:numPr>
          <w:ilvl w:val="1"/>
          <w:numId w:val="327"/>
        </w:numPr>
        <w:spacing w:line="360" w:lineRule="auto"/>
        <w:ind w:left="840" w:hanging="420"/>
        <w:rPr>
          <w:rFonts w:ascii="宋体" w:hAnsi="宋体"/>
          <w:color w:val="000000"/>
          <w:sz w:val="24"/>
        </w:rPr>
      </w:pPr>
      <w:r>
        <w:rPr>
          <w:rFonts w:hint="eastAsia" w:ascii="宋体" w:hAnsi="宋体"/>
          <w:color w:val="000000"/>
          <w:sz w:val="24"/>
        </w:rPr>
        <w:t>企业名称、法定代表人、企业地址、注册资金、企业组织架构、</w:t>
      </w:r>
      <w:r>
        <w:rPr>
          <w:rFonts w:hint="eastAsia" w:ascii="宋体" w:hAnsi="宋体"/>
          <w:sz w:val="24"/>
        </w:rPr>
        <w:t>（含各部门人员数量）、历史（成立时间、发展过程等）、</w:t>
      </w:r>
      <w:r>
        <w:rPr>
          <w:rFonts w:hint="eastAsia" w:ascii="宋体" w:hAnsi="宋体"/>
          <w:color w:val="000000"/>
          <w:sz w:val="24"/>
        </w:rPr>
        <w:t>各项认证等</w:t>
      </w:r>
    </w:p>
    <w:p>
      <w:pPr>
        <w:numPr>
          <w:ilvl w:val="1"/>
          <w:numId w:val="327"/>
        </w:numPr>
        <w:spacing w:line="360" w:lineRule="auto"/>
        <w:ind w:left="840" w:hanging="420"/>
        <w:rPr>
          <w:rFonts w:ascii="宋体" w:hAnsi="宋体"/>
          <w:color w:val="000000"/>
          <w:sz w:val="24"/>
        </w:rPr>
      </w:pPr>
      <w:r>
        <w:rPr>
          <w:rFonts w:hint="eastAsia" w:ascii="宋体" w:hAnsi="宋体"/>
          <w:color w:val="000000"/>
          <w:sz w:val="24"/>
        </w:rPr>
        <w:t>业务经营范围、主营业务等情况介绍；</w:t>
      </w:r>
    </w:p>
    <w:p>
      <w:pPr>
        <w:numPr>
          <w:ilvl w:val="1"/>
          <w:numId w:val="327"/>
        </w:numPr>
        <w:spacing w:line="360" w:lineRule="auto"/>
        <w:ind w:left="840" w:hanging="420"/>
        <w:rPr>
          <w:rFonts w:ascii="宋体" w:hAnsi="宋体"/>
          <w:color w:val="000000"/>
          <w:sz w:val="24"/>
        </w:rPr>
      </w:pPr>
      <w:r>
        <w:rPr>
          <w:rFonts w:hint="eastAsia" w:ascii="宋体" w:hAnsi="宋体"/>
          <w:color w:val="000000"/>
          <w:sz w:val="24"/>
        </w:rPr>
        <w:t>财务状况（需附近三年财务报告）情况；</w:t>
      </w:r>
    </w:p>
    <w:p>
      <w:pPr>
        <w:numPr>
          <w:ilvl w:val="1"/>
          <w:numId w:val="327"/>
        </w:numPr>
        <w:spacing w:line="360" w:lineRule="auto"/>
        <w:ind w:left="840" w:hanging="420"/>
        <w:rPr>
          <w:rFonts w:ascii="宋体" w:hAnsi="宋体"/>
          <w:color w:val="000000"/>
          <w:sz w:val="24"/>
        </w:rPr>
      </w:pPr>
      <w:r>
        <w:rPr>
          <w:rFonts w:hint="eastAsia" w:ascii="宋体" w:hAnsi="宋体"/>
          <w:color w:val="000000"/>
          <w:sz w:val="24"/>
        </w:rPr>
        <w:t>公司资质证书、技术实力、成员情况、技术资质及公司资信等情况；</w:t>
      </w:r>
    </w:p>
    <w:p>
      <w:pPr>
        <w:numPr>
          <w:ilvl w:val="1"/>
          <w:numId w:val="327"/>
        </w:numPr>
        <w:spacing w:line="360" w:lineRule="auto"/>
        <w:ind w:left="840" w:hanging="420"/>
        <w:rPr>
          <w:rFonts w:ascii="宋体" w:hAnsi="宋体"/>
          <w:sz w:val="24"/>
        </w:rPr>
      </w:pPr>
      <w:r>
        <w:rPr>
          <w:rFonts w:hint="eastAsia" w:ascii="宋体" w:hAnsi="宋体"/>
          <w:color w:val="000000"/>
          <w:sz w:val="24"/>
        </w:rPr>
        <w:t>其他情况。</w:t>
      </w:r>
    </w:p>
    <w:p>
      <w:pPr>
        <w:spacing w:line="360" w:lineRule="auto"/>
        <w:rPr>
          <w:rFonts w:ascii="宋体" w:hAnsi="宋体"/>
          <w:b/>
          <w:bCs/>
          <w:sz w:val="24"/>
        </w:rPr>
      </w:pPr>
      <w:r>
        <w:rPr>
          <w:rFonts w:hint="eastAsia" w:ascii="宋体" w:hAnsi="宋体"/>
          <w:b/>
          <w:bCs/>
          <w:sz w:val="24"/>
        </w:rPr>
        <w:t>格式10-2.类似项目业绩情况（格式自拟）</w:t>
      </w:r>
    </w:p>
    <w:p>
      <w:pPr>
        <w:pStyle w:val="53"/>
        <w:widowControl w:val="0"/>
        <w:spacing w:line="360" w:lineRule="auto"/>
        <w:ind w:left="420"/>
        <w:jc w:val="both"/>
        <w:rPr>
          <w:rFonts w:ascii="宋体" w:hAnsi="宋体" w:eastAsia="宋体"/>
          <w:lang w:eastAsia="zh-CN"/>
        </w:rPr>
      </w:pPr>
      <w:r>
        <w:rPr>
          <w:rFonts w:hint="eastAsia" w:ascii="宋体" w:hAnsi="宋体" w:eastAsia="宋体"/>
          <w:lang w:eastAsia="zh-CN"/>
        </w:rPr>
        <w:t>投标人</w:t>
      </w:r>
      <w:r>
        <w:rPr>
          <w:rFonts w:hint="eastAsia" w:ascii="宋体" w:hAnsi="宋体" w:eastAsia="宋体"/>
          <w:b/>
          <w:bCs/>
          <w:lang w:eastAsia="zh-CN"/>
        </w:rPr>
        <w:t>需提供合同首页、金额页、签字页及内容页等相关证明的复印件加盖公章。</w:t>
      </w:r>
    </w:p>
    <w:p>
      <w:pPr>
        <w:pStyle w:val="53"/>
        <w:spacing w:line="360" w:lineRule="auto"/>
        <w:ind w:left="420"/>
        <w:rPr>
          <w:rFonts w:ascii="宋体" w:hAnsi="宋体" w:eastAsia="宋体"/>
          <w:lang w:eastAsia="zh-CN"/>
        </w:rPr>
      </w:pPr>
      <w:r>
        <w:rPr>
          <w:rFonts w:hint="eastAsia" w:ascii="宋体" w:hAnsi="宋体" w:eastAsia="宋体"/>
          <w:lang w:eastAsia="zh-CN"/>
        </w:rPr>
        <w:t xml:space="preserve"> </w:t>
      </w:r>
    </w:p>
    <w:p>
      <w:pPr>
        <w:pStyle w:val="53"/>
        <w:spacing w:line="360" w:lineRule="auto"/>
        <w:ind w:left="420"/>
        <w:rPr>
          <w:rFonts w:ascii="宋体" w:hAnsi="宋体" w:eastAsia="宋体"/>
          <w:lang w:eastAsia="zh-CN"/>
        </w:rPr>
      </w:pPr>
      <w:r>
        <w:rPr>
          <w:rFonts w:hint="eastAsia" w:ascii="宋体" w:hAnsi="宋体" w:eastAsia="宋体"/>
          <w:lang w:eastAsia="zh-CN"/>
        </w:rPr>
        <w:t xml:space="preserve"> </w:t>
      </w:r>
    </w:p>
    <w:p>
      <w:pPr>
        <w:pStyle w:val="53"/>
        <w:spacing w:line="360" w:lineRule="auto"/>
        <w:ind w:left="420"/>
        <w:rPr>
          <w:rFonts w:ascii="宋体" w:hAnsi="宋体" w:eastAsia="宋体"/>
          <w:lang w:eastAsia="zh-CN"/>
        </w:rPr>
      </w:pPr>
      <w:r>
        <w:rPr>
          <w:rFonts w:hint="eastAsia" w:ascii="宋体" w:hAnsi="宋体" w:eastAsia="宋体"/>
          <w:lang w:eastAsia="zh-CN"/>
        </w:rPr>
        <w:t xml:space="preserve"> </w:t>
      </w:r>
    </w:p>
    <w:p>
      <w:pPr>
        <w:pStyle w:val="53"/>
        <w:spacing w:line="360" w:lineRule="auto"/>
        <w:ind w:left="420"/>
        <w:rPr>
          <w:rFonts w:ascii="宋体" w:hAnsi="宋体" w:eastAsia="宋体"/>
          <w:lang w:eastAsia="zh-CN"/>
        </w:rPr>
      </w:pPr>
      <w:r>
        <w:rPr>
          <w:rFonts w:hint="eastAsia" w:ascii="宋体" w:hAnsi="宋体" w:eastAsia="宋体"/>
          <w:lang w:eastAsia="zh-CN"/>
        </w:rPr>
        <w:t>投标人授权代表签字：</w:t>
      </w:r>
    </w:p>
    <w:p>
      <w:pPr>
        <w:pStyle w:val="53"/>
        <w:spacing w:line="360" w:lineRule="auto"/>
        <w:ind w:left="420"/>
        <w:rPr>
          <w:rFonts w:ascii="宋体" w:hAnsi="宋体" w:eastAsia="宋体"/>
          <w:lang w:eastAsia="zh-CN"/>
        </w:rPr>
      </w:pPr>
      <w:r>
        <w:rPr>
          <w:rFonts w:hint="eastAsia" w:ascii="宋体" w:hAnsi="宋体" w:eastAsia="宋体"/>
          <w:lang w:eastAsia="zh-CN"/>
        </w:rPr>
        <w:t>投标人单位盖章：</w:t>
      </w:r>
    </w:p>
    <w:p>
      <w:pPr>
        <w:pStyle w:val="53"/>
        <w:adjustRightInd w:val="0"/>
        <w:snapToGrid w:val="0"/>
        <w:spacing w:line="400" w:lineRule="atLeast"/>
        <w:ind w:left="420"/>
        <w:rPr>
          <w:rFonts w:ascii="宋体" w:hAnsi="宋体" w:eastAsia="宋体"/>
          <w:lang w:eastAsia="zh-CN"/>
        </w:rPr>
      </w:pPr>
      <w:r>
        <w:rPr>
          <w:rFonts w:hint="eastAsia" w:ascii="宋体" w:hAnsi="宋体" w:eastAsia="宋体"/>
          <w:lang w:eastAsia="zh-CN"/>
        </w:rPr>
        <w:t>日期：    年  月  日</w:t>
      </w:r>
    </w:p>
    <w:p>
      <w:pPr>
        <w:spacing w:line="360" w:lineRule="auto"/>
        <w:rPr>
          <w:rFonts w:ascii="宋体" w:hAnsi="宋体" w:eastAsia="宋体"/>
          <w:b/>
          <w:bCs/>
          <w:sz w:val="24"/>
        </w:rPr>
      </w:pPr>
      <w:r>
        <w:rPr>
          <w:rFonts w:hint="eastAsia" w:ascii="宋体" w:hAnsi="宋体"/>
          <w:b/>
          <w:bCs/>
        </w:rPr>
        <w:br w:type="page"/>
      </w:r>
      <w:r>
        <w:rPr>
          <w:rFonts w:hint="eastAsia" w:ascii="宋体" w:hAnsi="宋体"/>
          <w:b/>
          <w:bCs/>
          <w:sz w:val="24"/>
        </w:rPr>
        <w:t>格式10-3. 产品技术指标情况（格式自拟）</w:t>
      </w:r>
    </w:p>
    <w:p>
      <w:pPr>
        <w:pStyle w:val="46"/>
        <w:spacing w:line="360" w:lineRule="auto"/>
        <w:ind w:left="420" w:firstLine="480"/>
        <w:rPr>
          <w:rFonts w:ascii="宋体" w:hAnsi="宋体"/>
          <w:sz w:val="24"/>
        </w:rPr>
      </w:pPr>
      <w:r>
        <w:rPr>
          <w:rFonts w:hint="eastAsia" w:ascii="宋体" w:hAnsi="宋体"/>
          <w:sz w:val="24"/>
        </w:rPr>
        <w:t>投标人根据招标文件技术需求说明书中的产品要求，提供所投设备产品的详细技术指标情况。</w:t>
      </w:r>
    </w:p>
    <w:p>
      <w:pPr>
        <w:pStyle w:val="46"/>
        <w:spacing w:line="360" w:lineRule="auto"/>
        <w:ind w:left="420" w:firstLine="480"/>
        <w:rPr>
          <w:rFonts w:ascii="宋体" w:hAnsi="宋体"/>
          <w:sz w:val="24"/>
        </w:rPr>
      </w:pPr>
      <w:r>
        <w:rPr>
          <w:rFonts w:hint="eastAsia" w:ascii="宋体" w:hAnsi="宋体"/>
          <w:sz w:val="24"/>
        </w:rPr>
        <w:t xml:space="preserve"> </w:t>
      </w:r>
    </w:p>
    <w:p>
      <w:pPr>
        <w:pStyle w:val="46"/>
        <w:spacing w:line="360" w:lineRule="auto"/>
        <w:ind w:left="420" w:firstLine="640"/>
        <w:rPr>
          <w:rFonts w:ascii="Calibri" w:hAnsi="Calibri"/>
          <w:color w:val="000000"/>
          <w:sz w:val="32"/>
          <w:szCs w:val="32"/>
        </w:rPr>
      </w:pPr>
      <w:r>
        <w:rPr>
          <w:color w:val="000000"/>
          <w:sz w:val="32"/>
          <w:szCs w:val="32"/>
        </w:rPr>
        <w:t xml:space="preserve"> </w:t>
      </w:r>
    </w:p>
    <w:p>
      <w:pPr>
        <w:pStyle w:val="46"/>
        <w:spacing w:line="360" w:lineRule="auto"/>
        <w:ind w:left="420" w:firstLine="480"/>
        <w:rPr>
          <w:color w:val="000000"/>
          <w:sz w:val="24"/>
        </w:rPr>
      </w:pPr>
      <w:r>
        <w:rPr>
          <w:rFonts w:hint="eastAsia" w:ascii="宋体" w:hAnsi="宋体"/>
          <w:color w:val="000000"/>
          <w:sz w:val="24"/>
        </w:rPr>
        <w:t>投标人</w:t>
      </w:r>
      <w:r>
        <w:rPr>
          <w:rFonts w:ascii="宋体" w:hAnsi="宋体"/>
          <w:color w:val="000000"/>
          <w:sz w:val="24"/>
        </w:rPr>
        <w:t>授权代表</w:t>
      </w:r>
      <w:r>
        <w:rPr>
          <w:rFonts w:hint="eastAsia" w:ascii="宋体" w:hAnsi="宋体"/>
          <w:color w:val="000000"/>
          <w:sz w:val="24"/>
        </w:rPr>
        <w:t>签字：</w:t>
      </w:r>
    </w:p>
    <w:p>
      <w:pPr>
        <w:pStyle w:val="46"/>
        <w:spacing w:line="360" w:lineRule="auto"/>
        <w:ind w:left="420" w:firstLine="480"/>
        <w:rPr>
          <w:color w:val="000000"/>
          <w:sz w:val="24"/>
        </w:rPr>
      </w:pPr>
      <w:r>
        <w:rPr>
          <w:rFonts w:hint="eastAsia" w:ascii="宋体" w:hAnsi="宋体"/>
          <w:color w:val="000000"/>
          <w:sz w:val="24"/>
        </w:rPr>
        <w:t>投标人单位盖章：</w:t>
      </w:r>
    </w:p>
    <w:p>
      <w:pPr>
        <w:pStyle w:val="46"/>
        <w:adjustRightInd w:val="0"/>
        <w:snapToGrid w:val="0"/>
        <w:spacing w:line="400" w:lineRule="atLeast"/>
        <w:ind w:left="420" w:firstLine="480"/>
        <w:rPr>
          <w:color w:val="000000"/>
          <w:sz w:val="24"/>
        </w:rPr>
      </w:pPr>
      <w:r>
        <w:rPr>
          <w:rFonts w:hint="eastAsia" w:ascii="宋体" w:hAnsi="宋体"/>
          <w:color w:val="000000"/>
          <w:sz w:val="24"/>
        </w:rPr>
        <w:t>日期：</w:t>
      </w:r>
      <w:r>
        <w:rPr>
          <w:rFonts w:hint="eastAsia"/>
          <w:color w:val="000000"/>
          <w:sz w:val="24"/>
        </w:rPr>
        <w:t xml:space="preserve">    </w:t>
      </w:r>
      <w:r>
        <w:rPr>
          <w:rFonts w:hint="eastAsia" w:ascii="宋体" w:hAnsi="宋体"/>
          <w:color w:val="000000"/>
          <w:sz w:val="24"/>
        </w:rPr>
        <w:t>年</w:t>
      </w:r>
      <w:r>
        <w:rPr>
          <w:rFonts w:hint="eastAsia"/>
          <w:color w:val="000000"/>
          <w:sz w:val="24"/>
        </w:rPr>
        <w:t xml:space="preserve">  </w:t>
      </w:r>
      <w:r>
        <w:rPr>
          <w:rFonts w:hint="eastAsia" w:ascii="宋体" w:hAnsi="宋体"/>
          <w:color w:val="000000"/>
          <w:sz w:val="24"/>
        </w:rPr>
        <w:t>月</w:t>
      </w:r>
      <w:r>
        <w:rPr>
          <w:rFonts w:hint="eastAsia"/>
          <w:color w:val="000000"/>
          <w:sz w:val="24"/>
        </w:rPr>
        <w:t xml:space="preserve">  </w:t>
      </w:r>
      <w:r>
        <w:rPr>
          <w:rFonts w:hint="eastAsia" w:ascii="宋体" w:hAnsi="宋体"/>
          <w:color w:val="000000"/>
          <w:sz w:val="24"/>
        </w:rPr>
        <w:t>日</w:t>
      </w:r>
    </w:p>
    <w:p>
      <w:pPr>
        <w:widowControl/>
        <w:jc w:val="left"/>
        <w:rPr>
          <w:color w:val="000000"/>
          <w:sz w:val="24"/>
        </w:rPr>
      </w:pPr>
      <w:r>
        <w:rPr>
          <w:color w:val="000000"/>
          <w:sz w:val="24"/>
        </w:rPr>
        <w:br w:type="page"/>
      </w:r>
    </w:p>
    <w:p>
      <w:pPr>
        <w:spacing w:line="360" w:lineRule="auto"/>
        <w:rPr>
          <w:rFonts w:ascii="宋体" w:hAnsi="宋体"/>
          <w:b/>
          <w:bCs/>
          <w:sz w:val="24"/>
        </w:rPr>
      </w:pPr>
      <w:r>
        <w:rPr>
          <w:rFonts w:hint="eastAsia" w:ascii="宋体" w:hAnsi="宋体"/>
          <w:b/>
          <w:bCs/>
          <w:sz w:val="24"/>
        </w:rPr>
        <w:t>格式10-4. 设计施工组织能力及技术能力情况（格式自拟）</w:t>
      </w:r>
    </w:p>
    <w:p>
      <w:pPr>
        <w:pStyle w:val="59"/>
        <w:numPr>
          <w:ilvl w:val="3"/>
          <w:numId w:val="328"/>
        </w:numPr>
        <w:spacing w:line="360" w:lineRule="auto"/>
        <w:ind w:left="0" w:firstLine="6" w:firstLineChars="0"/>
        <w:rPr>
          <w:kern w:val="44"/>
          <w:sz w:val="24"/>
          <w:szCs w:val="24"/>
        </w:rPr>
      </w:pPr>
      <w:r>
        <w:rPr>
          <w:rFonts w:hint="eastAsia" w:ascii="宋体" w:hAnsi="宋体"/>
          <w:kern w:val="44"/>
          <w:sz w:val="24"/>
          <w:szCs w:val="24"/>
        </w:rPr>
        <w:t>投标人需提供满足招标文件要求的设计、施工、集成实施方案，内容包括但不限于工作说明书、项目组织、计划情况、里程碑设置、风险控制、质量保证情况、变更管理、技术力量投入等情况。</w:t>
      </w:r>
    </w:p>
    <w:p>
      <w:pPr>
        <w:pStyle w:val="59"/>
        <w:numPr>
          <w:ilvl w:val="3"/>
          <w:numId w:val="328"/>
        </w:numPr>
        <w:spacing w:line="360" w:lineRule="auto"/>
        <w:ind w:left="0" w:firstLine="6" w:firstLineChars="0"/>
        <w:rPr>
          <w:kern w:val="44"/>
          <w:sz w:val="24"/>
          <w:szCs w:val="24"/>
        </w:rPr>
      </w:pPr>
      <w:r>
        <w:rPr>
          <w:rFonts w:hint="eastAsia" w:ascii="宋体" w:hAnsi="宋体"/>
          <w:kern w:val="44"/>
          <w:sz w:val="24"/>
          <w:szCs w:val="24"/>
        </w:rPr>
        <w:t>投标人需提供满足招标文件要求的施工技术能力情况，其中应对技术方案、关键技术细节、安全策略细节、实施工艺重点难点分析理解情况等方面进行综合详尽阐述。</w:t>
      </w:r>
    </w:p>
    <w:p>
      <w:pPr>
        <w:pStyle w:val="54"/>
        <w:ind w:left="210" w:leftChars="100" w:firstLine="480"/>
        <w:rPr>
          <w:color w:val="000000"/>
        </w:rPr>
      </w:pPr>
      <w:r>
        <w:rPr>
          <w:rFonts w:hint="eastAsia"/>
          <w:color w:val="000000"/>
        </w:rPr>
        <w:t xml:space="preserve"> </w:t>
      </w:r>
    </w:p>
    <w:p>
      <w:pPr>
        <w:pStyle w:val="54"/>
        <w:ind w:left="210" w:leftChars="100" w:firstLine="480"/>
        <w:rPr>
          <w:color w:val="000000"/>
        </w:rPr>
      </w:pPr>
      <w:r>
        <w:rPr>
          <w:rFonts w:hint="eastAsia"/>
          <w:color w:val="000000"/>
        </w:rPr>
        <w:t xml:space="preserve"> </w:t>
      </w:r>
    </w:p>
    <w:p>
      <w:pPr>
        <w:pStyle w:val="54"/>
        <w:ind w:left="210" w:leftChars="100" w:firstLine="480"/>
        <w:rPr>
          <w:color w:val="000000"/>
        </w:rPr>
      </w:pPr>
      <w:r>
        <w:rPr>
          <w:rFonts w:hint="eastAsia"/>
          <w:color w:val="000000"/>
        </w:rPr>
        <w:t xml:space="preserve"> </w:t>
      </w:r>
    </w:p>
    <w:p>
      <w:pPr>
        <w:pStyle w:val="54"/>
        <w:ind w:left="210" w:leftChars="100" w:firstLine="480"/>
        <w:rPr>
          <w:color w:val="000000"/>
        </w:rPr>
      </w:pPr>
      <w:r>
        <w:rPr>
          <w:rFonts w:hint="eastAsia"/>
          <w:color w:val="000000"/>
        </w:rPr>
        <w:t xml:space="preserve"> </w:t>
      </w:r>
    </w:p>
    <w:p>
      <w:pPr>
        <w:pStyle w:val="54"/>
        <w:ind w:left="210" w:leftChars="100" w:firstLine="480"/>
        <w:rPr>
          <w:color w:val="000000"/>
        </w:rPr>
      </w:pPr>
      <w:r>
        <w:rPr>
          <w:rFonts w:hint="eastAsia"/>
          <w:color w:val="000000"/>
        </w:rPr>
        <w:t xml:space="preserve"> </w:t>
      </w:r>
    </w:p>
    <w:p>
      <w:pPr>
        <w:pStyle w:val="54"/>
        <w:ind w:left="210" w:leftChars="100" w:firstLine="480"/>
        <w:rPr>
          <w:color w:val="000000"/>
        </w:rPr>
      </w:pPr>
      <w:r>
        <w:rPr>
          <w:rFonts w:hint="eastAsia"/>
          <w:color w:val="000000"/>
        </w:rPr>
        <w:t xml:space="preserve"> </w:t>
      </w:r>
    </w:p>
    <w:p>
      <w:pPr>
        <w:pStyle w:val="46"/>
        <w:ind w:left="1" w:firstLine="0" w:firstLineChars="0"/>
        <w:jc w:val="left"/>
        <w:rPr>
          <w:color w:val="000000"/>
          <w:sz w:val="24"/>
        </w:rPr>
      </w:pPr>
      <w:r>
        <w:rPr>
          <w:rFonts w:hint="eastAsia" w:ascii="宋体" w:hAnsi="宋体"/>
          <w:color w:val="000000"/>
          <w:sz w:val="24"/>
        </w:rPr>
        <w:t>投标人</w:t>
      </w:r>
      <w:r>
        <w:rPr>
          <w:rFonts w:ascii="宋体" w:hAnsi="宋体"/>
          <w:color w:val="000000"/>
          <w:sz w:val="24"/>
        </w:rPr>
        <w:t>授权代表</w:t>
      </w:r>
      <w:r>
        <w:rPr>
          <w:rFonts w:hint="eastAsia" w:ascii="宋体" w:hAnsi="宋体"/>
          <w:color w:val="000000"/>
          <w:sz w:val="24"/>
        </w:rPr>
        <w:t>签字：</w:t>
      </w:r>
    </w:p>
    <w:p>
      <w:pPr>
        <w:pStyle w:val="46"/>
        <w:ind w:firstLine="0" w:firstLineChars="0"/>
        <w:jc w:val="left"/>
        <w:rPr>
          <w:color w:val="000000"/>
          <w:sz w:val="24"/>
        </w:rPr>
      </w:pPr>
      <w:r>
        <w:rPr>
          <w:rFonts w:hint="eastAsia" w:ascii="宋体" w:hAnsi="宋体"/>
          <w:color w:val="000000"/>
          <w:sz w:val="24"/>
        </w:rPr>
        <w:t>投标人单位盖章：</w:t>
      </w:r>
    </w:p>
    <w:p>
      <w:pPr>
        <w:pStyle w:val="46"/>
        <w:adjustRightInd w:val="0"/>
        <w:snapToGrid w:val="0"/>
        <w:ind w:left="1" w:firstLine="0" w:firstLineChars="0"/>
        <w:jc w:val="left"/>
        <w:rPr>
          <w:color w:val="000000"/>
          <w:sz w:val="24"/>
        </w:rPr>
      </w:pPr>
      <w:r>
        <w:rPr>
          <w:rFonts w:hint="eastAsia" w:ascii="宋体" w:hAnsi="宋体"/>
          <w:color w:val="000000"/>
          <w:sz w:val="24"/>
        </w:rPr>
        <w:t>日期：</w:t>
      </w:r>
      <w:r>
        <w:rPr>
          <w:rFonts w:hint="eastAsia"/>
          <w:color w:val="000000"/>
          <w:sz w:val="24"/>
        </w:rPr>
        <w:t xml:space="preserve">    </w:t>
      </w:r>
      <w:r>
        <w:rPr>
          <w:rFonts w:hint="eastAsia" w:ascii="宋体" w:hAnsi="宋体"/>
          <w:color w:val="000000"/>
          <w:sz w:val="24"/>
        </w:rPr>
        <w:t>年</w:t>
      </w:r>
      <w:r>
        <w:rPr>
          <w:rFonts w:hint="eastAsia"/>
          <w:color w:val="000000"/>
          <w:sz w:val="24"/>
        </w:rPr>
        <w:t xml:space="preserve">  </w:t>
      </w:r>
      <w:r>
        <w:rPr>
          <w:rFonts w:hint="eastAsia" w:ascii="宋体" w:hAnsi="宋体"/>
          <w:color w:val="000000"/>
          <w:sz w:val="24"/>
        </w:rPr>
        <w:t>月</w:t>
      </w:r>
      <w:r>
        <w:rPr>
          <w:rFonts w:hint="eastAsia"/>
          <w:color w:val="000000"/>
          <w:sz w:val="24"/>
        </w:rPr>
        <w:t xml:space="preserve">  </w:t>
      </w:r>
      <w:r>
        <w:rPr>
          <w:rFonts w:hint="eastAsia" w:ascii="宋体" w:hAnsi="宋体"/>
          <w:color w:val="000000"/>
          <w:sz w:val="24"/>
        </w:rPr>
        <w:t>日</w:t>
      </w:r>
    </w:p>
    <w:p>
      <w:pPr>
        <w:pStyle w:val="54"/>
        <w:ind w:firstLine="480"/>
        <w:rPr>
          <w:i/>
          <w:iCs/>
          <w:color w:val="000000"/>
          <w:szCs w:val="24"/>
        </w:rPr>
      </w:pPr>
      <w:r>
        <w:rPr>
          <w:rFonts w:hint="eastAsia"/>
          <w:i/>
          <w:iCs/>
          <w:color w:val="000000"/>
        </w:rPr>
        <w:t xml:space="preserve"> </w:t>
      </w:r>
    </w:p>
    <w:p>
      <w:pPr>
        <w:widowControl/>
        <w:jc w:val="left"/>
        <w:rPr>
          <w:i/>
          <w:iCs/>
          <w:color w:val="000000"/>
        </w:rPr>
      </w:pPr>
      <w:r>
        <w:rPr>
          <w:i/>
          <w:iCs/>
          <w:color w:val="000000"/>
        </w:rPr>
        <w:br w:type="page"/>
      </w:r>
    </w:p>
    <w:p>
      <w:pPr>
        <w:spacing w:line="360" w:lineRule="auto"/>
        <w:rPr>
          <w:rFonts w:ascii="宋体" w:hAnsi="宋体"/>
          <w:b/>
          <w:bCs/>
          <w:sz w:val="24"/>
        </w:rPr>
      </w:pPr>
      <w:r>
        <w:rPr>
          <w:rFonts w:hint="eastAsia" w:ascii="宋体" w:hAnsi="宋体"/>
          <w:b/>
          <w:bCs/>
          <w:sz w:val="24"/>
        </w:rPr>
        <w:t>格式10-5. 售后服务方案及供货周期（格式自拟）</w:t>
      </w:r>
    </w:p>
    <w:p>
      <w:pPr>
        <w:spacing w:line="360" w:lineRule="auto"/>
        <w:rPr>
          <w:rFonts w:ascii="Calibri" w:hAnsi="Calibri"/>
          <w:sz w:val="24"/>
        </w:rPr>
      </w:pPr>
      <w:r>
        <w:rPr>
          <w:rFonts w:hint="eastAsia" w:ascii="宋体" w:hAnsi="宋体"/>
          <w:sz w:val="24"/>
        </w:rPr>
        <w:t>1.投标人根据招标文件技术需求说明书中的要求，提供投标人及产品厂商的售后服务方案，包括但不限于服务体系、服务流程、故障响应时间及处理机制、培训等相关词情况介绍。</w:t>
      </w:r>
    </w:p>
    <w:p>
      <w:pPr>
        <w:spacing w:line="360" w:lineRule="auto"/>
        <w:rPr>
          <w:sz w:val="24"/>
        </w:rPr>
      </w:pPr>
      <w:r>
        <w:rPr>
          <w:rFonts w:hint="eastAsia" w:ascii="宋体" w:hAnsi="宋体"/>
          <w:sz w:val="24"/>
        </w:rPr>
        <w:t>2.投标人需满足招标文件要求的供货周期及施工工期情况。</w:t>
      </w:r>
    </w:p>
    <w:p>
      <w:pPr>
        <w:rPr>
          <w:b/>
          <w:bCs/>
          <w:kern w:val="44"/>
          <w:szCs w:val="21"/>
        </w:rPr>
      </w:pPr>
      <w:r>
        <w:rPr>
          <w:b/>
          <w:bCs/>
          <w:kern w:val="44"/>
        </w:rPr>
        <w:t xml:space="preserve"> </w:t>
      </w:r>
    </w:p>
    <w:p>
      <w:pPr>
        <w:widowControl/>
        <w:jc w:val="left"/>
        <w:rPr>
          <w:b/>
          <w:bCs/>
          <w:kern w:val="44"/>
          <w:sz w:val="44"/>
          <w:szCs w:val="44"/>
        </w:rPr>
      </w:pPr>
      <w:r>
        <w:rPr>
          <w:b/>
          <w:bCs/>
          <w:kern w:val="44"/>
          <w:sz w:val="44"/>
          <w:szCs w:val="44"/>
        </w:rPr>
        <w:t xml:space="preserve"> </w:t>
      </w:r>
    </w:p>
    <w:p>
      <w:pPr>
        <w:widowControl/>
        <w:jc w:val="left"/>
        <w:rPr>
          <w:b/>
          <w:bCs/>
          <w:kern w:val="44"/>
          <w:sz w:val="44"/>
          <w:szCs w:val="44"/>
        </w:rPr>
      </w:pPr>
      <w:r>
        <w:rPr>
          <w:b/>
          <w:bCs/>
          <w:kern w:val="44"/>
          <w:sz w:val="44"/>
          <w:szCs w:val="44"/>
        </w:rPr>
        <w:t xml:space="preserve"> </w:t>
      </w:r>
    </w:p>
    <w:p>
      <w:pPr>
        <w:widowControl/>
        <w:jc w:val="left"/>
        <w:rPr>
          <w:b/>
          <w:bCs/>
          <w:kern w:val="44"/>
          <w:sz w:val="44"/>
          <w:szCs w:val="44"/>
        </w:rPr>
      </w:pPr>
      <w:r>
        <w:rPr>
          <w:b/>
          <w:bCs/>
          <w:kern w:val="44"/>
          <w:sz w:val="44"/>
          <w:szCs w:val="44"/>
        </w:rPr>
        <w:t xml:space="preserve"> </w:t>
      </w:r>
    </w:p>
    <w:p>
      <w:pPr>
        <w:widowControl/>
        <w:jc w:val="left"/>
        <w:rPr>
          <w:b/>
          <w:bCs/>
          <w:kern w:val="44"/>
          <w:sz w:val="44"/>
          <w:szCs w:val="44"/>
        </w:rPr>
      </w:pPr>
      <w:r>
        <w:rPr>
          <w:b/>
          <w:bCs/>
          <w:kern w:val="44"/>
          <w:sz w:val="44"/>
          <w:szCs w:val="44"/>
        </w:rPr>
        <w:t xml:space="preserve"> </w:t>
      </w:r>
    </w:p>
    <w:p>
      <w:pPr>
        <w:pStyle w:val="53"/>
        <w:spacing w:line="360" w:lineRule="auto"/>
        <w:ind w:left="420"/>
        <w:rPr>
          <w:rFonts w:ascii="宋体" w:hAnsi="宋体" w:eastAsia="宋体"/>
          <w:lang w:eastAsia="zh-CN"/>
        </w:rPr>
      </w:pPr>
      <w:r>
        <w:rPr>
          <w:rFonts w:hint="eastAsia" w:ascii="宋体" w:hAnsi="宋体" w:eastAsia="宋体"/>
          <w:lang w:eastAsia="zh-CN"/>
        </w:rPr>
        <w:t>投标人授权代表签字：</w:t>
      </w:r>
    </w:p>
    <w:p>
      <w:pPr>
        <w:pStyle w:val="53"/>
        <w:spacing w:line="360" w:lineRule="auto"/>
        <w:ind w:left="420"/>
        <w:rPr>
          <w:rFonts w:ascii="宋体" w:hAnsi="宋体" w:eastAsia="宋体"/>
          <w:lang w:eastAsia="zh-CN"/>
        </w:rPr>
      </w:pPr>
      <w:r>
        <w:rPr>
          <w:rFonts w:hint="eastAsia" w:ascii="宋体" w:hAnsi="宋体" w:eastAsia="宋体"/>
          <w:lang w:eastAsia="zh-CN"/>
        </w:rPr>
        <w:t>投标人单位盖章：</w:t>
      </w:r>
    </w:p>
    <w:p>
      <w:pPr>
        <w:pStyle w:val="53"/>
        <w:adjustRightInd w:val="0"/>
        <w:snapToGrid w:val="0"/>
        <w:spacing w:line="400" w:lineRule="atLeast"/>
        <w:ind w:left="420"/>
        <w:rPr>
          <w:rFonts w:ascii="宋体" w:hAnsi="宋体" w:eastAsia="宋体"/>
          <w:lang w:eastAsia="zh-CN"/>
        </w:rPr>
      </w:pPr>
      <w:r>
        <w:rPr>
          <w:rFonts w:hint="eastAsia" w:ascii="宋体" w:hAnsi="宋体" w:eastAsia="宋体"/>
          <w:lang w:eastAsia="zh-CN"/>
        </w:rPr>
        <w:t>日期：    年  月  日</w:t>
      </w:r>
    </w:p>
    <w:p>
      <w:pPr>
        <w:widowControl/>
        <w:jc w:val="left"/>
        <w:rPr>
          <w:rFonts w:ascii="Calibri" w:hAnsi="Calibri" w:eastAsia="宋体"/>
          <w:b/>
          <w:bCs/>
          <w:kern w:val="44"/>
          <w:sz w:val="44"/>
          <w:szCs w:val="44"/>
        </w:rPr>
      </w:pPr>
      <w:r>
        <w:rPr>
          <w:b/>
          <w:bCs/>
          <w:kern w:val="44"/>
          <w:sz w:val="44"/>
          <w:szCs w:val="44"/>
        </w:rPr>
        <w:t xml:space="preserve"> </w:t>
      </w:r>
    </w:p>
    <w:p>
      <w:pPr>
        <w:widowControl/>
        <w:jc w:val="left"/>
        <w:rPr>
          <w:rFonts w:ascii="宋体" w:hAnsi="宋体"/>
          <w:i/>
          <w:iCs/>
          <w:color w:val="000000"/>
          <w:sz w:val="24"/>
        </w:rPr>
      </w:pPr>
      <w:r>
        <w:rPr>
          <w:i/>
          <w:iCs/>
          <w:color w:val="000000"/>
        </w:rPr>
        <w:br w:type="page"/>
      </w:r>
    </w:p>
    <w:p>
      <w:pPr>
        <w:spacing w:line="360" w:lineRule="auto"/>
        <w:rPr>
          <w:rFonts w:ascii="宋体" w:hAnsi="宋体"/>
          <w:b/>
          <w:bCs/>
          <w:sz w:val="24"/>
        </w:rPr>
      </w:pPr>
      <w:r>
        <w:rPr>
          <w:rFonts w:hint="eastAsia" w:ascii="宋体" w:hAnsi="宋体"/>
          <w:b/>
          <w:bCs/>
          <w:sz w:val="24"/>
        </w:rPr>
        <w:t>格式10-6. 投标人认为需要提供的其他证明材料（格式自拟）</w:t>
      </w:r>
    </w:p>
    <w:p>
      <w:pPr>
        <w:numPr>
          <w:ilvl w:val="0"/>
          <w:numId w:val="0"/>
        </w:numPr>
        <w:jc w:val="both"/>
        <w:rPr>
          <w:rFonts w:hint="default" w:ascii="宋体" w:hAnsi="宋体" w:eastAsia="宋体" w:cs="宋体"/>
          <w:sz w:val="30"/>
          <w:szCs w:val="30"/>
          <w:lang w:val="en-US" w:eastAsia="zh-CN"/>
        </w:rPr>
      </w:pPr>
    </w:p>
    <w:p>
      <w:pPr>
        <w:pStyle w:val="32"/>
        <w:spacing w:before="331" w:after="331"/>
        <w:jc w:val="both"/>
        <w:rPr>
          <w:color w:val="000000" w:themeColor="text1"/>
          <w14:textFill>
            <w14:solidFill>
              <w14:schemeClr w14:val="tx1"/>
            </w14:solidFill>
          </w14:textFill>
        </w:rPr>
      </w:pPr>
    </w:p>
    <w:p>
      <w:pPr>
        <w:pStyle w:val="32"/>
        <w:spacing w:before="331" w:after="331"/>
        <w:jc w:val="both"/>
        <w:rPr>
          <w:color w:val="000000" w:themeColor="text1"/>
          <w14:textFill>
            <w14:solidFill>
              <w14:schemeClr w14:val="tx1"/>
            </w14:solidFill>
          </w14:textFill>
        </w:rPr>
      </w:pPr>
    </w:p>
    <w:p>
      <w:pPr>
        <w:pStyle w:val="32"/>
        <w:spacing w:before="331" w:after="331"/>
        <w:rPr>
          <w:color w:val="000000" w:themeColor="text1"/>
          <w14:textFill>
            <w14:solidFill>
              <w14:schemeClr w14:val="tx1"/>
            </w14:solidFill>
          </w14:textFill>
        </w:rPr>
      </w:pPr>
    </w:p>
    <w:p>
      <w:pPr>
        <w:pStyle w:val="32"/>
        <w:spacing w:before="331" w:after="331"/>
        <w:rPr>
          <w:color w:val="000000" w:themeColor="text1"/>
          <w14:textFill>
            <w14:solidFill>
              <w14:schemeClr w14:val="tx1"/>
            </w14:solidFill>
          </w14:textFill>
        </w:rPr>
      </w:pPr>
    </w:p>
    <w:p>
      <w:pPr>
        <w:pStyle w:val="32"/>
        <w:spacing w:before="331" w:after="331"/>
        <w:rPr>
          <w:color w:val="000000" w:themeColor="text1"/>
          <w14:textFill>
            <w14:solidFill>
              <w14:schemeClr w14:val="tx1"/>
            </w14:solidFill>
          </w14:textFill>
        </w:rPr>
      </w:pPr>
    </w:p>
    <w:p>
      <w:pPr>
        <w:pStyle w:val="32"/>
        <w:spacing w:before="331" w:after="331"/>
        <w:rPr>
          <w:color w:val="000000" w:themeColor="text1"/>
          <w14:textFill>
            <w14:solidFill>
              <w14:schemeClr w14:val="tx1"/>
            </w14:solidFill>
          </w14:textFill>
        </w:rPr>
      </w:pPr>
    </w:p>
    <w:p>
      <w:pPr>
        <w:pStyle w:val="32"/>
        <w:spacing w:before="331" w:after="331"/>
        <w:rPr>
          <w:color w:val="000000" w:themeColor="text1"/>
          <w14:textFill>
            <w14:solidFill>
              <w14:schemeClr w14:val="tx1"/>
            </w14:solidFill>
          </w14:textFill>
        </w:rPr>
      </w:pPr>
    </w:p>
    <w:p>
      <w:pPr>
        <w:pStyle w:val="32"/>
        <w:spacing w:before="331" w:after="331"/>
        <w:rPr>
          <w:color w:val="000000" w:themeColor="text1"/>
          <w14:textFill>
            <w14:solidFill>
              <w14:schemeClr w14:val="tx1"/>
            </w14:solidFill>
          </w14:textFill>
        </w:rPr>
      </w:pPr>
    </w:p>
    <w:p>
      <w:pPr>
        <w:pStyle w:val="32"/>
        <w:spacing w:before="331" w:after="331"/>
        <w:rPr>
          <w:color w:val="000000" w:themeColor="text1"/>
          <w14:textFill>
            <w14:solidFill>
              <w14:schemeClr w14:val="tx1"/>
            </w14:solidFill>
          </w14:textFill>
        </w:rPr>
      </w:pPr>
    </w:p>
    <w:p>
      <w:pPr>
        <w:pStyle w:val="32"/>
        <w:spacing w:before="331" w:after="331"/>
        <w:rPr>
          <w:color w:val="000000" w:themeColor="text1"/>
          <w14:textFill>
            <w14:solidFill>
              <w14:schemeClr w14:val="tx1"/>
            </w14:solidFill>
          </w14:textFill>
        </w:rPr>
      </w:pPr>
    </w:p>
    <w:sectPr>
      <w:footerReference r:id="rId21" w:type="first"/>
      <w:headerReference r:id="rId19" w:type="default"/>
      <w:footerReference r:id="rId20" w:type="default"/>
      <w:pgSz w:w="11906" w:h="16838"/>
      <w:pgMar w:top="987" w:right="986" w:bottom="822" w:left="1213" w:header="851" w:footer="421" w:gutter="0"/>
      <w:pgNumType w:fmt="decimal"/>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长城仿宋">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隶书">
    <w:panose1 w:val="02010509060101010101"/>
    <w:charset w:val="86"/>
    <w:family w:val="modern"/>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GB2312">
    <w:altName w:val="仿宋"/>
    <w:panose1 w:val="00000000000000000000"/>
    <w:charset w:val="00"/>
    <w:family w:val="auto"/>
    <w:pitch w:val="default"/>
    <w:sig w:usb0="00000000" w:usb1="00000000" w:usb2="00000000" w:usb3="00000000" w:csb0="00040001" w:csb1="00000000"/>
  </w:font>
  <w:font w:name="sans-serif">
    <w:altName w:val="Times New Roman"/>
    <w:panose1 w:val="00000000000000000000"/>
    <w:charset w:val="00"/>
    <w:family w:val="roman"/>
    <w:pitch w:val="default"/>
    <w:sig w:usb0="00000000" w:usb1="00000000" w:usb2="00000000" w:usb3="00000000" w:csb0="00040001" w:csb1="00000000"/>
  </w:font>
  <w:font w:name="仿宋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仿宋gb2312" w:hAnsi="仿宋gb2312" w:eastAsia="仿宋gb2312" w:cs="仿宋gb2312"/>
        <w:kern w:val="2"/>
        <w:sz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G/Yp2wAQAA&#10;TgMAAA4AAAAAAAAAAQAgAAAAHgEAAGRycy9lMm9Eb2MueG1sUEsFBgAAAAAGAAYAWQEAAEAFAAAA&#10;AA==&#10;">
              <v:fill on="f" focussize="0,0"/>
              <v:stroke on="f"/>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snapToGrid w:val="0"/>
      <w:jc w:val="left"/>
      <w:rPr>
        <w:rFonts w:hint="eastAsia" w:ascii="仿宋gb2312" w:hAnsi="仿宋gb2312" w:eastAsia="仿宋gb2312" w:cs="仿宋gb2312"/>
        <w:kern w:val="2"/>
        <w:sz w:val="18"/>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eastAsia="仿宋" w:cs="Times New Roman"/>
        <w:kern w:val="2"/>
        <w:sz w:val="18"/>
        <w:lang w:val="en-US" w:eastAsia="zh-CN" w:bidi="ar-SA"/>
      </w:rPr>
    </w:pPr>
    <w:r>
      <w:rPr>
        <w:rFonts w:ascii="Calibri" w:hAnsi="Calibri" w:eastAsia="仿宋" w:cs="Times New Roman"/>
        <w:kern w:val="2"/>
        <w:sz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jc w:val="left"/>
                            <w:rPr>
                              <w:rFonts w:hint="eastAsia" w:ascii="Calibri" w:hAnsi="Calibri" w:eastAsia="仿宋" w:cs="Times New Roman"/>
                              <w:kern w:val="2"/>
                              <w:sz w:val="18"/>
                              <w:lang w:val="en-US" w:eastAsia="zh-CN" w:bidi="ar-SA"/>
                            </w:rPr>
                          </w:pPr>
                          <w:r>
                            <w:rPr>
                              <w:rFonts w:hint="eastAsia" w:ascii="Calibri" w:hAnsi="Calibri" w:eastAsia="仿宋" w:cs="Times New Roman"/>
                              <w:kern w:val="2"/>
                              <w:sz w:val="18"/>
                              <w:lang w:val="en-US" w:eastAsia="zh-CN" w:bidi="ar-SA"/>
                            </w:rPr>
                            <w:fldChar w:fldCharType="begin"/>
                          </w:r>
                          <w:r>
                            <w:rPr>
                              <w:rFonts w:hint="eastAsia" w:ascii="Calibri" w:hAnsi="Calibri" w:eastAsia="仿宋" w:cs="Times New Roman"/>
                              <w:kern w:val="2"/>
                              <w:sz w:val="18"/>
                              <w:lang w:val="en-US" w:eastAsia="zh-CN" w:bidi="ar-SA"/>
                            </w:rPr>
                            <w:instrText xml:space="preserve"> PAGE  \* MERGEFORMAT </w:instrText>
                          </w:r>
                          <w:r>
                            <w:rPr>
                              <w:rFonts w:hint="eastAsia" w:ascii="Calibri" w:hAnsi="Calibri" w:eastAsia="仿宋" w:cs="Times New Roman"/>
                              <w:kern w:val="2"/>
                              <w:sz w:val="18"/>
                              <w:lang w:val="en-US" w:eastAsia="zh-CN" w:bidi="ar-SA"/>
                            </w:rPr>
                            <w:fldChar w:fldCharType="separate"/>
                          </w:r>
                          <w:r>
                            <w:rPr>
                              <w:rFonts w:ascii="Calibri" w:hAnsi="Calibri" w:eastAsia="仿宋" w:cs="Times New Roman"/>
                              <w:kern w:val="2"/>
                              <w:sz w:val="18"/>
                              <w:lang w:val="en-US" w:eastAsia="zh-CN" w:bidi="ar-SA"/>
                            </w:rPr>
                            <w:t>- 201 -</w:t>
                          </w:r>
                          <w:r>
                            <w:rPr>
                              <w:rFonts w:hint="eastAsia" w:ascii="Calibri" w:hAnsi="Calibri" w:eastAsia="仿宋"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Aaj7ou+AQAAZQMAAA4AAAAAAAAAAQAgAAAAIgEAAGRycy9lMm9Eb2MueG1sUEsF&#10;BgAAAAAGAAYAWQEAAFIFAAAAAA==&#10;">
              <v:fill on="f" focussize="0,0"/>
              <v:stroke on="f" weight="1.25pt"/>
              <v:imagedata o:title=""/>
              <o:lock v:ext="edit" aspectratio="f"/>
              <v:textbox inset="0mm,0mm,0mm,0mm" style="mso-fit-shape-to-text:t;">
                <w:txbxContent>
                  <w:p>
                    <w:pPr>
                      <w:snapToGrid w:val="0"/>
                      <w:jc w:val="left"/>
                      <w:rPr>
                        <w:rFonts w:hint="eastAsia" w:ascii="Calibri" w:hAnsi="Calibri" w:eastAsia="仿宋" w:cs="Times New Roman"/>
                        <w:kern w:val="2"/>
                        <w:sz w:val="18"/>
                        <w:lang w:val="en-US" w:eastAsia="zh-CN" w:bidi="ar-SA"/>
                      </w:rPr>
                    </w:pPr>
                    <w:r>
                      <w:rPr>
                        <w:rFonts w:hint="eastAsia" w:ascii="Calibri" w:hAnsi="Calibri" w:eastAsia="仿宋" w:cs="Times New Roman"/>
                        <w:kern w:val="2"/>
                        <w:sz w:val="18"/>
                        <w:lang w:val="en-US" w:eastAsia="zh-CN" w:bidi="ar-SA"/>
                      </w:rPr>
                      <w:fldChar w:fldCharType="begin"/>
                    </w:r>
                    <w:r>
                      <w:rPr>
                        <w:rFonts w:hint="eastAsia" w:ascii="Calibri" w:hAnsi="Calibri" w:eastAsia="仿宋" w:cs="Times New Roman"/>
                        <w:kern w:val="2"/>
                        <w:sz w:val="18"/>
                        <w:lang w:val="en-US" w:eastAsia="zh-CN" w:bidi="ar-SA"/>
                      </w:rPr>
                      <w:instrText xml:space="preserve"> PAGE  \* MERGEFORMAT </w:instrText>
                    </w:r>
                    <w:r>
                      <w:rPr>
                        <w:rFonts w:hint="eastAsia" w:ascii="Calibri" w:hAnsi="Calibri" w:eastAsia="仿宋" w:cs="Times New Roman"/>
                        <w:kern w:val="2"/>
                        <w:sz w:val="18"/>
                        <w:lang w:val="en-US" w:eastAsia="zh-CN" w:bidi="ar-SA"/>
                      </w:rPr>
                      <w:fldChar w:fldCharType="separate"/>
                    </w:r>
                    <w:r>
                      <w:rPr>
                        <w:rFonts w:ascii="Calibri" w:hAnsi="Calibri" w:eastAsia="仿宋" w:cs="Times New Roman"/>
                        <w:kern w:val="2"/>
                        <w:sz w:val="18"/>
                        <w:lang w:val="en-US" w:eastAsia="zh-CN" w:bidi="ar-SA"/>
                      </w:rPr>
                      <w:t>- 201 -</w:t>
                    </w:r>
                    <w:r>
                      <w:rPr>
                        <w:rFonts w:hint="eastAsia" w:ascii="Calibri" w:hAnsi="Calibri" w:eastAsia="仿宋" w:cs="Times New Roman"/>
                        <w:kern w:val="2"/>
                        <w:sz w:val="18"/>
                        <w:lang w:val="en-US" w:eastAsia="zh-CN" w:bidi="ar-S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snapToGrid w:val="0"/>
      <w:jc w:val="left"/>
      <w:rPr>
        <w:rStyle w:val="55"/>
        <w:rFonts w:ascii="Calibri" w:hAnsi="Calibri" w:eastAsia="仿宋" w:cs="Times New Roman"/>
        <w:kern w:val="2"/>
        <w:sz w:val="18"/>
        <w:lang w:val="en-US" w:eastAsia="zh-CN" w:bidi="ar-SA"/>
      </w:rPr>
    </w:pPr>
    <w:r>
      <w:rPr>
        <w:rFonts w:ascii="Calibri" w:hAnsi="Calibri" w:eastAsia="仿宋" w:cs="Times New Roman"/>
        <w:kern w:val="2"/>
        <w:sz w:val="18"/>
        <w:lang w:val="en-US" w:eastAsia="zh-CN" w:bidi="ar-SA"/>
      </w:rPr>
      <w:fldChar w:fldCharType="begin"/>
    </w:r>
    <w:r>
      <w:rPr>
        <w:rStyle w:val="55"/>
        <w:rFonts w:ascii="Calibri" w:hAnsi="Calibri" w:eastAsia="宋体" w:cs="Times New Roman"/>
        <w:kern w:val="2"/>
        <w:sz w:val="18"/>
        <w:lang w:val="en-US" w:eastAsia="zh-CN" w:bidi="ar-SA"/>
      </w:rPr>
      <w:instrText xml:space="preserve">PAGE  </w:instrText>
    </w:r>
    <w:r>
      <w:rPr>
        <w:rFonts w:ascii="Calibri" w:hAnsi="Calibri" w:eastAsia="仿宋" w:cs="Times New Roman"/>
        <w:kern w:val="2"/>
        <w:sz w:val="18"/>
        <w:lang w:val="en-US" w:eastAsia="zh-CN" w:bidi="ar-SA"/>
      </w:rPr>
      <w:fldChar w:fldCharType="end"/>
    </w:r>
  </w:p>
  <w:p>
    <w:pPr>
      <w:snapToGrid w:val="0"/>
      <w:ind w:right="360"/>
      <w:jc w:val="left"/>
      <w:rPr>
        <w:rFonts w:ascii="Calibri" w:hAnsi="Calibri" w:eastAsia="仿宋" w:cs="Times New Roman"/>
        <w:kern w:val="2"/>
        <w:sz w:val="18"/>
        <w:lang w:val="en-US" w:eastAsia="zh-CN" w:bidi="ar-SA"/>
      </w:rPr>
    </w:pPr>
  </w:p>
  <w:p>
    <w:pPr>
      <w:widowControl/>
      <w:rPr>
        <w:rFonts w:ascii="Calibri" w:hAnsi="Calibri" w:eastAsia="仿宋" w:cs="Times New Roman"/>
        <w:sz w:val="28"/>
        <w:szCs w:val="20"/>
      </w:rPr>
    </w:pPr>
  </w:p>
  <w:p>
    <w:pPr>
      <w:widowControl/>
      <w:rPr>
        <w:rFonts w:ascii="Calibri" w:hAnsi="Calibri" w:eastAsia="仿宋" w:cs="Times New Roman"/>
        <w:sz w:val="28"/>
        <w:szCs w:val="20"/>
      </w:rPr>
    </w:pPr>
  </w:p>
  <w:p>
    <w:pPr>
      <w:widowControl/>
      <w:rPr>
        <w:rFonts w:ascii="Calibri" w:hAnsi="Calibri" w:eastAsia="仿宋" w:cs="Times New Roman"/>
        <w:sz w:val="28"/>
        <w:szCs w:val="20"/>
      </w:rPr>
    </w:pPr>
  </w:p>
  <w:p>
    <w:pPr>
      <w:widowControl/>
      <w:rPr>
        <w:rFonts w:ascii="Calibri" w:hAnsi="Calibri" w:eastAsia="仿宋" w:cs="Times New Roman"/>
        <w:sz w:val="28"/>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34</w:t>
    </w:r>
    <w:r>
      <w:rPr>
        <w:rStyle w:val="28"/>
      </w:rPr>
      <w:fldChar w:fldCharType="end"/>
    </w:r>
  </w:p>
  <w:p>
    <w:pPr>
      <w:pStyle w:val="17"/>
      <w:jc w:val="center"/>
      <w:rPr>
        <w:rFonts w:hint="eastAsia" w:hAnsi="宋体"/>
        <w:sz w:val="21"/>
        <w:szCs w:val="21"/>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1</w:t>
    </w:r>
    <w:r>
      <w:rPr>
        <w:rStyle w:val="28"/>
      </w:rPr>
      <w:fldChar w:fldCharType="end"/>
    </w:r>
  </w:p>
  <w:p>
    <w:pPr>
      <w:pStyle w:val="1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hAnsi="宋体"/>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ohIaAgAAJ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iL+iEhoCAAAlBAAADgAA&#10;AAAAAAABACAAAAAfAQAAZHJzL2Uyb0RvYy54bWxQSwUGAAAAAAYABgBZAQAAq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5IDbocAgAAJQ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AeSA26HAIAACUEAAAO&#10;AAAAAAAAAAEAIAAAAB8BAABkcnMvZTJvRG9jLnhtbFBLBQYAAAAABgAGAFkBAACt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CqX+gKwAQAA&#10;TgMAAA4AAAAAAAAAAQAgAAAAHgEAAGRycy9lMm9Eb2MueG1sUEsFBgAAAAAGAAYAWQEAAEAFAAAA&#10;AA==&#10;">
              <v:fill on="f" focussize="0,0"/>
              <v:stroke on="f"/>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仿宋gb2312" w:hAnsi="仿宋gb2312" w:eastAsia="仿宋gb2312" w:cs="仿宋gb2312"/>
        <w:kern w:val="2"/>
        <w:sz w:val="18"/>
        <w:lang w:val="en-US" w:eastAsia="zh-CN" w:bidi="ar-SA"/>
      </w:rPr>
    </w:pPr>
    <w:r>
      <w:rPr>
        <w:rFonts w:ascii="Calibri" w:hAnsi="Calibri" w:eastAsia="仿宋"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jc w:val="left"/>
                            <w:rPr>
                              <w:rFonts w:hint="eastAsia" w:ascii="Calibri" w:hAnsi="Calibri" w:eastAsia="仿宋" w:cs="Times New Roman"/>
                              <w:kern w:val="2"/>
                              <w:sz w:val="18"/>
                              <w:lang w:val="en-US" w:eastAsia="zh-CN" w:bidi="ar-SA"/>
                            </w:rPr>
                          </w:pPr>
                          <w:r>
                            <w:rPr>
                              <w:rFonts w:hint="eastAsia" w:ascii="Calibri" w:hAnsi="Calibri" w:eastAsia="仿宋" w:cs="Times New Roman"/>
                              <w:kern w:val="2"/>
                              <w:sz w:val="18"/>
                              <w:lang w:val="en-US" w:eastAsia="zh-CN" w:bidi="ar-SA"/>
                            </w:rPr>
                            <w:fldChar w:fldCharType="begin"/>
                          </w:r>
                          <w:r>
                            <w:rPr>
                              <w:rFonts w:hint="eastAsia" w:ascii="Calibri" w:hAnsi="Calibri" w:eastAsia="仿宋" w:cs="Times New Roman"/>
                              <w:kern w:val="2"/>
                              <w:sz w:val="18"/>
                              <w:lang w:val="en-US" w:eastAsia="zh-CN" w:bidi="ar-SA"/>
                            </w:rPr>
                            <w:instrText xml:space="preserve"> PAGE  \* MERGEFORMAT </w:instrText>
                          </w:r>
                          <w:r>
                            <w:rPr>
                              <w:rFonts w:hint="eastAsia" w:ascii="Calibri" w:hAnsi="Calibri" w:eastAsia="仿宋" w:cs="Times New Roman"/>
                              <w:kern w:val="2"/>
                              <w:sz w:val="18"/>
                              <w:lang w:val="en-US" w:eastAsia="zh-CN" w:bidi="ar-SA"/>
                            </w:rPr>
                            <w:fldChar w:fldCharType="separate"/>
                          </w:r>
                          <w:r>
                            <w:rPr>
                              <w:rFonts w:ascii="Calibri" w:hAnsi="Calibri" w:eastAsia="仿宋" w:cs="Times New Roman"/>
                              <w:kern w:val="2"/>
                              <w:sz w:val="18"/>
                              <w:lang w:val="en-US" w:eastAsia="zh-CN" w:bidi="ar-SA"/>
                            </w:rPr>
                            <w:t>- 6 -</w:t>
                          </w:r>
                          <w:r>
                            <w:rPr>
                              <w:rFonts w:hint="eastAsia" w:ascii="Calibri" w:hAnsi="Calibri" w:eastAsia="仿宋"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gROeJvAEAAGcDAAAOAAAAAAAAAAEAIAAAACIBAABkcnMvZTJvRG9jLnhtbFBLBQYA&#10;AAAABgAGAFkBAABQBQAAAAA=&#10;">
              <v:fill on="f" focussize="0,0"/>
              <v:stroke on="f" weight="1.25pt"/>
              <v:imagedata o:title=""/>
              <o:lock v:ext="edit" aspectratio="f"/>
              <v:textbox inset="0mm,0mm,0mm,0mm" style="mso-fit-shape-to-text:t;">
                <w:txbxContent>
                  <w:p>
                    <w:pPr>
                      <w:snapToGrid w:val="0"/>
                      <w:jc w:val="left"/>
                      <w:rPr>
                        <w:rFonts w:hint="eastAsia" w:ascii="Calibri" w:hAnsi="Calibri" w:eastAsia="仿宋" w:cs="Times New Roman"/>
                        <w:kern w:val="2"/>
                        <w:sz w:val="18"/>
                        <w:lang w:val="en-US" w:eastAsia="zh-CN" w:bidi="ar-SA"/>
                      </w:rPr>
                    </w:pPr>
                    <w:r>
                      <w:rPr>
                        <w:rFonts w:hint="eastAsia" w:ascii="Calibri" w:hAnsi="Calibri" w:eastAsia="仿宋" w:cs="Times New Roman"/>
                        <w:kern w:val="2"/>
                        <w:sz w:val="18"/>
                        <w:lang w:val="en-US" w:eastAsia="zh-CN" w:bidi="ar-SA"/>
                      </w:rPr>
                      <w:fldChar w:fldCharType="begin"/>
                    </w:r>
                    <w:r>
                      <w:rPr>
                        <w:rFonts w:hint="eastAsia" w:ascii="Calibri" w:hAnsi="Calibri" w:eastAsia="仿宋" w:cs="Times New Roman"/>
                        <w:kern w:val="2"/>
                        <w:sz w:val="18"/>
                        <w:lang w:val="en-US" w:eastAsia="zh-CN" w:bidi="ar-SA"/>
                      </w:rPr>
                      <w:instrText xml:space="preserve"> PAGE  \* MERGEFORMAT </w:instrText>
                    </w:r>
                    <w:r>
                      <w:rPr>
                        <w:rFonts w:hint="eastAsia" w:ascii="Calibri" w:hAnsi="Calibri" w:eastAsia="仿宋" w:cs="Times New Roman"/>
                        <w:kern w:val="2"/>
                        <w:sz w:val="18"/>
                        <w:lang w:val="en-US" w:eastAsia="zh-CN" w:bidi="ar-SA"/>
                      </w:rPr>
                      <w:fldChar w:fldCharType="separate"/>
                    </w:r>
                    <w:r>
                      <w:rPr>
                        <w:rFonts w:ascii="Calibri" w:hAnsi="Calibri" w:eastAsia="仿宋" w:cs="Times New Roman"/>
                        <w:kern w:val="2"/>
                        <w:sz w:val="18"/>
                        <w:lang w:val="en-US" w:eastAsia="zh-CN" w:bidi="ar-SA"/>
                      </w:rPr>
                      <w:t>- 6 -</w:t>
                    </w:r>
                    <w:r>
                      <w:rPr>
                        <w:rFonts w:hint="eastAsia" w:ascii="Calibri" w:hAnsi="Calibri" w:eastAsia="仿宋" w:cs="Times New Roman"/>
                        <w:kern w:val="2"/>
                        <w:sz w:val="18"/>
                        <w:lang w:val="en-US" w:eastAsia="zh-CN" w:bidi="ar-SA"/>
                      </w:rPr>
                      <w:fldChar w:fldCharType="end"/>
                    </w:r>
                  </w:p>
                </w:txbxContent>
              </v:textbox>
            </v:shape>
          </w:pict>
        </mc:Fallback>
      </mc:AlternateContent>
    </w:r>
  </w:p>
  <w:p>
    <w:pPr>
      <w:snapToGrid w:val="0"/>
      <w:jc w:val="left"/>
      <w:rPr>
        <w:rFonts w:hint="eastAsia" w:ascii="仿宋gb2312" w:hAnsi="仿宋gb2312" w:eastAsia="仿宋gb2312" w:cs="仿宋gb2312"/>
        <w:kern w:val="2"/>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eastAsia="仿宋" w:cs="Times New Roman"/>
        <w:kern w:val="2"/>
        <w:sz w:val="18"/>
        <w:lang w:val="en-US" w:eastAsia="zh-CN" w:bidi="ar-SA"/>
      </w:rPr>
    </w:pPr>
    <w:r>
      <w:rPr>
        <w:rFonts w:ascii="Calibri" w:hAnsi="Calibri" w:eastAsia="仿宋" w:cs="Times New Roman"/>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jc w:val="left"/>
                            <w:rPr>
                              <w:rFonts w:hint="eastAsia" w:ascii="Calibri" w:hAnsi="Calibri" w:eastAsia="仿宋" w:cs="Times New Roman"/>
                              <w:kern w:val="2"/>
                              <w:sz w:val="18"/>
                              <w:lang w:val="en-US" w:eastAsia="zh-CN" w:bidi="ar-SA"/>
                            </w:rPr>
                          </w:pPr>
                          <w:r>
                            <w:rPr>
                              <w:rFonts w:hint="eastAsia" w:ascii="Calibri" w:hAnsi="Calibri" w:eastAsia="仿宋" w:cs="Times New Roman"/>
                              <w:kern w:val="2"/>
                              <w:sz w:val="18"/>
                              <w:lang w:val="en-US" w:eastAsia="zh-CN" w:bidi="ar-SA"/>
                            </w:rPr>
                            <w:fldChar w:fldCharType="begin"/>
                          </w:r>
                          <w:r>
                            <w:rPr>
                              <w:rFonts w:hint="eastAsia" w:ascii="Calibri" w:hAnsi="Calibri" w:eastAsia="仿宋" w:cs="Times New Roman"/>
                              <w:kern w:val="2"/>
                              <w:sz w:val="18"/>
                              <w:lang w:val="en-US" w:eastAsia="zh-CN" w:bidi="ar-SA"/>
                            </w:rPr>
                            <w:instrText xml:space="preserve"> PAGE  \* MERGEFORMAT </w:instrText>
                          </w:r>
                          <w:r>
                            <w:rPr>
                              <w:rFonts w:hint="eastAsia" w:ascii="Calibri" w:hAnsi="Calibri" w:eastAsia="仿宋" w:cs="Times New Roman"/>
                              <w:kern w:val="2"/>
                              <w:sz w:val="18"/>
                              <w:lang w:val="en-US" w:eastAsia="zh-CN" w:bidi="ar-SA"/>
                            </w:rPr>
                            <w:fldChar w:fldCharType="separate"/>
                          </w:r>
                          <w:r>
                            <w:rPr>
                              <w:rFonts w:ascii="Calibri" w:hAnsi="Calibri" w:eastAsia="仿宋" w:cs="Times New Roman"/>
                              <w:kern w:val="2"/>
                              <w:sz w:val="18"/>
                              <w:lang w:val="en-US" w:eastAsia="zh-CN" w:bidi="ar-SA"/>
                            </w:rPr>
                            <w:t>- 2 -</w:t>
                          </w:r>
                          <w:r>
                            <w:rPr>
                              <w:rFonts w:hint="eastAsia" w:ascii="Calibri" w:hAnsi="Calibri" w:eastAsia="仿宋"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JeS9G70BAABnAwAADgAAAAAAAAABACAAAAAiAQAAZHJzL2Uyb0RvYy54bWxQSwUG&#10;AAAAAAYABgBZAQAAUQUAAAAA&#10;">
              <v:fill on="f" focussize="0,0"/>
              <v:stroke on="f" weight="1.25pt"/>
              <v:imagedata o:title=""/>
              <o:lock v:ext="edit" aspectratio="f"/>
              <v:textbox inset="0mm,0mm,0mm,0mm" style="mso-fit-shape-to-text:t;">
                <w:txbxContent>
                  <w:p>
                    <w:pPr>
                      <w:snapToGrid w:val="0"/>
                      <w:jc w:val="left"/>
                      <w:rPr>
                        <w:rFonts w:hint="eastAsia" w:ascii="Calibri" w:hAnsi="Calibri" w:eastAsia="仿宋" w:cs="Times New Roman"/>
                        <w:kern w:val="2"/>
                        <w:sz w:val="18"/>
                        <w:lang w:val="en-US" w:eastAsia="zh-CN" w:bidi="ar-SA"/>
                      </w:rPr>
                    </w:pPr>
                    <w:r>
                      <w:rPr>
                        <w:rFonts w:hint="eastAsia" w:ascii="Calibri" w:hAnsi="Calibri" w:eastAsia="仿宋" w:cs="Times New Roman"/>
                        <w:kern w:val="2"/>
                        <w:sz w:val="18"/>
                        <w:lang w:val="en-US" w:eastAsia="zh-CN" w:bidi="ar-SA"/>
                      </w:rPr>
                      <w:fldChar w:fldCharType="begin"/>
                    </w:r>
                    <w:r>
                      <w:rPr>
                        <w:rFonts w:hint="eastAsia" w:ascii="Calibri" w:hAnsi="Calibri" w:eastAsia="仿宋" w:cs="Times New Roman"/>
                        <w:kern w:val="2"/>
                        <w:sz w:val="18"/>
                        <w:lang w:val="en-US" w:eastAsia="zh-CN" w:bidi="ar-SA"/>
                      </w:rPr>
                      <w:instrText xml:space="preserve"> PAGE  \* MERGEFORMAT </w:instrText>
                    </w:r>
                    <w:r>
                      <w:rPr>
                        <w:rFonts w:hint="eastAsia" w:ascii="Calibri" w:hAnsi="Calibri" w:eastAsia="仿宋" w:cs="Times New Roman"/>
                        <w:kern w:val="2"/>
                        <w:sz w:val="18"/>
                        <w:lang w:val="en-US" w:eastAsia="zh-CN" w:bidi="ar-SA"/>
                      </w:rPr>
                      <w:fldChar w:fldCharType="separate"/>
                    </w:r>
                    <w:r>
                      <w:rPr>
                        <w:rFonts w:ascii="Calibri" w:hAnsi="Calibri" w:eastAsia="仿宋" w:cs="Times New Roman"/>
                        <w:kern w:val="2"/>
                        <w:sz w:val="18"/>
                        <w:lang w:val="en-US" w:eastAsia="zh-CN" w:bidi="ar-SA"/>
                      </w:rPr>
                      <w:t>- 2 -</w:t>
                    </w:r>
                    <w:r>
                      <w:rPr>
                        <w:rFonts w:hint="eastAsia" w:ascii="Calibri" w:hAnsi="Calibri" w:eastAsia="仿宋" w:cs="Times New Roman"/>
                        <w:kern w:val="2"/>
                        <w:sz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仿宋gb2312" w:hAnsi="仿宋gb2312" w:eastAsia="仿宋gb2312" w:cs="仿宋gb2312"/>
        <w:kern w:val="2"/>
        <w:sz w:val="18"/>
        <w:lang w:val="en-US" w:eastAsia="zh-CN" w:bidi="ar-SA"/>
      </w:rPr>
    </w:pPr>
    <w:r>
      <w:rPr>
        <w:rFonts w:ascii="Calibri" w:hAnsi="Calibri" w:eastAsia="仿宋" w:cs="Times New Roman"/>
        <w:kern w:val="2"/>
        <w:sz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jc w:val="left"/>
                            <w:rPr>
                              <w:rFonts w:hint="eastAsia" w:ascii="Calibri" w:hAnsi="Calibri" w:eastAsia="仿宋" w:cs="Times New Roman"/>
                              <w:kern w:val="2"/>
                              <w:sz w:val="18"/>
                              <w:lang w:val="en-US" w:eastAsia="zh-CN" w:bidi="ar-SA"/>
                            </w:rPr>
                          </w:pPr>
                          <w:r>
                            <w:rPr>
                              <w:rFonts w:hint="eastAsia" w:ascii="Calibri" w:hAnsi="Calibri" w:eastAsia="仿宋" w:cs="Times New Roman"/>
                              <w:kern w:val="2"/>
                              <w:sz w:val="18"/>
                              <w:lang w:val="en-US" w:eastAsia="zh-CN" w:bidi="ar-SA"/>
                            </w:rPr>
                            <w:fldChar w:fldCharType="begin"/>
                          </w:r>
                          <w:r>
                            <w:rPr>
                              <w:rFonts w:hint="eastAsia" w:ascii="Calibri" w:hAnsi="Calibri" w:eastAsia="仿宋" w:cs="Times New Roman"/>
                              <w:kern w:val="2"/>
                              <w:sz w:val="18"/>
                              <w:lang w:val="en-US" w:eastAsia="zh-CN" w:bidi="ar-SA"/>
                            </w:rPr>
                            <w:instrText xml:space="preserve"> PAGE  \* MERGEFORMAT </w:instrText>
                          </w:r>
                          <w:r>
                            <w:rPr>
                              <w:rFonts w:hint="eastAsia" w:ascii="Calibri" w:hAnsi="Calibri" w:eastAsia="仿宋" w:cs="Times New Roman"/>
                              <w:kern w:val="2"/>
                              <w:sz w:val="18"/>
                              <w:lang w:val="en-US" w:eastAsia="zh-CN" w:bidi="ar-SA"/>
                            </w:rPr>
                            <w:fldChar w:fldCharType="separate"/>
                          </w:r>
                          <w:r>
                            <w:rPr>
                              <w:rFonts w:ascii="Calibri" w:hAnsi="Calibri" w:eastAsia="仿宋" w:cs="Times New Roman"/>
                              <w:kern w:val="2"/>
                              <w:sz w:val="18"/>
                              <w:lang w:val="en-US" w:eastAsia="zh-CN" w:bidi="ar-SA"/>
                            </w:rPr>
                            <w:t>- 25 -</w:t>
                          </w:r>
                          <w:r>
                            <w:rPr>
                              <w:rFonts w:hint="eastAsia" w:ascii="Calibri" w:hAnsi="Calibri" w:eastAsia="仿宋"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DttR32vAEAAGcDAAAOAAAAAAAAAAEAIAAAACIBAABkcnMvZTJvRG9jLnhtbFBLBQYA&#10;AAAABgAGAFkBAABQBQAAAAA=&#10;">
              <v:fill on="f" focussize="0,0"/>
              <v:stroke on="f" weight="1.25pt"/>
              <v:imagedata o:title=""/>
              <o:lock v:ext="edit" aspectratio="f"/>
              <v:textbox inset="0mm,0mm,0mm,0mm" style="mso-fit-shape-to-text:t;">
                <w:txbxContent>
                  <w:p>
                    <w:pPr>
                      <w:snapToGrid w:val="0"/>
                      <w:jc w:val="left"/>
                      <w:rPr>
                        <w:rFonts w:hint="eastAsia" w:ascii="Calibri" w:hAnsi="Calibri" w:eastAsia="仿宋" w:cs="Times New Roman"/>
                        <w:kern w:val="2"/>
                        <w:sz w:val="18"/>
                        <w:lang w:val="en-US" w:eastAsia="zh-CN" w:bidi="ar-SA"/>
                      </w:rPr>
                    </w:pPr>
                    <w:r>
                      <w:rPr>
                        <w:rFonts w:hint="eastAsia" w:ascii="Calibri" w:hAnsi="Calibri" w:eastAsia="仿宋" w:cs="Times New Roman"/>
                        <w:kern w:val="2"/>
                        <w:sz w:val="18"/>
                        <w:lang w:val="en-US" w:eastAsia="zh-CN" w:bidi="ar-SA"/>
                      </w:rPr>
                      <w:fldChar w:fldCharType="begin"/>
                    </w:r>
                    <w:r>
                      <w:rPr>
                        <w:rFonts w:hint="eastAsia" w:ascii="Calibri" w:hAnsi="Calibri" w:eastAsia="仿宋" w:cs="Times New Roman"/>
                        <w:kern w:val="2"/>
                        <w:sz w:val="18"/>
                        <w:lang w:val="en-US" w:eastAsia="zh-CN" w:bidi="ar-SA"/>
                      </w:rPr>
                      <w:instrText xml:space="preserve"> PAGE  \* MERGEFORMAT </w:instrText>
                    </w:r>
                    <w:r>
                      <w:rPr>
                        <w:rFonts w:hint="eastAsia" w:ascii="Calibri" w:hAnsi="Calibri" w:eastAsia="仿宋" w:cs="Times New Roman"/>
                        <w:kern w:val="2"/>
                        <w:sz w:val="18"/>
                        <w:lang w:val="en-US" w:eastAsia="zh-CN" w:bidi="ar-SA"/>
                      </w:rPr>
                      <w:fldChar w:fldCharType="separate"/>
                    </w:r>
                    <w:r>
                      <w:rPr>
                        <w:rFonts w:ascii="Calibri" w:hAnsi="Calibri" w:eastAsia="仿宋" w:cs="Times New Roman"/>
                        <w:kern w:val="2"/>
                        <w:sz w:val="18"/>
                        <w:lang w:val="en-US" w:eastAsia="zh-CN" w:bidi="ar-SA"/>
                      </w:rPr>
                      <w:t>- 25 -</w:t>
                    </w:r>
                    <w:r>
                      <w:rPr>
                        <w:rFonts w:hint="eastAsia" w:ascii="Calibri" w:hAnsi="Calibri" w:eastAsia="仿宋" w:cs="Times New Roman"/>
                        <w:kern w:val="2"/>
                        <w:sz w:val="18"/>
                        <w:lang w:val="en-US" w:eastAsia="zh-CN" w:bidi="ar-SA"/>
                      </w:rPr>
                      <w:fldChar w:fldCharType="end"/>
                    </w:r>
                  </w:p>
                </w:txbxContent>
              </v:textbox>
            </v:shape>
          </w:pict>
        </mc:Fallback>
      </mc:AlternateContent>
    </w:r>
  </w:p>
  <w:p>
    <w:pPr>
      <w:snapToGrid w:val="0"/>
      <w:jc w:val="left"/>
      <w:rPr>
        <w:rFonts w:hint="eastAsia" w:ascii="仿宋gb2312" w:hAnsi="仿宋gb2312" w:eastAsia="仿宋gb2312" w:cs="仿宋gb2312"/>
        <w:kern w:val="2"/>
        <w:sz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eastAsia="仿宋" w:cs="Times New Roman"/>
        <w:kern w:val="2"/>
        <w:sz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仿宋gb2312" w:hAnsi="仿宋gb2312" w:eastAsia="仿宋gb2312" w:cs="仿宋gb2312"/>
        <w:kern w:val="2"/>
        <w:sz w:val="18"/>
        <w:lang w:val="en-US" w:eastAsia="zh-CN" w:bidi="ar-SA"/>
      </w:rPr>
    </w:pPr>
    <w:r>
      <w:rPr>
        <w:rFonts w:ascii="Calibri" w:hAnsi="Calibri" w:eastAsia="仿宋" w:cs="Times New Roman"/>
        <w:kern w:val="2"/>
        <w:sz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jc w:val="left"/>
                            <w:rPr>
                              <w:rFonts w:hint="eastAsia" w:ascii="Calibri" w:hAnsi="Calibri" w:eastAsia="仿宋" w:cs="Times New Roman"/>
                              <w:kern w:val="2"/>
                              <w:sz w:val="18"/>
                              <w:lang w:val="en-US" w:eastAsia="zh-CN" w:bidi="ar-SA"/>
                            </w:rPr>
                          </w:pPr>
                          <w:r>
                            <w:rPr>
                              <w:rFonts w:hint="eastAsia" w:ascii="Calibri" w:hAnsi="Calibri" w:eastAsia="仿宋" w:cs="Times New Roman"/>
                              <w:kern w:val="2"/>
                              <w:sz w:val="18"/>
                              <w:lang w:val="en-US" w:eastAsia="zh-CN" w:bidi="ar-SA"/>
                            </w:rPr>
                            <w:fldChar w:fldCharType="begin"/>
                          </w:r>
                          <w:r>
                            <w:rPr>
                              <w:rFonts w:hint="eastAsia" w:ascii="Calibri" w:hAnsi="Calibri" w:eastAsia="仿宋" w:cs="Times New Roman"/>
                              <w:kern w:val="2"/>
                              <w:sz w:val="18"/>
                              <w:lang w:val="en-US" w:eastAsia="zh-CN" w:bidi="ar-SA"/>
                            </w:rPr>
                            <w:instrText xml:space="preserve"> PAGE  \* MERGEFORMAT </w:instrText>
                          </w:r>
                          <w:r>
                            <w:rPr>
                              <w:rFonts w:hint="eastAsia" w:ascii="Calibri" w:hAnsi="Calibri" w:eastAsia="仿宋" w:cs="Times New Roman"/>
                              <w:kern w:val="2"/>
                              <w:sz w:val="18"/>
                              <w:lang w:val="en-US" w:eastAsia="zh-CN" w:bidi="ar-SA"/>
                            </w:rPr>
                            <w:fldChar w:fldCharType="separate"/>
                          </w:r>
                          <w:r>
                            <w:rPr>
                              <w:rFonts w:hint="eastAsia" w:ascii="Calibri" w:hAnsi="Calibri" w:eastAsia="仿宋" w:cs="Times New Roman"/>
                              <w:kern w:val="2"/>
                              <w:sz w:val="18"/>
                              <w:lang w:val="en-US" w:eastAsia="zh-CN" w:bidi="ar-SA"/>
                            </w:rPr>
                            <w:t>- 7 -</w:t>
                          </w:r>
                          <w:r>
                            <w:rPr>
                              <w:rFonts w:hint="eastAsia" w:ascii="Calibri" w:hAnsi="Calibri" w:eastAsia="仿宋"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D7c4JavAEAAGcDAAAOAAAAAAAAAAEAIAAAACIBAABkcnMvZTJvRG9jLnhtbFBLBQYA&#10;AAAABgAGAFkBAABQBQAAAAA=&#10;">
              <v:fill on="f" focussize="0,0"/>
              <v:stroke on="f" weight="1.25pt"/>
              <v:imagedata o:title=""/>
              <o:lock v:ext="edit" aspectratio="f"/>
              <v:textbox inset="0mm,0mm,0mm,0mm" style="mso-fit-shape-to-text:t;">
                <w:txbxContent>
                  <w:p>
                    <w:pPr>
                      <w:snapToGrid w:val="0"/>
                      <w:jc w:val="left"/>
                      <w:rPr>
                        <w:rFonts w:hint="eastAsia" w:ascii="Calibri" w:hAnsi="Calibri" w:eastAsia="仿宋" w:cs="Times New Roman"/>
                        <w:kern w:val="2"/>
                        <w:sz w:val="18"/>
                        <w:lang w:val="en-US" w:eastAsia="zh-CN" w:bidi="ar-SA"/>
                      </w:rPr>
                    </w:pPr>
                    <w:r>
                      <w:rPr>
                        <w:rFonts w:hint="eastAsia" w:ascii="Calibri" w:hAnsi="Calibri" w:eastAsia="仿宋" w:cs="Times New Roman"/>
                        <w:kern w:val="2"/>
                        <w:sz w:val="18"/>
                        <w:lang w:val="en-US" w:eastAsia="zh-CN" w:bidi="ar-SA"/>
                      </w:rPr>
                      <w:fldChar w:fldCharType="begin"/>
                    </w:r>
                    <w:r>
                      <w:rPr>
                        <w:rFonts w:hint="eastAsia" w:ascii="Calibri" w:hAnsi="Calibri" w:eastAsia="仿宋" w:cs="Times New Roman"/>
                        <w:kern w:val="2"/>
                        <w:sz w:val="18"/>
                        <w:lang w:val="en-US" w:eastAsia="zh-CN" w:bidi="ar-SA"/>
                      </w:rPr>
                      <w:instrText xml:space="preserve"> PAGE  \* MERGEFORMAT </w:instrText>
                    </w:r>
                    <w:r>
                      <w:rPr>
                        <w:rFonts w:hint="eastAsia" w:ascii="Calibri" w:hAnsi="Calibri" w:eastAsia="仿宋" w:cs="Times New Roman"/>
                        <w:kern w:val="2"/>
                        <w:sz w:val="18"/>
                        <w:lang w:val="en-US" w:eastAsia="zh-CN" w:bidi="ar-SA"/>
                      </w:rPr>
                      <w:fldChar w:fldCharType="separate"/>
                    </w:r>
                    <w:r>
                      <w:rPr>
                        <w:rFonts w:hint="eastAsia" w:ascii="Calibri" w:hAnsi="Calibri" w:eastAsia="仿宋" w:cs="Times New Roman"/>
                        <w:kern w:val="2"/>
                        <w:sz w:val="18"/>
                        <w:lang w:val="en-US" w:eastAsia="zh-CN" w:bidi="ar-SA"/>
                      </w:rPr>
                      <w:t>- 7 -</w:t>
                    </w:r>
                    <w:r>
                      <w:rPr>
                        <w:rFonts w:hint="eastAsia" w:ascii="Calibri" w:hAnsi="Calibri" w:eastAsia="仿宋" w:cs="Times New Roman"/>
                        <w:kern w:val="2"/>
                        <w:sz w:val="18"/>
                        <w:lang w:val="en-US" w:eastAsia="zh-CN" w:bidi="ar-SA"/>
                      </w:rPr>
                      <w:fldChar w:fldCharType="end"/>
                    </w:r>
                  </w:p>
                </w:txbxContent>
              </v:textbox>
            </v:shape>
          </w:pict>
        </mc:Fallback>
      </mc:AlternateContent>
    </w:r>
  </w:p>
  <w:p>
    <w:pPr>
      <w:snapToGrid w:val="0"/>
      <w:jc w:val="left"/>
      <w:rPr>
        <w:rFonts w:hint="eastAsia" w:ascii="仿宋gb2312" w:hAnsi="仿宋gb2312" w:eastAsia="仿宋gb2312" w:cs="仿宋gb2312"/>
        <w:kern w:val="2"/>
        <w:sz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eastAsia="仿宋" w:cs="Times New Roman"/>
        <w:kern w:val="2"/>
        <w:sz w:val="18"/>
        <w:lang w:val="en-US" w:eastAsia="zh-CN" w:bidi="ar-SA"/>
      </w:rPr>
    </w:pPr>
    <w:r>
      <w:rPr>
        <w:rFonts w:ascii="Calibri" w:hAnsi="Calibri" w:eastAsia="仿宋" w:cs="Times New Roman"/>
        <w:kern w:val="2"/>
        <w:sz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jc w:val="left"/>
                            <w:rPr>
                              <w:rFonts w:hint="eastAsia" w:ascii="Calibri" w:hAnsi="Calibri" w:eastAsia="仿宋" w:cs="Times New Roman"/>
                              <w:kern w:val="2"/>
                              <w:sz w:val="18"/>
                              <w:lang w:val="en-US" w:eastAsia="zh-CN" w:bidi="ar-SA"/>
                            </w:rPr>
                          </w:pPr>
                          <w:r>
                            <w:rPr>
                              <w:rFonts w:hint="eastAsia" w:ascii="Calibri" w:hAnsi="Calibri" w:eastAsia="仿宋" w:cs="Times New Roman"/>
                              <w:kern w:val="2"/>
                              <w:sz w:val="18"/>
                              <w:lang w:val="en-US" w:eastAsia="zh-CN" w:bidi="ar-SA"/>
                            </w:rPr>
                            <w:fldChar w:fldCharType="begin"/>
                          </w:r>
                          <w:r>
                            <w:rPr>
                              <w:rFonts w:hint="eastAsia" w:ascii="Calibri" w:hAnsi="Calibri" w:eastAsia="仿宋" w:cs="Times New Roman"/>
                              <w:kern w:val="2"/>
                              <w:sz w:val="18"/>
                              <w:lang w:val="en-US" w:eastAsia="zh-CN" w:bidi="ar-SA"/>
                            </w:rPr>
                            <w:instrText xml:space="preserve"> PAGE  \* MERGEFORMAT </w:instrText>
                          </w:r>
                          <w:r>
                            <w:rPr>
                              <w:rFonts w:hint="eastAsia" w:ascii="Calibri" w:hAnsi="Calibri" w:eastAsia="仿宋" w:cs="Times New Roman"/>
                              <w:kern w:val="2"/>
                              <w:sz w:val="18"/>
                              <w:lang w:val="en-US" w:eastAsia="zh-CN" w:bidi="ar-SA"/>
                            </w:rPr>
                            <w:fldChar w:fldCharType="separate"/>
                          </w:r>
                          <w:r>
                            <w:rPr>
                              <w:rFonts w:ascii="Calibri" w:hAnsi="Calibri" w:eastAsia="仿宋" w:cs="Times New Roman"/>
                              <w:kern w:val="2"/>
                              <w:sz w:val="18"/>
                              <w:lang w:val="en-US" w:eastAsia="zh-CN" w:bidi="ar-SA"/>
                            </w:rPr>
                            <w:t>- 30 -</w:t>
                          </w:r>
                          <w:r>
                            <w:rPr>
                              <w:rFonts w:hint="eastAsia" w:ascii="Calibri" w:hAnsi="Calibri" w:eastAsia="仿宋"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文本框 10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DxChzBvwEAAGcDAAAOAAAAAAAAAAEAIAAAACIBAABkcnMvZTJvRG9jLnhtbFBL&#10;BQYAAAAABgAGAFkBAABTBQAAAAA=&#10;">
              <v:fill on="f" focussize="0,0"/>
              <v:stroke on="f" weight="1.25pt"/>
              <v:imagedata o:title=""/>
              <o:lock v:ext="edit" aspectratio="f"/>
              <v:textbox inset="0mm,0mm,0mm,0mm" style="mso-fit-shape-to-text:t;">
                <w:txbxContent>
                  <w:p>
                    <w:pPr>
                      <w:snapToGrid w:val="0"/>
                      <w:jc w:val="left"/>
                      <w:rPr>
                        <w:rFonts w:hint="eastAsia" w:ascii="Calibri" w:hAnsi="Calibri" w:eastAsia="仿宋" w:cs="Times New Roman"/>
                        <w:kern w:val="2"/>
                        <w:sz w:val="18"/>
                        <w:lang w:val="en-US" w:eastAsia="zh-CN" w:bidi="ar-SA"/>
                      </w:rPr>
                    </w:pPr>
                    <w:r>
                      <w:rPr>
                        <w:rFonts w:hint="eastAsia" w:ascii="Calibri" w:hAnsi="Calibri" w:eastAsia="仿宋" w:cs="Times New Roman"/>
                        <w:kern w:val="2"/>
                        <w:sz w:val="18"/>
                        <w:lang w:val="en-US" w:eastAsia="zh-CN" w:bidi="ar-SA"/>
                      </w:rPr>
                      <w:fldChar w:fldCharType="begin"/>
                    </w:r>
                    <w:r>
                      <w:rPr>
                        <w:rFonts w:hint="eastAsia" w:ascii="Calibri" w:hAnsi="Calibri" w:eastAsia="仿宋" w:cs="Times New Roman"/>
                        <w:kern w:val="2"/>
                        <w:sz w:val="18"/>
                        <w:lang w:val="en-US" w:eastAsia="zh-CN" w:bidi="ar-SA"/>
                      </w:rPr>
                      <w:instrText xml:space="preserve"> PAGE  \* MERGEFORMAT </w:instrText>
                    </w:r>
                    <w:r>
                      <w:rPr>
                        <w:rFonts w:hint="eastAsia" w:ascii="Calibri" w:hAnsi="Calibri" w:eastAsia="仿宋" w:cs="Times New Roman"/>
                        <w:kern w:val="2"/>
                        <w:sz w:val="18"/>
                        <w:lang w:val="en-US" w:eastAsia="zh-CN" w:bidi="ar-SA"/>
                      </w:rPr>
                      <w:fldChar w:fldCharType="separate"/>
                    </w:r>
                    <w:r>
                      <w:rPr>
                        <w:rFonts w:ascii="Calibri" w:hAnsi="Calibri" w:eastAsia="仿宋" w:cs="Times New Roman"/>
                        <w:kern w:val="2"/>
                        <w:sz w:val="18"/>
                        <w:lang w:val="en-US" w:eastAsia="zh-CN" w:bidi="ar-SA"/>
                      </w:rPr>
                      <w:t>- 30 -</w:t>
                    </w:r>
                    <w:r>
                      <w:rPr>
                        <w:rFonts w:hint="eastAsia" w:ascii="Calibri" w:hAnsi="Calibri" w:eastAsia="仿宋" w:cs="Times New Roman"/>
                        <w:kern w:val="2"/>
                        <w:sz w:val="18"/>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仿宋gb2312" w:hAnsi="仿宋gb2312" w:eastAsia="仿宋gb2312" w:cs="仿宋gb2312"/>
        <w:kern w:val="2"/>
        <w:sz w:val="18"/>
        <w:lang w:val="en-US" w:eastAsia="zh-CN" w:bidi="ar-SA"/>
      </w:rPr>
    </w:pPr>
    <w:r>
      <w:rPr>
        <w:rFonts w:ascii="Calibri" w:hAnsi="Calibri" w:eastAsia="仿宋" w:cs="Times New Roman"/>
        <w:kern w:val="2"/>
        <w:sz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jc w:val="left"/>
                            <w:rPr>
                              <w:rFonts w:hint="eastAsia" w:ascii="Calibri" w:hAnsi="Calibri" w:eastAsia="仿宋" w:cs="Times New Roman"/>
                              <w:kern w:val="2"/>
                              <w:sz w:val="18"/>
                              <w:lang w:val="en-US" w:eastAsia="zh-CN" w:bidi="ar-SA"/>
                            </w:rPr>
                          </w:pPr>
                          <w:r>
                            <w:rPr>
                              <w:rFonts w:hint="eastAsia" w:ascii="Calibri" w:hAnsi="Calibri" w:eastAsia="仿宋" w:cs="Times New Roman"/>
                              <w:kern w:val="2"/>
                              <w:sz w:val="18"/>
                              <w:lang w:val="en-US" w:eastAsia="zh-CN" w:bidi="ar-SA"/>
                            </w:rPr>
                            <w:fldChar w:fldCharType="begin"/>
                          </w:r>
                          <w:r>
                            <w:rPr>
                              <w:rFonts w:hint="eastAsia" w:ascii="Calibri" w:hAnsi="Calibri" w:eastAsia="仿宋" w:cs="Times New Roman"/>
                              <w:kern w:val="2"/>
                              <w:sz w:val="18"/>
                              <w:lang w:val="en-US" w:eastAsia="zh-CN" w:bidi="ar-SA"/>
                            </w:rPr>
                            <w:instrText xml:space="preserve"> PAGE  \* MERGEFORMAT </w:instrText>
                          </w:r>
                          <w:r>
                            <w:rPr>
                              <w:rFonts w:hint="eastAsia" w:ascii="Calibri" w:hAnsi="Calibri" w:eastAsia="仿宋" w:cs="Times New Roman"/>
                              <w:kern w:val="2"/>
                              <w:sz w:val="18"/>
                              <w:lang w:val="en-US" w:eastAsia="zh-CN" w:bidi="ar-SA"/>
                            </w:rPr>
                            <w:fldChar w:fldCharType="separate"/>
                          </w:r>
                          <w:r>
                            <w:rPr>
                              <w:rFonts w:ascii="Calibri" w:hAnsi="Calibri" w:eastAsia="仿宋" w:cs="Times New Roman"/>
                              <w:kern w:val="2"/>
                              <w:sz w:val="18"/>
                              <w:lang w:val="en-US" w:eastAsia="zh-CN" w:bidi="ar-SA"/>
                            </w:rPr>
                            <w:t>- 208 -</w:t>
                          </w:r>
                          <w:r>
                            <w:rPr>
                              <w:rFonts w:hint="eastAsia" w:ascii="Calibri" w:hAnsi="Calibri" w:eastAsia="仿宋"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MXEmlG+AQAAZAMAAA4AAAAAAAAAAQAgAAAAIgEAAGRycy9lMm9Eb2MueG1sUEsF&#10;BgAAAAAGAAYAWQEAAFIFAAAAAA==&#10;">
              <v:fill on="f" focussize="0,0"/>
              <v:stroke on="f" weight="1.25pt"/>
              <v:imagedata o:title=""/>
              <o:lock v:ext="edit" aspectratio="f"/>
              <v:textbox inset="0mm,0mm,0mm,0mm" style="mso-fit-shape-to-text:t;">
                <w:txbxContent>
                  <w:p>
                    <w:pPr>
                      <w:snapToGrid w:val="0"/>
                      <w:jc w:val="left"/>
                      <w:rPr>
                        <w:rFonts w:hint="eastAsia" w:ascii="Calibri" w:hAnsi="Calibri" w:eastAsia="仿宋" w:cs="Times New Roman"/>
                        <w:kern w:val="2"/>
                        <w:sz w:val="18"/>
                        <w:lang w:val="en-US" w:eastAsia="zh-CN" w:bidi="ar-SA"/>
                      </w:rPr>
                    </w:pPr>
                    <w:r>
                      <w:rPr>
                        <w:rFonts w:hint="eastAsia" w:ascii="Calibri" w:hAnsi="Calibri" w:eastAsia="仿宋" w:cs="Times New Roman"/>
                        <w:kern w:val="2"/>
                        <w:sz w:val="18"/>
                        <w:lang w:val="en-US" w:eastAsia="zh-CN" w:bidi="ar-SA"/>
                      </w:rPr>
                      <w:fldChar w:fldCharType="begin"/>
                    </w:r>
                    <w:r>
                      <w:rPr>
                        <w:rFonts w:hint="eastAsia" w:ascii="Calibri" w:hAnsi="Calibri" w:eastAsia="仿宋" w:cs="Times New Roman"/>
                        <w:kern w:val="2"/>
                        <w:sz w:val="18"/>
                        <w:lang w:val="en-US" w:eastAsia="zh-CN" w:bidi="ar-SA"/>
                      </w:rPr>
                      <w:instrText xml:space="preserve"> PAGE  \* MERGEFORMAT </w:instrText>
                    </w:r>
                    <w:r>
                      <w:rPr>
                        <w:rFonts w:hint="eastAsia" w:ascii="Calibri" w:hAnsi="Calibri" w:eastAsia="仿宋" w:cs="Times New Roman"/>
                        <w:kern w:val="2"/>
                        <w:sz w:val="18"/>
                        <w:lang w:val="en-US" w:eastAsia="zh-CN" w:bidi="ar-SA"/>
                      </w:rPr>
                      <w:fldChar w:fldCharType="separate"/>
                    </w:r>
                    <w:r>
                      <w:rPr>
                        <w:rFonts w:ascii="Calibri" w:hAnsi="Calibri" w:eastAsia="仿宋" w:cs="Times New Roman"/>
                        <w:kern w:val="2"/>
                        <w:sz w:val="18"/>
                        <w:lang w:val="en-US" w:eastAsia="zh-CN" w:bidi="ar-SA"/>
                      </w:rPr>
                      <w:t>- 208 -</w:t>
                    </w:r>
                    <w:r>
                      <w:rPr>
                        <w:rFonts w:hint="eastAsia" w:ascii="Calibri" w:hAnsi="Calibri" w:eastAsia="仿宋" w:cs="Times New Roman"/>
                        <w:kern w:val="2"/>
                        <w:sz w:val="18"/>
                        <w:lang w:val="en-US" w:eastAsia="zh-CN" w:bidi="ar-SA"/>
                      </w:rPr>
                      <w:fldChar w:fldCharType="end"/>
                    </w:r>
                  </w:p>
                </w:txbxContent>
              </v:textbox>
            </v:shape>
          </w:pict>
        </mc:Fallback>
      </mc:AlternateContent>
    </w:r>
  </w:p>
  <w:p>
    <w:pPr>
      <w:snapToGrid w:val="0"/>
      <w:jc w:val="left"/>
      <w:rPr>
        <w:rFonts w:hint="eastAsia" w:ascii="仿宋gb2312" w:hAnsi="仿宋gb2312" w:eastAsia="仿宋gb2312" w:cs="仿宋gb2312"/>
        <w:kern w:val="2"/>
        <w:sz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right="360"/>
      <w:jc w:val="both"/>
      <w:rPr>
        <w:rFonts w:hint="eastAsia"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1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9671D"/>
    <w:multiLevelType w:val="multilevel"/>
    <w:tmpl w:val="8039671D"/>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1494341"/>
    <w:multiLevelType w:val="multilevel"/>
    <w:tmpl w:val="81494341"/>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81B8AF8B"/>
    <w:multiLevelType w:val="multilevel"/>
    <w:tmpl w:val="81B8AF8B"/>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8261C8D4"/>
    <w:multiLevelType w:val="multilevel"/>
    <w:tmpl w:val="8261C8D4"/>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82FE0534"/>
    <w:multiLevelType w:val="singleLevel"/>
    <w:tmpl w:val="82FE0534"/>
    <w:lvl w:ilvl="0" w:tentative="0">
      <w:start w:val="1"/>
      <w:numFmt w:val="decimal"/>
      <w:suff w:val="nothing"/>
      <w:lvlText w:val="（%1）"/>
      <w:lvlJc w:val="left"/>
    </w:lvl>
  </w:abstractNum>
  <w:abstractNum w:abstractNumId="5">
    <w:nsid w:val="840EBDFC"/>
    <w:multiLevelType w:val="singleLevel"/>
    <w:tmpl w:val="840EBDFC"/>
    <w:lvl w:ilvl="0" w:tentative="0">
      <w:start w:val="1"/>
      <w:numFmt w:val="decimal"/>
      <w:suff w:val="nothing"/>
      <w:lvlText w:val="（%1）"/>
      <w:lvlJc w:val="left"/>
    </w:lvl>
  </w:abstractNum>
  <w:abstractNum w:abstractNumId="6">
    <w:nsid w:val="85939F48"/>
    <w:multiLevelType w:val="multilevel"/>
    <w:tmpl w:val="85939F48"/>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859ACD5A"/>
    <w:multiLevelType w:val="multilevel"/>
    <w:tmpl w:val="859ACD5A"/>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86607C7C"/>
    <w:multiLevelType w:val="multilevel"/>
    <w:tmpl w:val="86607C7C"/>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88C10B53"/>
    <w:multiLevelType w:val="multilevel"/>
    <w:tmpl w:val="88C10B53"/>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8A5935A4"/>
    <w:multiLevelType w:val="multilevel"/>
    <w:tmpl w:val="8A5935A4"/>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8A7A4816"/>
    <w:multiLevelType w:val="multilevel"/>
    <w:tmpl w:val="8A7A4816"/>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8B7DC950"/>
    <w:multiLevelType w:val="singleLevel"/>
    <w:tmpl w:val="8B7DC950"/>
    <w:lvl w:ilvl="0" w:tentative="0">
      <w:start w:val="24"/>
      <w:numFmt w:val="decimal"/>
      <w:suff w:val="nothing"/>
      <w:lvlText w:val="（%1）"/>
      <w:lvlJc w:val="left"/>
    </w:lvl>
  </w:abstractNum>
  <w:abstractNum w:abstractNumId="13">
    <w:nsid w:val="8C583FC7"/>
    <w:multiLevelType w:val="multilevel"/>
    <w:tmpl w:val="8C583FC7"/>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8CA98046"/>
    <w:multiLevelType w:val="multilevel"/>
    <w:tmpl w:val="8CA98046"/>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8CBD7E1C"/>
    <w:multiLevelType w:val="singleLevel"/>
    <w:tmpl w:val="8CBD7E1C"/>
    <w:lvl w:ilvl="0" w:tentative="0">
      <w:start w:val="1"/>
      <w:numFmt w:val="decimal"/>
      <w:suff w:val="nothing"/>
      <w:lvlText w:val="（%1）"/>
      <w:lvlJc w:val="left"/>
    </w:lvl>
  </w:abstractNum>
  <w:abstractNum w:abstractNumId="16">
    <w:nsid w:val="8DD99131"/>
    <w:multiLevelType w:val="multilevel"/>
    <w:tmpl w:val="8DD99131"/>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8E166E63"/>
    <w:multiLevelType w:val="multilevel"/>
    <w:tmpl w:val="8E166E63"/>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8F21397C"/>
    <w:multiLevelType w:val="multilevel"/>
    <w:tmpl w:val="8F21397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8F727BF9"/>
    <w:multiLevelType w:val="multilevel"/>
    <w:tmpl w:val="8F727BF9"/>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907864CB"/>
    <w:multiLevelType w:val="singleLevel"/>
    <w:tmpl w:val="907864CB"/>
    <w:lvl w:ilvl="0" w:tentative="0">
      <w:start w:val="1"/>
      <w:numFmt w:val="decimal"/>
      <w:suff w:val="nothing"/>
      <w:lvlText w:val="（%1）"/>
      <w:lvlJc w:val="left"/>
    </w:lvl>
  </w:abstractNum>
  <w:abstractNum w:abstractNumId="21">
    <w:nsid w:val="909CA2C5"/>
    <w:multiLevelType w:val="multilevel"/>
    <w:tmpl w:val="909CA2C5"/>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93B3DADC"/>
    <w:multiLevelType w:val="multilevel"/>
    <w:tmpl w:val="93B3DAD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93CA8375"/>
    <w:multiLevelType w:val="multilevel"/>
    <w:tmpl w:val="93CA8375"/>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943CFCE3"/>
    <w:multiLevelType w:val="multilevel"/>
    <w:tmpl w:val="943CFCE3"/>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94B61026"/>
    <w:multiLevelType w:val="multilevel"/>
    <w:tmpl w:val="94B61026"/>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954DC4BA"/>
    <w:multiLevelType w:val="multilevel"/>
    <w:tmpl w:val="954DC4BA"/>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95D4FBC0"/>
    <w:multiLevelType w:val="multilevel"/>
    <w:tmpl w:val="95D4FBC0"/>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98C04E71"/>
    <w:multiLevelType w:val="multilevel"/>
    <w:tmpl w:val="98C04E71"/>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98DEA53A"/>
    <w:multiLevelType w:val="multilevel"/>
    <w:tmpl w:val="98DEA53A"/>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98F2A23F"/>
    <w:multiLevelType w:val="multilevel"/>
    <w:tmpl w:val="98F2A23F"/>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9BE08BF7"/>
    <w:multiLevelType w:val="multilevel"/>
    <w:tmpl w:val="9BE08BF7"/>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9CE4EBA2"/>
    <w:multiLevelType w:val="multilevel"/>
    <w:tmpl w:val="9CE4EBA2"/>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9D53E514"/>
    <w:multiLevelType w:val="multilevel"/>
    <w:tmpl w:val="9D53E514"/>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9D63A8D9"/>
    <w:multiLevelType w:val="multilevel"/>
    <w:tmpl w:val="9D63A8D9"/>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9EFCD2AA"/>
    <w:multiLevelType w:val="singleLevel"/>
    <w:tmpl w:val="9EFCD2AA"/>
    <w:lvl w:ilvl="0" w:tentative="0">
      <w:start w:val="1"/>
      <w:numFmt w:val="decimal"/>
      <w:suff w:val="nothing"/>
      <w:lvlText w:val="（%1）"/>
      <w:lvlJc w:val="left"/>
    </w:lvl>
  </w:abstractNum>
  <w:abstractNum w:abstractNumId="36">
    <w:nsid w:val="9F161A03"/>
    <w:multiLevelType w:val="singleLevel"/>
    <w:tmpl w:val="9F161A03"/>
    <w:lvl w:ilvl="0" w:tentative="0">
      <w:start w:val="1"/>
      <w:numFmt w:val="decimal"/>
      <w:suff w:val="nothing"/>
      <w:lvlText w:val="（%1）"/>
      <w:lvlJc w:val="left"/>
    </w:lvl>
  </w:abstractNum>
  <w:abstractNum w:abstractNumId="37">
    <w:nsid w:val="9FBBA9EB"/>
    <w:multiLevelType w:val="multilevel"/>
    <w:tmpl w:val="9FBBA9EB"/>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A028814C"/>
    <w:multiLevelType w:val="singleLevel"/>
    <w:tmpl w:val="A028814C"/>
    <w:lvl w:ilvl="0" w:tentative="0">
      <w:start w:val="1"/>
      <w:numFmt w:val="decimal"/>
      <w:suff w:val="nothing"/>
      <w:lvlText w:val="（%1）"/>
      <w:lvlJc w:val="left"/>
    </w:lvl>
  </w:abstractNum>
  <w:abstractNum w:abstractNumId="39">
    <w:nsid w:val="A128082C"/>
    <w:multiLevelType w:val="singleLevel"/>
    <w:tmpl w:val="A128082C"/>
    <w:lvl w:ilvl="0" w:tentative="0">
      <w:start w:val="1"/>
      <w:numFmt w:val="decimal"/>
      <w:suff w:val="nothing"/>
      <w:lvlText w:val="（%1）"/>
      <w:lvlJc w:val="left"/>
    </w:lvl>
  </w:abstractNum>
  <w:abstractNum w:abstractNumId="40">
    <w:nsid w:val="A13CA3F3"/>
    <w:multiLevelType w:val="multilevel"/>
    <w:tmpl w:val="A13CA3F3"/>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A2B5EBBC"/>
    <w:multiLevelType w:val="multilevel"/>
    <w:tmpl w:val="A2B5EBBC"/>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A34915E9"/>
    <w:multiLevelType w:val="multilevel"/>
    <w:tmpl w:val="A34915E9"/>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A4E0FDEC"/>
    <w:multiLevelType w:val="multilevel"/>
    <w:tmpl w:val="A4E0FDE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A5834851"/>
    <w:multiLevelType w:val="multilevel"/>
    <w:tmpl w:val="A5834851"/>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A5F44D78"/>
    <w:multiLevelType w:val="singleLevel"/>
    <w:tmpl w:val="A5F44D78"/>
    <w:lvl w:ilvl="0" w:tentative="0">
      <w:start w:val="1"/>
      <w:numFmt w:val="bullet"/>
      <w:lvlText w:val=""/>
      <w:lvlJc w:val="left"/>
      <w:pPr>
        <w:ind w:left="420" w:hanging="420"/>
      </w:pPr>
      <w:rPr>
        <w:rFonts w:hint="default" w:ascii="Wingdings" w:hAnsi="Wingdings"/>
      </w:rPr>
    </w:lvl>
  </w:abstractNum>
  <w:abstractNum w:abstractNumId="46">
    <w:nsid w:val="A755EE38"/>
    <w:multiLevelType w:val="multilevel"/>
    <w:tmpl w:val="A755EE38"/>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A82986D1"/>
    <w:multiLevelType w:val="multilevel"/>
    <w:tmpl w:val="A82986D1"/>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A8D685E1"/>
    <w:multiLevelType w:val="singleLevel"/>
    <w:tmpl w:val="A8D685E1"/>
    <w:lvl w:ilvl="0" w:tentative="0">
      <w:start w:val="1"/>
      <w:numFmt w:val="decimal"/>
      <w:suff w:val="nothing"/>
      <w:lvlText w:val="（%1）"/>
      <w:lvlJc w:val="left"/>
    </w:lvl>
  </w:abstractNum>
  <w:abstractNum w:abstractNumId="49">
    <w:nsid w:val="A8DFD156"/>
    <w:multiLevelType w:val="multilevel"/>
    <w:tmpl w:val="A8DFD156"/>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AC723201"/>
    <w:multiLevelType w:val="multilevel"/>
    <w:tmpl w:val="AC723201"/>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AD031AB2"/>
    <w:multiLevelType w:val="multilevel"/>
    <w:tmpl w:val="AD031AB2"/>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AD7FD703"/>
    <w:multiLevelType w:val="multilevel"/>
    <w:tmpl w:val="AD7FD703"/>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AD9FCBD0"/>
    <w:multiLevelType w:val="multilevel"/>
    <w:tmpl w:val="AD9FCBD0"/>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ADEFB5BB"/>
    <w:multiLevelType w:val="singleLevel"/>
    <w:tmpl w:val="ADEFB5BB"/>
    <w:lvl w:ilvl="0" w:tentative="0">
      <w:start w:val="1"/>
      <w:numFmt w:val="decimal"/>
      <w:suff w:val="nothing"/>
      <w:lvlText w:val="（%1）"/>
      <w:lvlJc w:val="left"/>
    </w:lvl>
  </w:abstractNum>
  <w:abstractNum w:abstractNumId="55">
    <w:nsid w:val="AE1F9578"/>
    <w:multiLevelType w:val="singleLevel"/>
    <w:tmpl w:val="AE1F9578"/>
    <w:lvl w:ilvl="0" w:tentative="0">
      <w:start w:val="1"/>
      <w:numFmt w:val="decimal"/>
      <w:suff w:val="nothing"/>
      <w:lvlText w:val="（%1）"/>
      <w:lvlJc w:val="left"/>
    </w:lvl>
  </w:abstractNum>
  <w:abstractNum w:abstractNumId="56">
    <w:nsid w:val="AE49D028"/>
    <w:multiLevelType w:val="multilevel"/>
    <w:tmpl w:val="AE49D028"/>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B078F829"/>
    <w:multiLevelType w:val="multilevel"/>
    <w:tmpl w:val="B078F829"/>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B44C896B"/>
    <w:multiLevelType w:val="multilevel"/>
    <w:tmpl w:val="B44C896B"/>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B49AE104"/>
    <w:multiLevelType w:val="multilevel"/>
    <w:tmpl w:val="B49AE104"/>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B69E1CB4"/>
    <w:multiLevelType w:val="multilevel"/>
    <w:tmpl w:val="B69E1CB4"/>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B822BC97"/>
    <w:multiLevelType w:val="multilevel"/>
    <w:tmpl w:val="B822BC97"/>
    <w:lvl w:ilvl="0" w:tentative="0">
      <w:start w:val="1"/>
      <w:numFmt w:val="chineseCountingThousand"/>
      <w:suff w:val="space"/>
      <w:lvlText w:val="第%1章."/>
      <w:lvlJc w:val="left"/>
      <w:pPr>
        <w:ind w:left="0" w:firstLine="0"/>
      </w:pPr>
      <w:rPr>
        <w:rFonts w:hint="eastAsia" w:eastAsia="仿宋_GB2312"/>
        <w:b w:val="0"/>
        <w:i w:val="0"/>
        <w:sz w:val="30"/>
      </w:rPr>
    </w:lvl>
    <w:lvl w:ilvl="1" w:tentative="0">
      <w:start w:val="1"/>
      <w:numFmt w:val="chineseCountingThousand"/>
      <w:suff w:val="space"/>
      <w:lvlText w:val="%2."/>
      <w:lvlJc w:val="left"/>
      <w:pPr>
        <w:ind w:left="0" w:firstLine="0"/>
      </w:pPr>
      <w:rPr>
        <w:rFonts w:hint="eastAsia" w:eastAsia="仿宋_GB2312"/>
        <w:b w:val="0"/>
        <w:i w:val="0"/>
        <w:sz w:val="28"/>
      </w:rPr>
    </w:lvl>
    <w:lvl w:ilvl="2" w:tentative="0">
      <w:start w:val="1"/>
      <w:numFmt w:val="decimal"/>
      <w:suff w:val="space"/>
      <w:lvlText w:val="%3."/>
      <w:lvlJc w:val="left"/>
      <w:pPr>
        <w:ind w:left="0" w:firstLine="0"/>
      </w:pPr>
      <w:rPr>
        <w:rFonts w:hint="eastAsia" w:eastAsia="仿宋_GB2312"/>
        <w:b w:val="0"/>
        <w:i w:val="0"/>
        <w:sz w:val="28"/>
      </w:rPr>
    </w:lvl>
    <w:lvl w:ilvl="3" w:tentative="0">
      <w:start w:val="1"/>
      <w:numFmt w:val="decimal"/>
      <w:suff w:val="space"/>
      <w:lvlText w:val="%3.%4."/>
      <w:lvlJc w:val="left"/>
      <w:pPr>
        <w:ind w:left="0" w:firstLine="0"/>
      </w:pPr>
      <w:rPr>
        <w:rFonts w:hint="eastAsia" w:eastAsia="仿宋_GB2312" w:cs="仿宋_GB2312"/>
        <w:b w:val="0"/>
        <w:i w:val="0"/>
        <w:sz w:val="28"/>
      </w:rPr>
    </w:lvl>
    <w:lvl w:ilvl="4" w:tentative="0">
      <w:start w:val="1"/>
      <w:numFmt w:val="decimal"/>
      <w:suff w:val="space"/>
      <w:lvlText w:val="%3.%4.%5."/>
      <w:lvlJc w:val="left"/>
      <w:pPr>
        <w:ind w:left="0" w:firstLine="0"/>
      </w:pPr>
      <w:rPr>
        <w:rFonts w:hint="eastAsia" w:eastAsia="仿宋_GB2312"/>
        <w:b w:val="0"/>
        <w:i w:val="0"/>
        <w:sz w:val="28"/>
      </w:rPr>
    </w:lvl>
    <w:lvl w:ilvl="5" w:tentative="0">
      <w:start w:val="1"/>
      <w:numFmt w:val="decimal"/>
      <w:suff w:val="space"/>
      <w:lvlText w:val="%3.%4.%5.%6."/>
      <w:lvlJc w:val="left"/>
      <w:pPr>
        <w:ind w:left="0" w:firstLine="0"/>
      </w:pPr>
      <w:rPr>
        <w:rFonts w:hint="eastAsia" w:eastAsia="仿宋_GB2312"/>
        <w:b w:val="0"/>
        <w:i w:val="0"/>
        <w:sz w:val="28"/>
      </w:rPr>
    </w:lvl>
    <w:lvl w:ilvl="6" w:tentative="0">
      <w:start w:val="1"/>
      <w:numFmt w:val="decimal"/>
      <w:suff w:val="space"/>
      <w:lvlText w:val="%3.%4.%5.%6.%7."/>
      <w:lvlJc w:val="left"/>
      <w:pPr>
        <w:ind w:left="0" w:firstLine="0"/>
      </w:pPr>
      <w:rPr>
        <w:rFonts w:hint="eastAsia" w:eastAsia="仿宋_GB2312"/>
        <w:b w:val="0"/>
        <w:i w:val="0"/>
        <w:sz w:val="28"/>
      </w:rPr>
    </w:lvl>
    <w:lvl w:ilvl="7" w:tentative="0">
      <w:start w:val="1"/>
      <w:numFmt w:val="decimal"/>
      <w:suff w:val="space"/>
      <w:lvlText w:val="(%8)."/>
      <w:lvlJc w:val="left"/>
      <w:pPr>
        <w:ind w:left="0" w:firstLine="0"/>
      </w:pPr>
      <w:rPr>
        <w:rFonts w:hint="eastAsia" w:eastAsia="仿宋_GB2312"/>
        <w:b w:val="0"/>
        <w:i w:val="0"/>
        <w:sz w:val="21"/>
        <w:szCs w:val="21"/>
      </w:rPr>
    </w:lvl>
    <w:lvl w:ilvl="8" w:tentative="0">
      <w:start w:val="1"/>
      <w:numFmt w:val="bullet"/>
      <w:suff w:val="space"/>
      <w:lvlText w:val=""/>
      <w:lvlJc w:val="left"/>
      <w:pPr>
        <w:ind w:left="0" w:firstLine="0"/>
      </w:pPr>
      <w:rPr>
        <w:rFonts w:hint="default" w:ascii="Symbol" w:hAnsi="Symbol"/>
        <w:color w:val="auto"/>
        <w:lang w:val="en-US"/>
      </w:rPr>
    </w:lvl>
  </w:abstractNum>
  <w:abstractNum w:abstractNumId="62">
    <w:nsid w:val="B9A9BB3C"/>
    <w:multiLevelType w:val="multilevel"/>
    <w:tmpl w:val="B9A9BB3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BA8931E5"/>
    <w:multiLevelType w:val="multilevel"/>
    <w:tmpl w:val="BA8931E5"/>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BC5C87F0"/>
    <w:multiLevelType w:val="multilevel"/>
    <w:tmpl w:val="BC5C87F0"/>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BC85CABE"/>
    <w:multiLevelType w:val="multilevel"/>
    <w:tmpl w:val="BC85CABE"/>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BFBAE413"/>
    <w:multiLevelType w:val="multilevel"/>
    <w:tmpl w:val="BFBAE413"/>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C09DA720"/>
    <w:multiLevelType w:val="multilevel"/>
    <w:tmpl w:val="C09DA720"/>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C24464AC"/>
    <w:multiLevelType w:val="singleLevel"/>
    <w:tmpl w:val="C24464AC"/>
    <w:lvl w:ilvl="0" w:tentative="0">
      <w:start w:val="1"/>
      <w:numFmt w:val="decimal"/>
      <w:suff w:val="nothing"/>
      <w:lvlText w:val="（%1）"/>
      <w:lvlJc w:val="left"/>
    </w:lvl>
  </w:abstractNum>
  <w:abstractNum w:abstractNumId="69">
    <w:nsid w:val="C410542D"/>
    <w:multiLevelType w:val="multilevel"/>
    <w:tmpl w:val="C410542D"/>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C45D0338"/>
    <w:multiLevelType w:val="multilevel"/>
    <w:tmpl w:val="C45D0338"/>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C56D5337"/>
    <w:multiLevelType w:val="multilevel"/>
    <w:tmpl w:val="C56D5337"/>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C6505A6B"/>
    <w:multiLevelType w:val="multilevel"/>
    <w:tmpl w:val="C6505A6B"/>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C78B3FC7"/>
    <w:multiLevelType w:val="multilevel"/>
    <w:tmpl w:val="C78B3FC7"/>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C7E58BF0"/>
    <w:multiLevelType w:val="multilevel"/>
    <w:tmpl w:val="C7E58BF0"/>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C7F9562D"/>
    <w:multiLevelType w:val="multilevel"/>
    <w:tmpl w:val="C7F9562D"/>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C8A503EC"/>
    <w:multiLevelType w:val="multilevel"/>
    <w:tmpl w:val="C8A503E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C907E65E"/>
    <w:multiLevelType w:val="singleLevel"/>
    <w:tmpl w:val="C907E65E"/>
    <w:lvl w:ilvl="0" w:tentative="0">
      <w:start w:val="1"/>
      <w:numFmt w:val="decimal"/>
      <w:suff w:val="nothing"/>
      <w:lvlText w:val="（%1）"/>
      <w:lvlJc w:val="left"/>
    </w:lvl>
  </w:abstractNum>
  <w:abstractNum w:abstractNumId="78">
    <w:nsid w:val="C97523E2"/>
    <w:multiLevelType w:val="multilevel"/>
    <w:tmpl w:val="C97523E2"/>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C9889954"/>
    <w:multiLevelType w:val="singleLevel"/>
    <w:tmpl w:val="C9889954"/>
    <w:lvl w:ilvl="0" w:tentative="0">
      <w:start w:val="1"/>
      <w:numFmt w:val="decimal"/>
      <w:suff w:val="nothing"/>
      <w:lvlText w:val="（%1）"/>
      <w:lvlJc w:val="left"/>
    </w:lvl>
  </w:abstractNum>
  <w:abstractNum w:abstractNumId="80">
    <w:nsid w:val="CBD737E5"/>
    <w:multiLevelType w:val="multilevel"/>
    <w:tmpl w:val="CBD737E5"/>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CD48B71B"/>
    <w:multiLevelType w:val="multilevel"/>
    <w:tmpl w:val="CD48B71B"/>
    <w:lvl w:ilvl="0" w:tentative="0">
      <w:start w:val="1"/>
      <w:numFmt w:val="chineseCountingThousand"/>
      <w:suff w:val="space"/>
      <w:lvlText w:val="第%1章."/>
      <w:lvlJc w:val="left"/>
      <w:pPr>
        <w:ind w:left="0" w:firstLine="0"/>
      </w:pPr>
      <w:rPr>
        <w:rFonts w:hint="eastAsia" w:eastAsia="仿宋_GB2312"/>
        <w:b w:val="0"/>
        <w:i w:val="0"/>
        <w:sz w:val="30"/>
      </w:rPr>
    </w:lvl>
    <w:lvl w:ilvl="1" w:tentative="0">
      <w:start w:val="1"/>
      <w:numFmt w:val="chineseCountingThousand"/>
      <w:suff w:val="space"/>
      <w:lvlText w:val="%2."/>
      <w:lvlJc w:val="left"/>
      <w:pPr>
        <w:ind w:left="0" w:firstLine="0"/>
      </w:pPr>
      <w:rPr>
        <w:rFonts w:hint="eastAsia" w:eastAsia="仿宋_GB2312"/>
        <w:b w:val="0"/>
        <w:i w:val="0"/>
        <w:sz w:val="28"/>
      </w:rPr>
    </w:lvl>
    <w:lvl w:ilvl="2" w:tentative="0">
      <w:start w:val="1"/>
      <w:numFmt w:val="decimal"/>
      <w:suff w:val="space"/>
      <w:lvlText w:val="%3."/>
      <w:lvlJc w:val="left"/>
      <w:pPr>
        <w:ind w:left="0" w:firstLine="0"/>
      </w:pPr>
      <w:rPr>
        <w:rFonts w:hint="eastAsia" w:eastAsia="仿宋_GB2312"/>
        <w:b w:val="0"/>
        <w:i w:val="0"/>
        <w:sz w:val="28"/>
      </w:rPr>
    </w:lvl>
    <w:lvl w:ilvl="3" w:tentative="0">
      <w:start w:val="1"/>
      <w:numFmt w:val="decimal"/>
      <w:suff w:val="space"/>
      <w:lvlText w:val="%3.%4."/>
      <w:lvlJc w:val="left"/>
      <w:pPr>
        <w:ind w:left="0" w:firstLine="0"/>
      </w:pPr>
      <w:rPr>
        <w:rFonts w:hint="eastAsia" w:eastAsia="仿宋_GB2312" w:cs="仿宋_GB2312"/>
        <w:b w:val="0"/>
        <w:i w:val="0"/>
        <w:sz w:val="28"/>
      </w:rPr>
    </w:lvl>
    <w:lvl w:ilvl="4" w:tentative="0">
      <w:start w:val="1"/>
      <w:numFmt w:val="decimal"/>
      <w:suff w:val="space"/>
      <w:lvlText w:val="%3.%4.%5."/>
      <w:lvlJc w:val="left"/>
      <w:pPr>
        <w:ind w:left="0" w:firstLine="0"/>
      </w:pPr>
      <w:rPr>
        <w:rFonts w:hint="eastAsia" w:eastAsia="仿宋_GB2312"/>
        <w:b w:val="0"/>
        <w:i w:val="0"/>
        <w:sz w:val="28"/>
      </w:rPr>
    </w:lvl>
    <w:lvl w:ilvl="5" w:tentative="0">
      <w:start w:val="1"/>
      <w:numFmt w:val="decimal"/>
      <w:suff w:val="space"/>
      <w:lvlText w:val="%3.%4.%5.%6."/>
      <w:lvlJc w:val="left"/>
      <w:pPr>
        <w:ind w:left="0" w:firstLine="0"/>
      </w:pPr>
      <w:rPr>
        <w:rFonts w:hint="eastAsia" w:eastAsia="仿宋_GB2312"/>
        <w:b w:val="0"/>
        <w:i w:val="0"/>
        <w:sz w:val="28"/>
      </w:rPr>
    </w:lvl>
    <w:lvl w:ilvl="6" w:tentative="0">
      <w:start w:val="1"/>
      <w:numFmt w:val="decimal"/>
      <w:suff w:val="space"/>
      <w:lvlText w:val="%3.%4.%5.%6.%7."/>
      <w:lvlJc w:val="left"/>
      <w:pPr>
        <w:ind w:left="0" w:firstLine="0"/>
      </w:pPr>
      <w:rPr>
        <w:rFonts w:hint="eastAsia" w:eastAsia="仿宋_GB2312"/>
        <w:b w:val="0"/>
        <w:i w:val="0"/>
        <w:sz w:val="28"/>
      </w:rPr>
    </w:lvl>
    <w:lvl w:ilvl="7" w:tentative="0">
      <w:start w:val="1"/>
      <w:numFmt w:val="decimal"/>
      <w:suff w:val="space"/>
      <w:lvlText w:val="(%8)."/>
      <w:lvlJc w:val="left"/>
      <w:pPr>
        <w:ind w:left="0" w:firstLine="0"/>
      </w:pPr>
      <w:rPr>
        <w:rFonts w:hint="eastAsia" w:eastAsia="仿宋_GB2312"/>
        <w:b w:val="0"/>
        <w:i w:val="0"/>
        <w:sz w:val="28"/>
      </w:rPr>
    </w:lvl>
    <w:lvl w:ilvl="8" w:tentative="0">
      <w:start w:val="1"/>
      <w:numFmt w:val="bullet"/>
      <w:suff w:val="space"/>
      <w:lvlText w:val=""/>
      <w:lvlJc w:val="left"/>
      <w:pPr>
        <w:ind w:left="0" w:firstLine="0"/>
      </w:pPr>
      <w:rPr>
        <w:rFonts w:hint="default" w:ascii="Symbol" w:hAnsi="Symbol"/>
        <w:color w:val="auto"/>
        <w:lang w:val="en-US"/>
      </w:rPr>
    </w:lvl>
  </w:abstractNum>
  <w:abstractNum w:abstractNumId="82">
    <w:nsid w:val="CF900761"/>
    <w:multiLevelType w:val="multilevel"/>
    <w:tmpl w:val="CF900761"/>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D1434D13"/>
    <w:multiLevelType w:val="multilevel"/>
    <w:tmpl w:val="D1434D13"/>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D38C67B3"/>
    <w:multiLevelType w:val="multilevel"/>
    <w:tmpl w:val="D38C67B3"/>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D423A814"/>
    <w:multiLevelType w:val="multilevel"/>
    <w:tmpl w:val="D423A814"/>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D4DD3EAC"/>
    <w:multiLevelType w:val="multilevel"/>
    <w:tmpl w:val="D4DD3EA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D65F6C06"/>
    <w:multiLevelType w:val="singleLevel"/>
    <w:tmpl w:val="D65F6C06"/>
    <w:lvl w:ilvl="0" w:tentative="0">
      <w:start w:val="1"/>
      <w:numFmt w:val="decimal"/>
      <w:suff w:val="nothing"/>
      <w:lvlText w:val="（%1）"/>
      <w:lvlJc w:val="left"/>
    </w:lvl>
  </w:abstractNum>
  <w:abstractNum w:abstractNumId="88">
    <w:nsid w:val="D6D29668"/>
    <w:multiLevelType w:val="multilevel"/>
    <w:tmpl w:val="D6D29668"/>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D72CE78D"/>
    <w:multiLevelType w:val="multilevel"/>
    <w:tmpl w:val="D72CE78D"/>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D72E5011"/>
    <w:multiLevelType w:val="multilevel"/>
    <w:tmpl w:val="D72E5011"/>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D7487007"/>
    <w:multiLevelType w:val="multilevel"/>
    <w:tmpl w:val="D7487007"/>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D96B7501"/>
    <w:multiLevelType w:val="multilevel"/>
    <w:tmpl w:val="D96B7501"/>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DCCC8974"/>
    <w:multiLevelType w:val="multilevel"/>
    <w:tmpl w:val="DCCC8974"/>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DD761733"/>
    <w:multiLevelType w:val="singleLevel"/>
    <w:tmpl w:val="DD761733"/>
    <w:lvl w:ilvl="0" w:tentative="0">
      <w:start w:val="1"/>
      <w:numFmt w:val="decimal"/>
      <w:suff w:val="nothing"/>
      <w:lvlText w:val="（%1）"/>
      <w:lvlJc w:val="left"/>
    </w:lvl>
  </w:abstractNum>
  <w:abstractNum w:abstractNumId="95">
    <w:nsid w:val="DF7E72AC"/>
    <w:multiLevelType w:val="multilevel"/>
    <w:tmpl w:val="DF7E72A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DF99267B"/>
    <w:multiLevelType w:val="multilevel"/>
    <w:tmpl w:val="DF99267B"/>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DF9F9586"/>
    <w:multiLevelType w:val="multilevel"/>
    <w:tmpl w:val="DF9F9586"/>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DFC58772"/>
    <w:multiLevelType w:val="multilevel"/>
    <w:tmpl w:val="DFC58772"/>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E276A8C8"/>
    <w:multiLevelType w:val="multilevel"/>
    <w:tmpl w:val="E276A8C8"/>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E539E445"/>
    <w:multiLevelType w:val="multilevel"/>
    <w:tmpl w:val="E539E445"/>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E5582E4B"/>
    <w:multiLevelType w:val="multilevel"/>
    <w:tmpl w:val="E5582E4B"/>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E5FB26B2"/>
    <w:multiLevelType w:val="multilevel"/>
    <w:tmpl w:val="E5FB26B2"/>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E64D29E1"/>
    <w:multiLevelType w:val="singleLevel"/>
    <w:tmpl w:val="E64D29E1"/>
    <w:lvl w:ilvl="0" w:tentative="0">
      <w:start w:val="1"/>
      <w:numFmt w:val="decimal"/>
      <w:suff w:val="nothing"/>
      <w:lvlText w:val="（%1）"/>
      <w:lvlJc w:val="left"/>
    </w:lvl>
  </w:abstractNum>
  <w:abstractNum w:abstractNumId="104">
    <w:nsid w:val="E74C5D02"/>
    <w:multiLevelType w:val="multilevel"/>
    <w:tmpl w:val="E74C5D02"/>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E814C29A"/>
    <w:multiLevelType w:val="multilevel"/>
    <w:tmpl w:val="E814C29A"/>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E8DD1E2F"/>
    <w:multiLevelType w:val="multilevel"/>
    <w:tmpl w:val="E8DD1E2F"/>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E95CA6B3"/>
    <w:multiLevelType w:val="multilevel"/>
    <w:tmpl w:val="E95CA6B3"/>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EA68A658"/>
    <w:multiLevelType w:val="multilevel"/>
    <w:tmpl w:val="EA68A658"/>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EC7A6021"/>
    <w:multiLevelType w:val="singleLevel"/>
    <w:tmpl w:val="EC7A6021"/>
    <w:lvl w:ilvl="0" w:tentative="0">
      <w:start w:val="1"/>
      <w:numFmt w:val="decimal"/>
      <w:suff w:val="nothing"/>
      <w:lvlText w:val="（%1）"/>
      <w:lvlJc w:val="left"/>
    </w:lvl>
  </w:abstractNum>
  <w:abstractNum w:abstractNumId="110">
    <w:nsid w:val="ECA73272"/>
    <w:multiLevelType w:val="multilevel"/>
    <w:tmpl w:val="ECA73272"/>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EEC3575D"/>
    <w:multiLevelType w:val="multilevel"/>
    <w:tmpl w:val="EEC3575D"/>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EF23A69E"/>
    <w:multiLevelType w:val="multilevel"/>
    <w:tmpl w:val="EF23A69E"/>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EFDDFEA8"/>
    <w:multiLevelType w:val="singleLevel"/>
    <w:tmpl w:val="EFDDFEA8"/>
    <w:lvl w:ilvl="0" w:tentative="0">
      <w:start w:val="1"/>
      <w:numFmt w:val="decimal"/>
      <w:suff w:val="nothing"/>
      <w:lvlText w:val="（%1）"/>
      <w:lvlJc w:val="left"/>
    </w:lvl>
  </w:abstractNum>
  <w:abstractNum w:abstractNumId="114">
    <w:nsid w:val="F5207216"/>
    <w:multiLevelType w:val="multilevel"/>
    <w:tmpl w:val="F5207216"/>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F60C495E"/>
    <w:multiLevelType w:val="multilevel"/>
    <w:tmpl w:val="F60C495E"/>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F7539F09"/>
    <w:multiLevelType w:val="multilevel"/>
    <w:tmpl w:val="F7539F09"/>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F83BCAD7"/>
    <w:multiLevelType w:val="multilevel"/>
    <w:tmpl w:val="F83BCAD7"/>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F86FC826"/>
    <w:multiLevelType w:val="singleLevel"/>
    <w:tmpl w:val="F86FC826"/>
    <w:lvl w:ilvl="0" w:tentative="0">
      <w:start w:val="1"/>
      <w:numFmt w:val="decimal"/>
      <w:suff w:val="nothing"/>
      <w:lvlText w:val="（%1）"/>
      <w:lvlJc w:val="left"/>
    </w:lvl>
  </w:abstractNum>
  <w:abstractNum w:abstractNumId="119">
    <w:nsid w:val="FA7F14B8"/>
    <w:multiLevelType w:val="multilevel"/>
    <w:tmpl w:val="FA7F14B8"/>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FC000238"/>
    <w:multiLevelType w:val="multilevel"/>
    <w:tmpl w:val="FC000238"/>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FD5A3207"/>
    <w:multiLevelType w:val="multilevel"/>
    <w:tmpl w:val="FD5A3207"/>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2">
    <w:nsid w:val="FF1A503F"/>
    <w:multiLevelType w:val="singleLevel"/>
    <w:tmpl w:val="FF1A503F"/>
    <w:lvl w:ilvl="0" w:tentative="0">
      <w:start w:val="1"/>
      <w:numFmt w:val="decimal"/>
      <w:suff w:val="nothing"/>
      <w:lvlText w:val="（%1）"/>
      <w:lvlJc w:val="left"/>
    </w:lvl>
  </w:abstractNum>
  <w:abstractNum w:abstractNumId="123">
    <w:nsid w:val="00000027"/>
    <w:multiLevelType w:val="multilevel"/>
    <w:tmpl w:val="00000027"/>
    <w:lvl w:ilvl="0" w:tentative="0">
      <w:start w:val="1"/>
      <w:numFmt w:val="chineseCountingThousand"/>
      <w:suff w:val="space"/>
      <w:lvlText w:val="第%1章"/>
      <w:lvlJc w:val="left"/>
      <w:pPr>
        <w:ind w:left="0" w:firstLine="0"/>
      </w:pPr>
      <w:rPr>
        <w:rFonts w:hint="eastAsia" w:eastAsia="仿宋"/>
        <w:b/>
        <w:bCs/>
        <w:i w:val="0"/>
        <w:sz w:val="30"/>
      </w:rPr>
    </w:lvl>
    <w:lvl w:ilvl="1" w:tentative="0">
      <w:start w:val="1"/>
      <w:numFmt w:val="chineseCountingThousand"/>
      <w:suff w:val="space"/>
      <w:lvlText w:val="%2"/>
      <w:lvlJc w:val="left"/>
      <w:pPr>
        <w:ind w:left="0" w:firstLine="0"/>
      </w:pPr>
      <w:rPr>
        <w:rFonts w:hint="eastAsia" w:eastAsia="仿宋"/>
        <w:b/>
        <w:bCs/>
        <w:i w:val="0"/>
        <w:sz w:val="28"/>
      </w:rPr>
    </w:lvl>
    <w:lvl w:ilvl="2" w:tentative="0">
      <w:start w:val="1"/>
      <w:numFmt w:val="decimal"/>
      <w:suff w:val="space"/>
      <w:lvlText w:val="%3"/>
      <w:lvlJc w:val="left"/>
      <w:pPr>
        <w:ind w:left="0" w:firstLine="0"/>
      </w:pPr>
      <w:rPr>
        <w:rFonts w:hint="eastAsia" w:ascii="仿宋" w:hAnsi="仿宋" w:eastAsia="仿宋"/>
        <w:b w:val="0"/>
        <w:i w:val="0"/>
        <w:sz w:val="28"/>
      </w:rPr>
    </w:lvl>
    <w:lvl w:ilvl="3" w:tentative="0">
      <w:start w:val="1"/>
      <w:numFmt w:val="decimal"/>
      <w:suff w:val="space"/>
      <w:lvlText w:val="%3.%4"/>
      <w:lvlJc w:val="left"/>
      <w:pPr>
        <w:ind w:left="0" w:firstLine="0"/>
      </w:pPr>
      <w:rPr>
        <w:rFonts w:hint="eastAsia" w:ascii="仿宋" w:hAnsi="仿宋" w:eastAsia="仿宋" w:cs="仿宋_GB2312"/>
        <w:b w:val="0"/>
        <w:i w:val="0"/>
        <w:sz w:val="28"/>
      </w:rPr>
    </w:lvl>
    <w:lvl w:ilvl="4" w:tentative="0">
      <w:start w:val="1"/>
      <w:numFmt w:val="decimal"/>
      <w:suff w:val="space"/>
      <w:lvlText w:val="%3.%4.%5"/>
      <w:lvlJc w:val="left"/>
      <w:pPr>
        <w:ind w:left="0" w:firstLine="0"/>
      </w:pPr>
      <w:rPr>
        <w:rFonts w:hint="eastAsia" w:eastAsia="仿宋"/>
        <w:b w:val="0"/>
        <w:i w:val="0"/>
        <w:sz w:val="28"/>
      </w:rPr>
    </w:lvl>
    <w:lvl w:ilvl="5" w:tentative="0">
      <w:start w:val="1"/>
      <w:numFmt w:val="decimal"/>
      <w:suff w:val="space"/>
      <w:lvlText w:val="%3.%4.%5.%6"/>
      <w:lvlJc w:val="left"/>
      <w:pPr>
        <w:ind w:left="0" w:firstLine="0"/>
      </w:pPr>
      <w:rPr>
        <w:rFonts w:hint="eastAsia" w:ascii="仿宋" w:hAnsi="仿宋" w:eastAsia="仿宋"/>
        <w:b w:val="0"/>
        <w:i w:val="0"/>
        <w:sz w:val="28"/>
      </w:rPr>
    </w:lvl>
    <w:lvl w:ilvl="6" w:tentative="0">
      <w:start w:val="1"/>
      <w:numFmt w:val="none"/>
      <w:suff w:val="space"/>
      <w:lvlText w:val=""/>
      <w:lvlJc w:val="left"/>
      <w:pPr>
        <w:ind w:left="0" w:firstLine="0"/>
      </w:pPr>
      <w:rPr>
        <w:rFonts w:hint="eastAsia" w:eastAsia="仿宋"/>
        <w:b w:val="0"/>
        <w:i w:val="0"/>
        <w:sz w:val="28"/>
      </w:rPr>
    </w:lvl>
    <w:lvl w:ilvl="7" w:tentative="0">
      <w:start w:val="1"/>
      <w:numFmt w:val="none"/>
      <w:suff w:val="space"/>
      <w:lvlText w:val=""/>
      <w:lvlJc w:val="left"/>
      <w:pPr>
        <w:ind w:left="0" w:firstLine="0"/>
      </w:pPr>
      <w:rPr>
        <w:rFonts w:hint="eastAsia" w:ascii="仿宋" w:hAnsi="仿宋" w:eastAsia="仿宋"/>
        <w:b w:val="0"/>
        <w:bCs/>
        <w:i w:val="0"/>
        <w:sz w:val="28"/>
      </w:rPr>
    </w:lvl>
    <w:lvl w:ilvl="8" w:tentative="0">
      <w:start w:val="1"/>
      <w:numFmt w:val="bullet"/>
      <w:suff w:val="space"/>
      <w:lvlText w:val=""/>
      <w:lvlJc w:val="left"/>
      <w:pPr>
        <w:ind w:left="0" w:firstLine="0"/>
      </w:pPr>
      <w:rPr>
        <w:rFonts w:hint="default" w:ascii="Wingdings" w:hAnsi="Wingdings" w:eastAsia="仿宋"/>
      </w:rPr>
    </w:lvl>
  </w:abstractNum>
  <w:abstractNum w:abstractNumId="124">
    <w:nsid w:val="00000047"/>
    <w:multiLevelType w:val="singleLevel"/>
    <w:tmpl w:val="00000047"/>
    <w:lvl w:ilvl="0" w:tentative="0">
      <w:start w:val="1"/>
      <w:numFmt w:val="decimal"/>
      <w:lvlText w:val="%1)"/>
      <w:lvlJc w:val="left"/>
      <w:pPr>
        <w:tabs>
          <w:tab w:val="left" w:pos="425"/>
        </w:tabs>
        <w:ind w:left="425" w:hanging="425"/>
      </w:pPr>
      <w:rPr>
        <w:rFonts w:hint="default"/>
      </w:rPr>
    </w:lvl>
  </w:abstractNum>
  <w:abstractNum w:abstractNumId="125">
    <w:nsid w:val="0000004A"/>
    <w:multiLevelType w:val="multilevel"/>
    <w:tmpl w:val="0000004A"/>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26">
    <w:nsid w:val="00000063"/>
    <w:multiLevelType w:val="multilevel"/>
    <w:tmpl w:val="00000063"/>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7">
    <w:nsid w:val="001A2684"/>
    <w:multiLevelType w:val="multilevel"/>
    <w:tmpl w:val="001A2684"/>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8">
    <w:nsid w:val="002DFF67"/>
    <w:multiLevelType w:val="singleLevel"/>
    <w:tmpl w:val="002DFF67"/>
    <w:lvl w:ilvl="0" w:tentative="0">
      <w:start w:val="1"/>
      <w:numFmt w:val="decimal"/>
      <w:suff w:val="nothing"/>
      <w:lvlText w:val="（%1）"/>
      <w:lvlJc w:val="left"/>
    </w:lvl>
  </w:abstractNum>
  <w:abstractNum w:abstractNumId="129">
    <w:nsid w:val="009CF10B"/>
    <w:multiLevelType w:val="multilevel"/>
    <w:tmpl w:val="009CF10B"/>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0">
    <w:nsid w:val="012CDA24"/>
    <w:multiLevelType w:val="multilevel"/>
    <w:tmpl w:val="012CDA24"/>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1">
    <w:nsid w:val="02785D3E"/>
    <w:multiLevelType w:val="multilevel"/>
    <w:tmpl w:val="02785D3E"/>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2">
    <w:nsid w:val="02B99D3D"/>
    <w:multiLevelType w:val="multilevel"/>
    <w:tmpl w:val="02B99D3D"/>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3">
    <w:nsid w:val="02C449AB"/>
    <w:multiLevelType w:val="multilevel"/>
    <w:tmpl w:val="02C449AB"/>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4">
    <w:nsid w:val="041A66F7"/>
    <w:multiLevelType w:val="multilevel"/>
    <w:tmpl w:val="041A66F7"/>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5">
    <w:nsid w:val="059F5D63"/>
    <w:multiLevelType w:val="multilevel"/>
    <w:tmpl w:val="059F5D63"/>
    <w:lvl w:ilvl="0" w:tentative="0">
      <w:start w:val="1"/>
      <w:numFmt w:val="japaneseCounting"/>
      <w:lvlText w:val="%1、"/>
      <w:lvlJc w:val="left"/>
      <w:pPr>
        <w:tabs>
          <w:tab w:val="left" w:pos="720"/>
        </w:tabs>
        <w:ind w:left="720" w:hanging="720"/>
      </w:pPr>
      <w:rPr>
        <w:rFonts w:hint="eastAsia"/>
      </w:rPr>
    </w:lvl>
    <w:lvl w:ilvl="1" w:tentative="0">
      <w:start w:val="1"/>
      <w:numFmt w:val="decimal"/>
      <w:lvlText w:val="第%2条"/>
      <w:lvlJc w:val="left"/>
      <w:pPr>
        <w:tabs>
          <w:tab w:val="left" w:pos="1365"/>
        </w:tabs>
        <w:ind w:left="1365" w:hanging="94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862"/>
        </w:tabs>
        <w:ind w:left="862" w:hanging="720"/>
      </w:pPr>
      <w:rPr>
        <w:rFonts w:hint="eastAsia"/>
      </w:rPr>
    </w:lvl>
    <w:lvl w:ilvl="4" w:tentative="0">
      <w:start w:val="4"/>
      <w:numFmt w:val="japaneseCounting"/>
      <w:lvlText w:val="第%5章"/>
      <w:lvlJc w:val="left"/>
      <w:pPr>
        <w:tabs>
          <w:tab w:val="left" w:pos="2625"/>
        </w:tabs>
        <w:ind w:left="2625" w:hanging="945"/>
      </w:pPr>
      <w:rPr>
        <w:rFonts w:hint="eastAsia"/>
      </w:rPr>
    </w:lvl>
    <w:lvl w:ilvl="5" w:tentative="0">
      <w:start w:val="5"/>
      <w:numFmt w:val="decimal"/>
      <w:lvlText w:val="%6、"/>
      <w:lvlJc w:val="left"/>
      <w:pPr>
        <w:tabs>
          <w:tab w:val="left" w:pos="2460"/>
        </w:tabs>
        <w:ind w:left="2460" w:hanging="36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6">
    <w:nsid w:val="0643634A"/>
    <w:multiLevelType w:val="multilevel"/>
    <w:tmpl w:val="0643634A"/>
    <w:lvl w:ilvl="0" w:tentative="0">
      <w:start w:val="2"/>
      <w:numFmt w:val="decimal"/>
      <w:lvlText w:val="%1"/>
      <w:lvlJc w:val="left"/>
      <w:pPr>
        <w:tabs>
          <w:tab w:val="left" w:pos="360"/>
        </w:tabs>
        <w:ind w:left="360" w:hanging="360"/>
      </w:pPr>
      <w:rPr>
        <w:rFonts w:hint="eastAsia" w:eastAsia="黑体"/>
      </w:rPr>
    </w:lvl>
    <w:lvl w:ilvl="1" w:tentative="0">
      <w:start w:val="1"/>
      <w:numFmt w:val="decimal"/>
      <w:lvlText w:val="%1.%2"/>
      <w:lvlJc w:val="left"/>
      <w:pPr>
        <w:tabs>
          <w:tab w:val="left" w:pos="360"/>
        </w:tabs>
        <w:ind w:left="360" w:hanging="360"/>
      </w:pPr>
      <w:rPr>
        <w:rFonts w:hint="eastAsia" w:eastAsia="黑体"/>
      </w:rPr>
    </w:lvl>
    <w:lvl w:ilvl="2" w:tentative="0">
      <w:start w:val="1"/>
      <w:numFmt w:val="decimal"/>
      <w:lvlText w:val="%1.%2.%3"/>
      <w:lvlJc w:val="left"/>
      <w:pPr>
        <w:tabs>
          <w:tab w:val="left" w:pos="720"/>
        </w:tabs>
        <w:ind w:left="720" w:hanging="720"/>
      </w:pPr>
      <w:rPr>
        <w:rFonts w:hint="eastAsia" w:eastAsia="黑体"/>
      </w:rPr>
    </w:lvl>
    <w:lvl w:ilvl="3" w:tentative="0">
      <w:start w:val="1"/>
      <w:numFmt w:val="decimal"/>
      <w:lvlText w:val="%1.%2.%3.%4"/>
      <w:lvlJc w:val="left"/>
      <w:pPr>
        <w:tabs>
          <w:tab w:val="left" w:pos="720"/>
        </w:tabs>
        <w:ind w:left="720" w:hanging="720"/>
      </w:pPr>
      <w:rPr>
        <w:rFonts w:hint="eastAsia" w:eastAsia="黑体"/>
      </w:rPr>
    </w:lvl>
    <w:lvl w:ilvl="4" w:tentative="0">
      <w:start w:val="1"/>
      <w:numFmt w:val="decimal"/>
      <w:lvlText w:val="%1.%2.%3.%4.%5"/>
      <w:lvlJc w:val="left"/>
      <w:pPr>
        <w:tabs>
          <w:tab w:val="left" w:pos="1080"/>
        </w:tabs>
        <w:ind w:left="1080" w:hanging="1080"/>
      </w:pPr>
      <w:rPr>
        <w:rFonts w:hint="eastAsia" w:eastAsia="黑体"/>
      </w:rPr>
    </w:lvl>
    <w:lvl w:ilvl="5" w:tentative="0">
      <w:start w:val="1"/>
      <w:numFmt w:val="decimal"/>
      <w:lvlText w:val="%1.%2.%3.%4.%5.%6"/>
      <w:lvlJc w:val="left"/>
      <w:pPr>
        <w:tabs>
          <w:tab w:val="left" w:pos="1080"/>
        </w:tabs>
        <w:ind w:left="1080" w:hanging="1080"/>
      </w:pPr>
      <w:rPr>
        <w:rFonts w:hint="eastAsia" w:eastAsia="黑体"/>
      </w:rPr>
    </w:lvl>
    <w:lvl w:ilvl="6" w:tentative="0">
      <w:start w:val="1"/>
      <w:numFmt w:val="decimal"/>
      <w:lvlText w:val="%1.%2.%3.%4.%5.%6.%7"/>
      <w:lvlJc w:val="left"/>
      <w:pPr>
        <w:tabs>
          <w:tab w:val="left" w:pos="1440"/>
        </w:tabs>
        <w:ind w:left="1440" w:hanging="1440"/>
      </w:pPr>
      <w:rPr>
        <w:rFonts w:hint="eastAsia" w:eastAsia="黑体"/>
      </w:rPr>
    </w:lvl>
    <w:lvl w:ilvl="7" w:tentative="0">
      <w:start w:val="1"/>
      <w:numFmt w:val="decimal"/>
      <w:lvlText w:val="%1.%2.%3.%4.%5.%6.%7.%8"/>
      <w:lvlJc w:val="left"/>
      <w:pPr>
        <w:tabs>
          <w:tab w:val="left" w:pos="1440"/>
        </w:tabs>
        <w:ind w:left="1440" w:hanging="1440"/>
      </w:pPr>
      <w:rPr>
        <w:rFonts w:hint="eastAsia" w:eastAsia="黑体"/>
      </w:rPr>
    </w:lvl>
    <w:lvl w:ilvl="8" w:tentative="0">
      <w:start w:val="1"/>
      <w:numFmt w:val="decimal"/>
      <w:lvlText w:val="%1.%2.%3.%4.%5.%6.%7.%8.%9"/>
      <w:lvlJc w:val="left"/>
      <w:pPr>
        <w:tabs>
          <w:tab w:val="left" w:pos="1800"/>
        </w:tabs>
        <w:ind w:left="1800" w:hanging="1800"/>
      </w:pPr>
      <w:rPr>
        <w:rFonts w:hint="eastAsia" w:eastAsia="黑体"/>
      </w:rPr>
    </w:lvl>
  </w:abstractNum>
  <w:abstractNum w:abstractNumId="137">
    <w:nsid w:val="077B4FB1"/>
    <w:multiLevelType w:val="multilevel"/>
    <w:tmpl w:val="077B4FB1"/>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8">
    <w:nsid w:val="07F19106"/>
    <w:multiLevelType w:val="multilevel"/>
    <w:tmpl w:val="07F19106"/>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9">
    <w:nsid w:val="08910C93"/>
    <w:multiLevelType w:val="multilevel"/>
    <w:tmpl w:val="08910C93"/>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0">
    <w:nsid w:val="08CBE0A9"/>
    <w:multiLevelType w:val="multilevel"/>
    <w:tmpl w:val="08CBE0A9"/>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1">
    <w:nsid w:val="09CDDC20"/>
    <w:multiLevelType w:val="multilevel"/>
    <w:tmpl w:val="09CDDC20"/>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2">
    <w:nsid w:val="0C136270"/>
    <w:multiLevelType w:val="multilevel"/>
    <w:tmpl w:val="0C136270"/>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3">
    <w:nsid w:val="0CCC2F81"/>
    <w:multiLevelType w:val="multilevel"/>
    <w:tmpl w:val="0CCC2F81"/>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4">
    <w:nsid w:val="0D2AF832"/>
    <w:multiLevelType w:val="multilevel"/>
    <w:tmpl w:val="0D2AF832"/>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5">
    <w:nsid w:val="0D5E1092"/>
    <w:multiLevelType w:val="multilevel"/>
    <w:tmpl w:val="0D5E10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6">
    <w:nsid w:val="0DFE90C1"/>
    <w:multiLevelType w:val="multilevel"/>
    <w:tmpl w:val="0DFE90C1"/>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7">
    <w:nsid w:val="0FFEF91E"/>
    <w:multiLevelType w:val="multilevel"/>
    <w:tmpl w:val="0FFEF91E"/>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8">
    <w:nsid w:val="107A5ADD"/>
    <w:multiLevelType w:val="multilevel"/>
    <w:tmpl w:val="107A5ADD"/>
    <w:lvl w:ilvl="0" w:tentative="0">
      <w:start w:val="1"/>
      <w:numFmt w:val="decimal"/>
      <w:lvlText w:val="%1)"/>
      <w:lvlJc w:val="left"/>
      <w:pPr>
        <w:ind w:left="420" w:hanging="420"/>
      </w:pPr>
      <w:rPr>
        <w:rFonts w:asciiTheme="minorEastAsia" w:hAnsiTheme="minorEastAsia" w:eastAsiaTheme="minor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9">
    <w:nsid w:val="12046E44"/>
    <w:multiLevelType w:val="singleLevel"/>
    <w:tmpl w:val="12046E44"/>
    <w:lvl w:ilvl="0" w:tentative="0">
      <w:start w:val="1"/>
      <w:numFmt w:val="decimal"/>
      <w:suff w:val="nothing"/>
      <w:lvlText w:val="（%1）"/>
      <w:lvlJc w:val="left"/>
    </w:lvl>
  </w:abstractNum>
  <w:abstractNum w:abstractNumId="150">
    <w:nsid w:val="12083DE7"/>
    <w:multiLevelType w:val="multilevel"/>
    <w:tmpl w:val="12083DE7"/>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1">
    <w:nsid w:val="122D7684"/>
    <w:multiLevelType w:val="singleLevel"/>
    <w:tmpl w:val="122D7684"/>
    <w:lvl w:ilvl="0" w:tentative="0">
      <w:start w:val="1"/>
      <w:numFmt w:val="decimal"/>
      <w:suff w:val="nothing"/>
      <w:lvlText w:val="（%1）"/>
      <w:lvlJc w:val="left"/>
    </w:lvl>
  </w:abstractNum>
  <w:abstractNum w:abstractNumId="152">
    <w:nsid w:val="123C3E14"/>
    <w:multiLevelType w:val="multilevel"/>
    <w:tmpl w:val="123C3E14"/>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3">
    <w:nsid w:val="123EC6D2"/>
    <w:multiLevelType w:val="multilevel"/>
    <w:tmpl w:val="123EC6D2"/>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4">
    <w:nsid w:val="13C82386"/>
    <w:multiLevelType w:val="multilevel"/>
    <w:tmpl w:val="13C82386"/>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5">
    <w:nsid w:val="14D744A3"/>
    <w:multiLevelType w:val="multilevel"/>
    <w:tmpl w:val="14D744A3"/>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6">
    <w:nsid w:val="14DC801F"/>
    <w:multiLevelType w:val="multilevel"/>
    <w:tmpl w:val="14DC801F"/>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7">
    <w:nsid w:val="15273D0F"/>
    <w:multiLevelType w:val="multilevel"/>
    <w:tmpl w:val="15273D0F"/>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8">
    <w:nsid w:val="16C94077"/>
    <w:multiLevelType w:val="multilevel"/>
    <w:tmpl w:val="16C94077"/>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9">
    <w:nsid w:val="17AEF648"/>
    <w:multiLevelType w:val="multilevel"/>
    <w:tmpl w:val="17AEF648"/>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0">
    <w:nsid w:val="185B518B"/>
    <w:multiLevelType w:val="multilevel"/>
    <w:tmpl w:val="185B518B"/>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1">
    <w:nsid w:val="18A6F917"/>
    <w:multiLevelType w:val="singleLevel"/>
    <w:tmpl w:val="18A6F917"/>
    <w:lvl w:ilvl="0" w:tentative="0">
      <w:start w:val="1"/>
      <w:numFmt w:val="decimal"/>
      <w:suff w:val="nothing"/>
      <w:lvlText w:val="（%1）"/>
      <w:lvlJc w:val="left"/>
    </w:lvl>
  </w:abstractNum>
  <w:abstractNum w:abstractNumId="162">
    <w:nsid w:val="1931350D"/>
    <w:multiLevelType w:val="singleLevel"/>
    <w:tmpl w:val="1931350D"/>
    <w:lvl w:ilvl="0" w:tentative="0">
      <w:start w:val="1"/>
      <w:numFmt w:val="decimal"/>
      <w:lvlText w:val="%1)"/>
      <w:lvlJc w:val="left"/>
      <w:pPr>
        <w:ind w:left="420" w:hanging="420"/>
      </w:pPr>
      <w:rPr>
        <w:rFonts w:asciiTheme="minorEastAsia" w:hAnsiTheme="minorEastAsia" w:eastAsiaTheme="minorEastAsia"/>
        <w:sz w:val="21"/>
        <w:szCs w:val="21"/>
      </w:rPr>
    </w:lvl>
  </w:abstractNum>
  <w:abstractNum w:abstractNumId="163">
    <w:nsid w:val="199B9E50"/>
    <w:multiLevelType w:val="multilevel"/>
    <w:tmpl w:val="199B9E50"/>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4">
    <w:nsid w:val="19CB8DE6"/>
    <w:multiLevelType w:val="multilevel"/>
    <w:tmpl w:val="19CB8DE6"/>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5">
    <w:nsid w:val="19EBF13F"/>
    <w:multiLevelType w:val="multilevel"/>
    <w:tmpl w:val="19EBF13F"/>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6">
    <w:nsid w:val="19FB66EA"/>
    <w:multiLevelType w:val="multilevel"/>
    <w:tmpl w:val="19FB66EA"/>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7">
    <w:nsid w:val="1A7F46A7"/>
    <w:multiLevelType w:val="multilevel"/>
    <w:tmpl w:val="1A7F46A7"/>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8">
    <w:nsid w:val="1AC78ACC"/>
    <w:multiLevelType w:val="singleLevel"/>
    <w:tmpl w:val="1AC78ACC"/>
    <w:lvl w:ilvl="0" w:tentative="0">
      <w:start w:val="1"/>
      <w:numFmt w:val="decimal"/>
      <w:suff w:val="nothing"/>
      <w:lvlText w:val="（%1）"/>
      <w:lvlJc w:val="left"/>
    </w:lvl>
  </w:abstractNum>
  <w:abstractNum w:abstractNumId="169">
    <w:nsid w:val="1B47D091"/>
    <w:multiLevelType w:val="multilevel"/>
    <w:tmpl w:val="1B47D091"/>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0">
    <w:nsid w:val="1B5F423F"/>
    <w:multiLevelType w:val="multilevel"/>
    <w:tmpl w:val="1B5F423F"/>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1">
    <w:nsid w:val="1B5F4DE9"/>
    <w:multiLevelType w:val="multilevel"/>
    <w:tmpl w:val="1B5F4DE9"/>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2">
    <w:nsid w:val="1BE75CF1"/>
    <w:multiLevelType w:val="singleLevel"/>
    <w:tmpl w:val="1BE75CF1"/>
    <w:lvl w:ilvl="0" w:tentative="0">
      <w:start w:val="1"/>
      <w:numFmt w:val="decimal"/>
      <w:suff w:val="nothing"/>
      <w:lvlText w:val="（%1）"/>
      <w:lvlJc w:val="left"/>
    </w:lvl>
  </w:abstractNum>
  <w:abstractNum w:abstractNumId="173">
    <w:nsid w:val="1C7DB8F0"/>
    <w:multiLevelType w:val="singleLevel"/>
    <w:tmpl w:val="1C7DB8F0"/>
    <w:lvl w:ilvl="0" w:tentative="0">
      <w:start w:val="1"/>
      <w:numFmt w:val="decimal"/>
      <w:suff w:val="nothing"/>
      <w:lvlText w:val="（%1）"/>
      <w:lvlJc w:val="left"/>
    </w:lvl>
  </w:abstractNum>
  <w:abstractNum w:abstractNumId="174">
    <w:nsid w:val="1CCDABA9"/>
    <w:multiLevelType w:val="multilevel"/>
    <w:tmpl w:val="1CCDABA9"/>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5">
    <w:nsid w:val="1D71276E"/>
    <w:multiLevelType w:val="multilevel"/>
    <w:tmpl w:val="1D71276E"/>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6">
    <w:nsid w:val="1DB75728"/>
    <w:multiLevelType w:val="multilevel"/>
    <w:tmpl w:val="1DB75728"/>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7">
    <w:nsid w:val="1EAD82CF"/>
    <w:multiLevelType w:val="multilevel"/>
    <w:tmpl w:val="1EAD82CF"/>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8">
    <w:nsid w:val="1FDB430F"/>
    <w:multiLevelType w:val="multilevel"/>
    <w:tmpl w:val="1FDB430F"/>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9">
    <w:nsid w:val="1FEA7D7C"/>
    <w:multiLevelType w:val="multilevel"/>
    <w:tmpl w:val="1FEA7D7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0">
    <w:nsid w:val="20540137"/>
    <w:multiLevelType w:val="multilevel"/>
    <w:tmpl w:val="20540137"/>
    <w:lvl w:ilvl="0" w:tentative="0">
      <w:start w:val="1"/>
      <w:numFmt w:val="decimal"/>
      <w:lvlText w:val="%1"/>
      <w:lvlJc w:val="left"/>
      <w:pPr>
        <w:ind w:left="2268" w:hanging="425"/>
      </w:pPr>
      <w:rPr>
        <w:rFonts w:hint="eastAsia"/>
      </w:rPr>
    </w:lvl>
    <w:lvl w:ilvl="1" w:tentative="0">
      <w:start w:val="1"/>
      <w:numFmt w:val="decimal"/>
      <w:lvlText w:val="%1.%2"/>
      <w:lvlJc w:val="left"/>
      <w:pPr>
        <w:ind w:left="2835" w:hanging="567"/>
      </w:pPr>
      <w:rPr>
        <w:rFonts w:hint="eastAsia"/>
      </w:rPr>
    </w:lvl>
    <w:lvl w:ilvl="2" w:tentative="0">
      <w:start w:val="1"/>
      <w:numFmt w:val="decimal"/>
      <w:lvlText w:val="%1.%2.%3"/>
      <w:lvlJc w:val="left"/>
      <w:pPr>
        <w:ind w:left="3402" w:hanging="567"/>
      </w:pPr>
      <w:rPr>
        <w:rFonts w:hint="eastAsia"/>
        <w:b w:val="0"/>
        <w:bCs/>
      </w:rPr>
    </w:lvl>
    <w:lvl w:ilvl="3" w:tentative="0">
      <w:start w:val="1"/>
      <w:numFmt w:val="decimal"/>
      <w:suff w:val="space"/>
      <w:lvlText w:val="%1.%2.%3.%4"/>
      <w:lvlJc w:val="left"/>
      <w:pPr>
        <w:ind w:left="3261" w:hanging="708"/>
      </w:pPr>
      <w:rPr>
        <w:rFonts w:hint="eastAsia"/>
      </w:rPr>
    </w:lvl>
    <w:lvl w:ilvl="4" w:tentative="0">
      <w:start w:val="1"/>
      <w:numFmt w:val="decimal"/>
      <w:lvlText w:val="%1.%2.%3.%4.%5"/>
      <w:lvlJc w:val="left"/>
      <w:pPr>
        <w:ind w:left="4394" w:hanging="850"/>
      </w:pPr>
      <w:rPr>
        <w:rFonts w:hint="eastAsia"/>
      </w:rPr>
    </w:lvl>
    <w:lvl w:ilvl="5" w:tentative="0">
      <w:start w:val="1"/>
      <w:numFmt w:val="decimal"/>
      <w:lvlText w:val="%1.%2.%3.%4.%5.%6"/>
      <w:lvlJc w:val="left"/>
      <w:pPr>
        <w:ind w:left="5103" w:hanging="1134"/>
      </w:pPr>
      <w:rPr>
        <w:rFonts w:hint="eastAsia"/>
      </w:rPr>
    </w:lvl>
    <w:lvl w:ilvl="6" w:tentative="0">
      <w:start w:val="1"/>
      <w:numFmt w:val="decimal"/>
      <w:lvlText w:val="%1.%2.%3.%4.%5.%6.%7"/>
      <w:lvlJc w:val="left"/>
      <w:pPr>
        <w:ind w:left="5670" w:hanging="1276"/>
      </w:pPr>
      <w:rPr>
        <w:rFonts w:hint="eastAsia"/>
      </w:rPr>
    </w:lvl>
    <w:lvl w:ilvl="7" w:tentative="0">
      <w:start w:val="1"/>
      <w:numFmt w:val="decimal"/>
      <w:lvlText w:val="%1.%2.%3.%4.%5.%6.%7.%8"/>
      <w:lvlJc w:val="left"/>
      <w:pPr>
        <w:ind w:left="6237" w:hanging="1418"/>
      </w:pPr>
      <w:rPr>
        <w:rFonts w:hint="eastAsia"/>
      </w:rPr>
    </w:lvl>
    <w:lvl w:ilvl="8" w:tentative="0">
      <w:start w:val="1"/>
      <w:numFmt w:val="decimal"/>
      <w:lvlText w:val="%1.%2.%3.%4.%5.%6.%7.%8.%9"/>
      <w:lvlJc w:val="left"/>
      <w:pPr>
        <w:ind w:left="6945" w:hanging="1700"/>
      </w:pPr>
      <w:rPr>
        <w:rFonts w:hint="eastAsia"/>
      </w:rPr>
    </w:lvl>
  </w:abstractNum>
  <w:abstractNum w:abstractNumId="181">
    <w:nsid w:val="20652314"/>
    <w:multiLevelType w:val="singleLevel"/>
    <w:tmpl w:val="20652314"/>
    <w:lvl w:ilvl="0" w:tentative="0">
      <w:start w:val="1"/>
      <w:numFmt w:val="decimal"/>
      <w:suff w:val="nothing"/>
      <w:lvlText w:val="（%1）"/>
      <w:lvlJc w:val="left"/>
    </w:lvl>
  </w:abstractNum>
  <w:abstractNum w:abstractNumId="182">
    <w:nsid w:val="209DF209"/>
    <w:multiLevelType w:val="multilevel"/>
    <w:tmpl w:val="209DF209"/>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3">
    <w:nsid w:val="20B4D015"/>
    <w:multiLevelType w:val="multilevel"/>
    <w:tmpl w:val="20B4D015"/>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4">
    <w:nsid w:val="20E326BC"/>
    <w:multiLevelType w:val="multilevel"/>
    <w:tmpl w:val="20E326B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5">
    <w:nsid w:val="21754BA1"/>
    <w:multiLevelType w:val="singleLevel"/>
    <w:tmpl w:val="21754BA1"/>
    <w:lvl w:ilvl="0" w:tentative="0">
      <w:start w:val="1"/>
      <w:numFmt w:val="decimal"/>
      <w:lvlText w:val="%1)"/>
      <w:lvlJc w:val="left"/>
      <w:pPr>
        <w:tabs>
          <w:tab w:val="left" w:pos="425"/>
        </w:tabs>
        <w:ind w:left="425" w:hanging="425"/>
      </w:pPr>
    </w:lvl>
  </w:abstractNum>
  <w:abstractNum w:abstractNumId="186">
    <w:nsid w:val="21BA0A8A"/>
    <w:multiLevelType w:val="multilevel"/>
    <w:tmpl w:val="21BA0A8A"/>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7">
    <w:nsid w:val="22943040"/>
    <w:multiLevelType w:val="multilevel"/>
    <w:tmpl w:val="22943040"/>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8">
    <w:nsid w:val="229962DE"/>
    <w:multiLevelType w:val="multilevel"/>
    <w:tmpl w:val="229962DE"/>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9">
    <w:nsid w:val="23552FD6"/>
    <w:multiLevelType w:val="multilevel"/>
    <w:tmpl w:val="23552FD6"/>
    <w:lvl w:ilvl="0" w:tentative="0">
      <w:start w:val="1"/>
      <w:numFmt w:val="bullet"/>
      <w:lvlText w:val=""/>
      <w:lvlJc w:val="left"/>
      <w:pPr>
        <w:ind w:left="420" w:hanging="420"/>
      </w:pPr>
      <w:rPr>
        <w:rFonts w:hint="default" w:ascii="Wingdings" w:hAnsi="Wingdings"/>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0">
    <w:nsid w:val="2457F707"/>
    <w:multiLevelType w:val="multilevel"/>
    <w:tmpl w:val="2457F707"/>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1">
    <w:nsid w:val="245E65E3"/>
    <w:multiLevelType w:val="multilevel"/>
    <w:tmpl w:val="245E65E3"/>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2">
    <w:nsid w:val="25613E78"/>
    <w:multiLevelType w:val="multilevel"/>
    <w:tmpl w:val="25613E78"/>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3">
    <w:nsid w:val="26D6D7A4"/>
    <w:multiLevelType w:val="multilevel"/>
    <w:tmpl w:val="26D6D7A4"/>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4">
    <w:nsid w:val="26FF7AD2"/>
    <w:multiLevelType w:val="singleLevel"/>
    <w:tmpl w:val="26FF7AD2"/>
    <w:lvl w:ilvl="0" w:tentative="0">
      <w:start w:val="1"/>
      <w:numFmt w:val="decimal"/>
      <w:suff w:val="nothing"/>
      <w:lvlText w:val="（%1）"/>
      <w:lvlJc w:val="left"/>
    </w:lvl>
  </w:abstractNum>
  <w:abstractNum w:abstractNumId="195">
    <w:nsid w:val="27441A2A"/>
    <w:multiLevelType w:val="multilevel"/>
    <w:tmpl w:val="27441A2A"/>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6">
    <w:nsid w:val="280F7AA1"/>
    <w:multiLevelType w:val="multilevel"/>
    <w:tmpl w:val="280F7AA1"/>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7">
    <w:nsid w:val="28136659"/>
    <w:multiLevelType w:val="multilevel"/>
    <w:tmpl w:val="28136659"/>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8">
    <w:nsid w:val="293E7964"/>
    <w:multiLevelType w:val="multilevel"/>
    <w:tmpl w:val="293E796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9">
    <w:nsid w:val="29A76149"/>
    <w:multiLevelType w:val="multilevel"/>
    <w:tmpl w:val="29A76149"/>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0">
    <w:nsid w:val="29E609B0"/>
    <w:multiLevelType w:val="multilevel"/>
    <w:tmpl w:val="29E609B0"/>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1">
    <w:nsid w:val="29F134EA"/>
    <w:multiLevelType w:val="multilevel"/>
    <w:tmpl w:val="29F134EA"/>
    <w:lvl w:ilvl="0" w:tentative="0">
      <w:start w:val="3"/>
      <w:numFmt w:val="decimal"/>
      <w:lvlText w:val="%1"/>
      <w:lvlJc w:val="left"/>
      <w:pPr>
        <w:ind w:left="465" w:hanging="46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lvlText w:val="%1.%2.%3.%4"/>
      <w:lvlJc w:val="left"/>
      <w:pPr>
        <w:ind w:left="15120" w:hanging="1080"/>
      </w:pPr>
      <w:rPr>
        <w:rFonts w:hint="default"/>
      </w:rPr>
    </w:lvl>
    <w:lvl w:ilvl="4" w:tentative="0">
      <w:start w:val="1"/>
      <w:numFmt w:val="decimal"/>
      <w:lvlText w:val="%1.%2.%3.%4.%5"/>
      <w:lvlJc w:val="left"/>
      <w:pPr>
        <w:ind w:left="20160" w:hanging="1440"/>
      </w:pPr>
      <w:rPr>
        <w:rFonts w:hint="default"/>
      </w:rPr>
    </w:lvl>
    <w:lvl w:ilvl="5" w:tentative="0">
      <w:start w:val="1"/>
      <w:numFmt w:val="decimal"/>
      <w:lvlText w:val="%1.%2.%3.%4.%5.%6"/>
      <w:lvlJc w:val="left"/>
      <w:pPr>
        <w:ind w:left="25200" w:hanging="1800"/>
      </w:pPr>
      <w:rPr>
        <w:rFonts w:hint="default"/>
      </w:rPr>
    </w:lvl>
    <w:lvl w:ilvl="6" w:tentative="0">
      <w:start w:val="1"/>
      <w:numFmt w:val="decimal"/>
      <w:lvlText w:val="%1.%2.%3.%4.%5.%6.%7"/>
      <w:lvlJc w:val="left"/>
      <w:pPr>
        <w:ind w:left="30240" w:hanging="2160"/>
      </w:pPr>
      <w:rPr>
        <w:rFonts w:hint="default"/>
      </w:rPr>
    </w:lvl>
    <w:lvl w:ilvl="7" w:tentative="0">
      <w:start w:val="1"/>
      <w:numFmt w:val="decimal"/>
      <w:lvlText w:val="%1.%2.%3.%4.%5.%6.%7.%8"/>
      <w:lvlJc w:val="left"/>
      <w:pPr>
        <w:ind w:left="-30616" w:hanging="2160"/>
      </w:pPr>
      <w:rPr>
        <w:rFonts w:hint="default"/>
      </w:rPr>
    </w:lvl>
    <w:lvl w:ilvl="8" w:tentative="0">
      <w:start w:val="1"/>
      <w:numFmt w:val="decimal"/>
      <w:lvlText w:val="%1.%2.%3.%4.%5.%6.%7.%8.%9"/>
      <w:lvlJc w:val="left"/>
      <w:pPr>
        <w:ind w:left="-25576" w:hanging="2520"/>
      </w:pPr>
      <w:rPr>
        <w:rFonts w:hint="default"/>
      </w:rPr>
    </w:lvl>
  </w:abstractNum>
  <w:abstractNum w:abstractNumId="202">
    <w:nsid w:val="2B1C4B8B"/>
    <w:multiLevelType w:val="multilevel"/>
    <w:tmpl w:val="2B1C4B8B"/>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3">
    <w:nsid w:val="2D7D402B"/>
    <w:multiLevelType w:val="multilevel"/>
    <w:tmpl w:val="2D7D402B"/>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4">
    <w:nsid w:val="2DA14179"/>
    <w:multiLevelType w:val="multilevel"/>
    <w:tmpl w:val="2DA14179"/>
    <w:lvl w:ilvl="0" w:tentative="0">
      <w:start w:val="1"/>
      <w:numFmt w:val="decimal"/>
      <w:lvlText w:val="%1."/>
      <w:lvlJc w:val="left"/>
      <w:pPr>
        <w:tabs>
          <w:tab w:val="left" w:pos="907"/>
        </w:tabs>
        <w:ind w:left="907"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5">
    <w:nsid w:val="2F49B7E4"/>
    <w:multiLevelType w:val="multilevel"/>
    <w:tmpl w:val="2F49B7E4"/>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6">
    <w:nsid w:val="307D7783"/>
    <w:multiLevelType w:val="singleLevel"/>
    <w:tmpl w:val="307D7783"/>
    <w:lvl w:ilvl="0" w:tentative="0">
      <w:start w:val="1"/>
      <w:numFmt w:val="decimal"/>
      <w:lvlText w:val="%1)"/>
      <w:lvlJc w:val="left"/>
      <w:pPr>
        <w:tabs>
          <w:tab w:val="left" w:pos="360"/>
        </w:tabs>
        <w:ind w:left="360" w:hanging="360"/>
      </w:pPr>
      <w:rPr>
        <w:rFonts w:hint="default" w:asciiTheme="minorEastAsia" w:hAnsiTheme="minorEastAsia" w:eastAsiaTheme="minorEastAsia"/>
        <w:sz w:val="21"/>
        <w:szCs w:val="21"/>
      </w:rPr>
    </w:lvl>
  </w:abstractNum>
  <w:abstractNum w:abstractNumId="207">
    <w:nsid w:val="307EBEB2"/>
    <w:multiLevelType w:val="singleLevel"/>
    <w:tmpl w:val="307EBEB2"/>
    <w:lvl w:ilvl="0" w:tentative="0">
      <w:start w:val="1"/>
      <w:numFmt w:val="decimal"/>
      <w:suff w:val="nothing"/>
      <w:lvlText w:val="（%1）"/>
      <w:lvlJc w:val="left"/>
    </w:lvl>
  </w:abstractNum>
  <w:abstractNum w:abstractNumId="208">
    <w:nsid w:val="32F7D095"/>
    <w:multiLevelType w:val="multilevel"/>
    <w:tmpl w:val="32F7D095"/>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9">
    <w:nsid w:val="3311C0E8"/>
    <w:multiLevelType w:val="multilevel"/>
    <w:tmpl w:val="3311C0E8"/>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0">
    <w:nsid w:val="349D2550"/>
    <w:multiLevelType w:val="singleLevel"/>
    <w:tmpl w:val="349D2550"/>
    <w:lvl w:ilvl="0" w:tentative="0">
      <w:start w:val="3"/>
      <w:numFmt w:val="decimal"/>
      <w:lvlText w:val="%1"/>
      <w:lvlJc w:val="left"/>
      <w:pPr>
        <w:tabs>
          <w:tab w:val="left" w:pos="360"/>
        </w:tabs>
        <w:ind w:left="360" w:hanging="360"/>
      </w:pPr>
      <w:rPr>
        <w:rFonts w:hint="eastAsia"/>
      </w:rPr>
    </w:lvl>
  </w:abstractNum>
  <w:abstractNum w:abstractNumId="211">
    <w:nsid w:val="34A936D5"/>
    <w:multiLevelType w:val="singleLevel"/>
    <w:tmpl w:val="34A936D5"/>
    <w:lvl w:ilvl="0" w:tentative="0">
      <w:start w:val="1"/>
      <w:numFmt w:val="decimal"/>
      <w:suff w:val="nothing"/>
      <w:lvlText w:val="（%1）"/>
      <w:lvlJc w:val="left"/>
    </w:lvl>
  </w:abstractNum>
  <w:abstractNum w:abstractNumId="212">
    <w:nsid w:val="34BD802E"/>
    <w:multiLevelType w:val="multilevel"/>
    <w:tmpl w:val="34BD802E"/>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3">
    <w:nsid w:val="35193CE8"/>
    <w:multiLevelType w:val="multilevel"/>
    <w:tmpl w:val="35193CE8"/>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4">
    <w:nsid w:val="359ECA3B"/>
    <w:multiLevelType w:val="multilevel"/>
    <w:tmpl w:val="359ECA3B"/>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5">
    <w:nsid w:val="35CE4F3E"/>
    <w:multiLevelType w:val="singleLevel"/>
    <w:tmpl w:val="35CE4F3E"/>
    <w:lvl w:ilvl="0" w:tentative="0">
      <w:start w:val="7"/>
      <w:numFmt w:val="decimal"/>
      <w:lvlText w:val="%1"/>
      <w:lvlJc w:val="left"/>
      <w:pPr>
        <w:tabs>
          <w:tab w:val="left" w:pos="360"/>
        </w:tabs>
        <w:ind w:left="360" w:hanging="360"/>
      </w:pPr>
      <w:rPr>
        <w:rFonts w:hint="eastAsia"/>
      </w:rPr>
    </w:lvl>
  </w:abstractNum>
  <w:abstractNum w:abstractNumId="216">
    <w:nsid w:val="35EC5FE0"/>
    <w:multiLevelType w:val="multilevel"/>
    <w:tmpl w:val="35EC5FE0"/>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7">
    <w:nsid w:val="36C46B74"/>
    <w:multiLevelType w:val="multilevel"/>
    <w:tmpl w:val="36C46B74"/>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8">
    <w:nsid w:val="37637FD3"/>
    <w:multiLevelType w:val="multilevel"/>
    <w:tmpl w:val="37637FD3"/>
    <w:lvl w:ilvl="0" w:tentative="0">
      <w:start w:val="1"/>
      <w:numFmt w:val="bullet"/>
      <w:lvlText w:val=""/>
      <w:lvlJc w:val="left"/>
      <w:pPr>
        <w:ind w:left="700" w:hanging="420"/>
      </w:pPr>
      <w:rPr>
        <w:rFonts w:hint="default" w:ascii="Wingdings" w:hAnsi="Wingdings"/>
      </w:rPr>
    </w:lvl>
    <w:lvl w:ilvl="1" w:tentative="0">
      <w:start w:val="1"/>
      <w:numFmt w:val="bullet"/>
      <w:lvlText w:val=""/>
      <w:lvlJc w:val="left"/>
      <w:pPr>
        <w:ind w:left="1120" w:hanging="420"/>
      </w:pPr>
      <w:rPr>
        <w:rFonts w:hint="default" w:ascii="Wingdings" w:hAnsi="Wingdings" w:cs="Wingdings"/>
      </w:rPr>
    </w:lvl>
    <w:lvl w:ilvl="2" w:tentative="0">
      <w:start w:val="1"/>
      <w:numFmt w:val="bullet"/>
      <w:lvlText w:val=""/>
      <w:lvlJc w:val="left"/>
      <w:pPr>
        <w:ind w:left="1540" w:hanging="420"/>
      </w:pPr>
      <w:rPr>
        <w:rFonts w:hint="default" w:ascii="Wingdings" w:hAnsi="Wingdings" w:cs="Wingdings"/>
      </w:rPr>
    </w:lvl>
    <w:lvl w:ilvl="3" w:tentative="0">
      <w:start w:val="1"/>
      <w:numFmt w:val="bullet"/>
      <w:lvlText w:val=""/>
      <w:lvlJc w:val="left"/>
      <w:pPr>
        <w:ind w:left="1960" w:hanging="420"/>
      </w:pPr>
      <w:rPr>
        <w:rFonts w:hint="default" w:ascii="Wingdings" w:hAnsi="Wingdings" w:cs="Wingdings"/>
      </w:rPr>
    </w:lvl>
    <w:lvl w:ilvl="4" w:tentative="0">
      <w:start w:val="1"/>
      <w:numFmt w:val="bullet"/>
      <w:lvlText w:val=""/>
      <w:lvlJc w:val="left"/>
      <w:pPr>
        <w:ind w:left="2380" w:hanging="420"/>
      </w:pPr>
      <w:rPr>
        <w:rFonts w:hint="default" w:ascii="Wingdings" w:hAnsi="Wingdings" w:cs="Wingdings"/>
      </w:rPr>
    </w:lvl>
    <w:lvl w:ilvl="5" w:tentative="0">
      <w:start w:val="1"/>
      <w:numFmt w:val="bullet"/>
      <w:lvlText w:val=""/>
      <w:lvlJc w:val="left"/>
      <w:pPr>
        <w:ind w:left="2800" w:hanging="420"/>
      </w:pPr>
      <w:rPr>
        <w:rFonts w:hint="default" w:ascii="Wingdings" w:hAnsi="Wingdings" w:cs="Wingdings"/>
      </w:rPr>
    </w:lvl>
    <w:lvl w:ilvl="6" w:tentative="0">
      <w:start w:val="1"/>
      <w:numFmt w:val="bullet"/>
      <w:lvlText w:val=""/>
      <w:lvlJc w:val="left"/>
      <w:pPr>
        <w:ind w:left="3220" w:hanging="420"/>
      </w:pPr>
      <w:rPr>
        <w:rFonts w:hint="default" w:ascii="Wingdings" w:hAnsi="Wingdings" w:cs="Wingdings"/>
      </w:rPr>
    </w:lvl>
    <w:lvl w:ilvl="7" w:tentative="0">
      <w:start w:val="1"/>
      <w:numFmt w:val="bullet"/>
      <w:lvlText w:val=""/>
      <w:lvlJc w:val="left"/>
      <w:pPr>
        <w:ind w:left="3640" w:hanging="420"/>
      </w:pPr>
      <w:rPr>
        <w:rFonts w:hint="default" w:ascii="Wingdings" w:hAnsi="Wingdings" w:cs="Wingdings"/>
      </w:rPr>
    </w:lvl>
    <w:lvl w:ilvl="8" w:tentative="0">
      <w:start w:val="1"/>
      <w:numFmt w:val="bullet"/>
      <w:lvlText w:val=""/>
      <w:lvlJc w:val="left"/>
      <w:pPr>
        <w:ind w:left="4060" w:hanging="420"/>
      </w:pPr>
      <w:rPr>
        <w:rFonts w:hint="default" w:ascii="Wingdings" w:hAnsi="Wingdings" w:cs="Wingdings"/>
      </w:rPr>
    </w:lvl>
  </w:abstractNum>
  <w:abstractNum w:abstractNumId="219">
    <w:nsid w:val="382F1BA6"/>
    <w:multiLevelType w:val="multilevel"/>
    <w:tmpl w:val="382F1BA6"/>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0">
    <w:nsid w:val="388D6EDD"/>
    <w:multiLevelType w:val="multilevel"/>
    <w:tmpl w:val="388D6EDD"/>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1">
    <w:nsid w:val="390770E4"/>
    <w:multiLevelType w:val="multilevel"/>
    <w:tmpl w:val="390770E4"/>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22">
    <w:nsid w:val="392EC3AC"/>
    <w:multiLevelType w:val="multilevel"/>
    <w:tmpl w:val="392EC3A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3">
    <w:nsid w:val="3A706E76"/>
    <w:multiLevelType w:val="multilevel"/>
    <w:tmpl w:val="3A706E76"/>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4">
    <w:nsid w:val="3A725EDE"/>
    <w:multiLevelType w:val="multilevel"/>
    <w:tmpl w:val="3A725E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5">
    <w:nsid w:val="3ABD2DED"/>
    <w:multiLevelType w:val="multilevel"/>
    <w:tmpl w:val="3ABD2DED"/>
    <w:lvl w:ilvl="0" w:tentative="0">
      <w:start w:val="1"/>
      <w:numFmt w:val="decimal"/>
      <w:lvlText w:val="%1."/>
      <w:lvlJc w:val="left"/>
      <w:pPr>
        <w:tabs>
          <w:tab w:val="left" w:pos="851"/>
        </w:tabs>
        <w:ind w:left="851" w:hanging="369"/>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6">
    <w:nsid w:val="3B65764B"/>
    <w:multiLevelType w:val="multilevel"/>
    <w:tmpl w:val="3B65764B"/>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7">
    <w:nsid w:val="3C41A9CA"/>
    <w:multiLevelType w:val="multilevel"/>
    <w:tmpl w:val="3C41A9CA"/>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8">
    <w:nsid w:val="3F8A1598"/>
    <w:multiLevelType w:val="singleLevel"/>
    <w:tmpl w:val="3F8A1598"/>
    <w:lvl w:ilvl="0" w:tentative="0">
      <w:start w:val="1"/>
      <w:numFmt w:val="bullet"/>
      <w:lvlText w:val=""/>
      <w:lvlJc w:val="left"/>
      <w:pPr>
        <w:ind w:left="420" w:hanging="420"/>
      </w:pPr>
      <w:rPr>
        <w:rFonts w:hint="default" w:ascii="Wingdings" w:hAnsi="Wingdings"/>
      </w:rPr>
    </w:lvl>
  </w:abstractNum>
  <w:abstractNum w:abstractNumId="229">
    <w:nsid w:val="3FCC93D3"/>
    <w:multiLevelType w:val="multilevel"/>
    <w:tmpl w:val="3FCC93D3"/>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0">
    <w:nsid w:val="3FD21971"/>
    <w:multiLevelType w:val="multilevel"/>
    <w:tmpl w:val="3FD21971"/>
    <w:lvl w:ilvl="0" w:tentative="0">
      <w:start w:val="1"/>
      <w:numFmt w:val="decimal"/>
      <w:lvlText w:val="%1)"/>
      <w:lvlJc w:val="left"/>
      <w:pPr>
        <w:ind w:left="900" w:hanging="420"/>
      </w:pPr>
      <w:rPr>
        <w:rFonts w:asciiTheme="minorEastAsia" w:hAnsiTheme="minorEastAsia" w:eastAsiaTheme="minorEastAsia"/>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1">
    <w:nsid w:val="3FE26F55"/>
    <w:multiLevelType w:val="multilevel"/>
    <w:tmpl w:val="3FE26F55"/>
    <w:lvl w:ilvl="0" w:tentative="0">
      <w:start w:val="1"/>
      <w:numFmt w:val="decimal"/>
      <w:lvlText w:val="（%1）"/>
      <w:lvlJc w:val="left"/>
      <w:pPr>
        <w:ind w:left="1005" w:hanging="420"/>
      </w:pPr>
      <w:rPr>
        <w:rFonts w:hint="default" w:ascii="Times New Roman" w:hAnsi="Times New Roman" w:cs="Times New Roman"/>
      </w:rPr>
    </w:lvl>
    <w:lvl w:ilvl="1" w:tentative="0">
      <w:start w:val="1"/>
      <w:numFmt w:val="decimal"/>
      <w:lvlText w:val="（%2）"/>
      <w:lvlJc w:val="left"/>
      <w:pPr>
        <w:ind w:left="1425" w:hanging="420"/>
      </w:pPr>
      <w:rPr>
        <w:rFonts w:hint="default" w:ascii="Times New Roman" w:hAnsi="Times New Roman" w:cs="Times New Roman"/>
      </w:rPr>
    </w:lvl>
    <w:lvl w:ilvl="2" w:tentative="0">
      <w:start w:val="1"/>
      <w:numFmt w:val="decimal"/>
      <w:lvlText w:val="%3、"/>
      <w:lvlJc w:val="left"/>
      <w:pPr>
        <w:ind w:left="1785" w:hanging="360"/>
      </w:pPr>
      <w:rPr>
        <w:rFonts w:hint="default" w:ascii="Times New Roman" w:hAnsi="Times New Roman" w:cs="Times New Roman"/>
        <w:color w:val="000000"/>
      </w:rPr>
    </w:lvl>
    <w:lvl w:ilvl="3" w:tentative="0">
      <w:start w:val="1"/>
      <w:numFmt w:val="decimal"/>
      <w:lvlText w:val="%4."/>
      <w:lvlJc w:val="left"/>
      <w:pPr>
        <w:ind w:left="2265" w:hanging="420"/>
      </w:pPr>
      <w:rPr>
        <w:rFonts w:hint="default" w:ascii="Times New Roman" w:hAnsi="Times New Roman" w:cs="Times New Roman"/>
      </w:rPr>
    </w:lvl>
    <w:lvl w:ilvl="4" w:tentative="0">
      <w:start w:val="1"/>
      <w:numFmt w:val="lowerLetter"/>
      <w:lvlText w:val="%5)"/>
      <w:lvlJc w:val="left"/>
      <w:pPr>
        <w:ind w:left="2685" w:hanging="420"/>
      </w:pPr>
      <w:rPr>
        <w:rFonts w:hint="default" w:ascii="Times New Roman" w:hAnsi="Times New Roman" w:cs="Times New Roman"/>
      </w:rPr>
    </w:lvl>
    <w:lvl w:ilvl="5" w:tentative="0">
      <w:start w:val="1"/>
      <w:numFmt w:val="lowerRoman"/>
      <w:lvlText w:val="%6."/>
      <w:lvlJc w:val="right"/>
      <w:pPr>
        <w:ind w:left="3105" w:hanging="420"/>
      </w:pPr>
      <w:rPr>
        <w:rFonts w:hint="default" w:ascii="Times New Roman" w:hAnsi="Times New Roman" w:cs="Times New Roman"/>
      </w:rPr>
    </w:lvl>
    <w:lvl w:ilvl="6" w:tentative="0">
      <w:start w:val="1"/>
      <w:numFmt w:val="decimal"/>
      <w:lvlText w:val="%7."/>
      <w:lvlJc w:val="left"/>
      <w:pPr>
        <w:ind w:left="3525" w:hanging="420"/>
      </w:pPr>
      <w:rPr>
        <w:rFonts w:hint="default" w:ascii="Times New Roman" w:hAnsi="Times New Roman" w:cs="Times New Roman"/>
      </w:rPr>
    </w:lvl>
    <w:lvl w:ilvl="7" w:tentative="0">
      <w:start w:val="1"/>
      <w:numFmt w:val="lowerLetter"/>
      <w:lvlText w:val="%8)"/>
      <w:lvlJc w:val="left"/>
      <w:pPr>
        <w:ind w:left="3945" w:hanging="420"/>
      </w:pPr>
      <w:rPr>
        <w:rFonts w:hint="default" w:ascii="Times New Roman" w:hAnsi="Times New Roman" w:cs="Times New Roman"/>
      </w:rPr>
    </w:lvl>
    <w:lvl w:ilvl="8" w:tentative="0">
      <w:start w:val="1"/>
      <w:numFmt w:val="lowerRoman"/>
      <w:lvlText w:val="%9."/>
      <w:lvlJc w:val="right"/>
      <w:pPr>
        <w:ind w:left="4365" w:hanging="420"/>
      </w:pPr>
      <w:rPr>
        <w:rFonts w:hint="default" w:ascii="Times New Roman" w:hAnsi="Times New Roman" w:cs="Times New Roman"/>
      </w:rPr>
    </w:lvl>
  </w:abstractNum>
  <w:abstractNum w:abstractNumId="232">
    <w:nsid w:val="3FFF568D"/>
    <w:multiLevelType w:val="multilevel"/>
    <w:tmpl w:val="3FFF568D"/>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3">
    <w:nsid w:val="40F2FFC1"/>
    <w:multiLevelType w:val="singleLevel"/>
    <w:tmpl w:val="40F2FFC1"/>
    <w:lvl w:ilvl="0" w:tentative="0">
      <w:start w:val="1"/>
      <w:numFmt w:val="decimal"/>
      <w:suff w:val="nothing"/>
      <w:lvlText w:val="（%1）"/>
      <w:lvlJc w:val="left"/>
    </w:lvl>
  </w:abstractNum>
  <w:abstractNum w:abstractNumId="234">
    <w:nsid w:val="416F53CE"/>
    <w:multiLevelType w:val="multilevel"/>
    <w:tmpl w:val="416F53CE"/>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5">
    <w:nsid w:val="41F8AFF6"/>
    <w:multiLevelType w:val="multilevel"/>
    <w:tmpl w:val="41F8AFF6"/>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6">
    <w:nsid w:val="4283741C"/>
    <w:multiLevelType w:val="singleLevel"/>
    <w:tmpl w:val="4283741C"/>
    <w:lvl w:ilvl="0" w:tentative="0">
      <w:start w:val="1"/>
      <w:numFmt w:val="decimal"/>
      <w:suff w:val="nothing"/>
      <w:lvlText w:val="（%1）"/>
      <w:lvlJc w:val="left"/>
    </w:lvl>
  </w:abstractNum>
  <w:abstractNum w:abstractNumId="237">
    <w:nsid w:val="43B82AE9"/>
    <w:multiLevelType w:val="multilevel"/>
    <w:tmpl w:val="43B82AE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Letter"/>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8">
    <w:nsid w:val="43EC051D"/>
    <w:multiLevelType w:val="multilevel"/>
    <w:tmpl w:val="43EC051D"/>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9">
    <w:nsid w:val="446E7BCD"/>
    <w:multiLevelType w:val="multilevel"/>
    <w:tmpl w:val="446E7BCD"/>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0">
    <w:nsid w:val="447A140C"/>
    <w:multiLevelType w:val="multilevel"/>
    <w:tmpl w:val="447A140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1">
    <w:nsid w:val="45149EC5"/>
    <w:multiLevelType w:val="multilevel"/>
    <w:tmpl w:val="45149EC5"/>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2">
    <w:nsid w:val="459076DC"/>
    <w:multiLevelType w:val="multilevel"/>
    <w:tmpl w:val="459076DC"/>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bullet"/>
      <w:lvlText w:val=""/>
      <w:lvlJc w:val="left"/>
      <w:pPr>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3">
    <w:nsid w:val="45C0EBE8"/>
    <w:multiLevelType w:val="singleLevel"/>
    <w:tmpl w:val="45C0EBE8"/>
    <w:lvl w:ilvl="0" w:tentative="0">
      <w:start w:val="1"/>
      <w:numFmt w:val="decimal"/>
      <w:suff w:val="nothing"/>
      <w:lvlText w:val="（%1）"/>
      <w:lvlJc w:val="left"/>
    </w:lvl>
  </w:abstractNum>
  <w:abstractNum w:abstractNumId="244">
    <w:nsid w:val="4689B19E"/>
    <w:multiLevelType w:val="multilevel"/>
    <w:tmpl w:val="4689B19E"/>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5">
    <w:nsid w:val="475B46E4"/>
    <w:multiLevelType w:val="multilevel"/>
    <w:tmpl w:val="475B46E4"/>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6">
    <w:nsid w:val="4762AAAA"/>
    <w:multiLevelType w:val="singleLevel"/>
    <w:tmpl w:val="4762AAAA"/>
    <w:lvl w:ilvl="0" w:tentative="0">
      <w:start w:val="1"/>
      <w:numFmt w:val="decimal"/>
      <w:lvlText w:val="%1)"/>
      <w:lvlJc w:val="left"/>
      <w:pPr>
        <w:tabs>
          <w:tab w:val="left" w:pos="425"/>
        </w:tabs>
        <w:ind w:left="425" w:hanging="425"/>
      </w:pPr>
      <w:rPr>
        <w:rFonts w:hint="default"/>
      </w:rPr>
    </w:lvl>
  </w:abstractNum>
  <w:abstractNum w:abstractNumId="247">
    <w:nsid w:val="47972B8B"/>
    <w:multiLevelType w:val="multilevel"/>
    <w:tmpl w:val="47972B8B"/>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8">
    <w:nsid w:val="47C64AA4"/>
    <w:multiLevelType w:val="multilevel"/>
    <w:tmpl w:val="47C64AA4"/>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9">
    <w:nsid w:val="47ED55B9"/>
    <w:multiLevelType w:val="singleLevel"/>
    <w:tmpl w:val="47ED55B9"/>
    <w:lvl w:ilvl="0" w:tentative="0">
      <w:start w:val="1"/>
      <w:numFmt w:val="decimal"/>
      <w:suff w:val="nothing"/>
      <w:lvlText w:val="（%1）"/>
      <w:lvlJc w:val="left"/>
    </w:lvl>
  </w:abstractNum>
  <w:abstractNum w:abstractNumId="250">
    <w:nsid w:val="48856BD9"/>
    <w:multiLevelType w:val="multilevel"/>
    <w:tmpl w:val="48856BD9"/>
    <w:lvl w:ilvl="0" w:tentative="0">
      <w:start w:val="1"/>
      <w:numFmt w:val="decimal"/>
      <w:lvlText w:val="%1)"/>
      <w:lvlJc w:val="left"/>
      <w:pPr>
        <w:ind w:left="900" w:hanging="420"/>
      </w:pPr>
      <w:rPr>
        <w:rFonts w:asciiTheme="minorEastAsia" w:hAnsiTheme="minorEastAsia" w:eastAsiaTheme="minorEastAsia"/>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1">
    <w:nsid w:val="48A54F5E"/>
    <w:multiLevelType w:val="multilevel"/>
    <w:tmpl w:val="48A54F5E"/>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2">
    <w:nsid w:val="49BD1F67"/>
    <w:multiLevelType w:val="multilevel"/>
    <w:tmpl w:val="49BD1F6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3">
    <w:nsid w:val="49EB7D2E"/>
    <w:multiLevelType w:val="multilevel"/>
    <w:tmpl w:val="49EB7D2E"/>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4">
    <w:nsid w:val="4A7389A7"/>
    <w:multiLevelType w:val="multilevel"/>
    <w:tmpl w:val="4A7389A7"/>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5">
    <w:nsid w:val="4BBF690D"/>
    <w:multiLevelType w:val="multilevel"/>
    <w:tmpl w:val="4BBF690D"/>
    <w:lvl w:ilvl="0" w:tentative="0">
      <w:start w:val="1"/>
      <w:numFmt w:val="chineseCountingThousand"/>
      <w:suff w:val="space"/>
      <w:lvlText w:val="第%1章."/>
      <w:lvlJc w:val="left"/>
      <w:pPr>
        <w:ind w:left="0" w:firstLine="0"/>
      </w:pPr>
      <w:rPr>
        <w:rFonts w:hint="eastAsia" w:eastAsia="仿宋_GB2312"/>
        <w:b w:val="0"/>
        <w:i w:val="0"/>
        <w:sz w:val="30"/>
      </w:rPr>
    </w:lvl>
    <w:lvl w:ilvl="1" w:tentative="0">
      <w:start w:val="1"/>
      <w:numFmt w:val="chineseCountingThousand"/>
      <w:suff w:val="space"/>
      <w:lvlText w:val="%2."/>
      <w:lvlJc w:val="left"/>
      <w:pPr>
        <w:ind w:left="0" w:firstLine="0"/>
      </w:pPr>
      <w:rPr>
        <w:rFonts w:hint="eastAsia" w:eastAsia="仿宋_GB2312"/>
        <w:b w:val="0"/>
        <w:i w:val="0"/>
        <w:sz w:val="28"/>
      </w:rPr>
    </w:lvl>
    <w:lvl w:ilvl="2" w:tentative="0">
      <w:start w:val="1"/>
      <w:numFmt w:val="decimal"/>
      <w:suff w:val="space"/>
      <w:lvlText w:val="%3."/>
      <w:lvlJc w:val="left"/>
      <w:pPr>
        <w:ind w:left="0" w:firstLine="0"/>
      </w:pPr>
      <w:rPr>
        <w:rFonts w:hint="eastAsia" w:eastAsia="仿宋_GB2312"/>
        <w:b w:val="0"/>
        <w:i w:val="0"/>
        <w:sz w:val="28"/>
      </w:rPr>
    </w:lvl>
    <w:lvl w:ilvl="3" w:tentative="0">
      <w:start w:val="1"/>
      <w:numFmt w:val="decimal"/>
      <w:suff w:val="space"/>
      <w:lvlText w:val="%3.%4."/>
      <w:lvlJc w:val="left"/>
      <w:pPr>
        <w:ind w:left="0" w:firstLine="0"/>
      </w:pPr>
      <w:rPr>
        <w:rFonts w:hint="eastAsia" w:eastAsia="仿宋_GB2312" w:cs="仿宋_GB2312"/>
        <w:b w:val="0"/>
        <w:i w:val="0"/>
        <w:sz w:val="28"/>
      </w:rPr>
    </w:lvl>
    <w:lvl w:ilvl="4" w:tentative="0">
      <w:start w:val="1"/>
      <w:numFmt w:val="decimal"/>
      <w:suff w:val="space"/>
      <w:lvlText w:val="%3.%4.%5."/>
      <w:lvlJc w:val="left"/>
      <w:pPr>
        <w:ind w:left="0" w:firstLine="0"/>
      </w:pPr>
      <w:rPr>
        <w:rFonts w:hint="eastAsia" w:eastAsia="仿宋_GB2312"/>
        <w:b w:val="0"/>
        <w:i w:val="0"/>
        <w:sz w:val="28"/>
      </w:rPr>
    </w:lvl>
    <w:lvl w:ilvl="5" w:tentative="0">
      <w:start w:val="1"/>
      <w:numFmt w:val="decimal"/>
      <w:suff w:val="space"/>
      <w:lvlText w:val="%3.%4.%5.%6."/>
      <w:lvlJc w:val="left"/>
      <w:pPr>
        <w:ind w:left="0" w:firstLine="0"/>
      </w:pPr>
      <w:rPr>
        <w:rFonts w:hint="eastAsia" w:eastAsia="仿宋_GB2312"/>
        <w:b w:val="0"/>
        <w:i w:val="0"/>
        <w:sz w:val="28"/>
      </w:rPr>
    </w:lvl>
    <w:lvl w:ilvl="6" w:tentative="0">
      <w:start w:val="1"/>
      <w:numFmt w:val="decimal"/>
      <w:suff w:val="space"/>
      <w:lvlText w:val="%3.%4.%5.%6.%7."/>
      <w:lvlJc w:val="left"/>
      <w:pPr>
        <w:ind w:left="0" w:firstLine="0"/>
      </w:pPr>
      <w:rPr>
        <w:rFonts w:hint="eastAsia" w:eastAsia="仿宋_GB2312"/>
        <w:b w:val="0"/>
        <w:i w:val="0"/>
        <w:sz w:val="28"/>
      </w:rPr>
    </w:lvl>
    <w:lvl w:ilvl="7" w:tentative="0">
      <w:start w:val="1"/>
      <w:numFmt w:val="decimal"/>
      <w:suff w:val="space"/>
      <w:lvlText w:val="(%8)."/>
      <w:lvlJc w:val="left"/>
      <w:pPr>
        <w:ind w:left="0" w:firstLine="0"/>
      </w:pPr>
      <w:rPr>
        <w:rFonts w:hint="eastAsia" w:asciiTheme="minorEastAsia" w:hAnsiTheme="minorEastAsia" w:eastAsiaTheme="minorEastAsia"/>
        <w:b w:val="0"/>
        <w:i w:val="0"/>
        <w:sz w:val="21"/>
        <w:szCs w:val="21"/>
      </w:rPr>
    </w:lvl>
    <w:lvl w:ilvl="8" w:tentative="0">
      <w:start w:val="1"/>
      <w:numFmt w:val="bullet"/>
      <w:suff w:val="space"/>
      <w:lvlText w:val=""/>
      <w:lvlJc w:val="left"/>
      <w:pPr>
        <w:ind w:left="142" w:firstLine="0"/>
      </w:pPr>
      <w:rPr>
        <w:rFonts w:hint="default" w:ascii="Symbol" w:hAnsi="Symbol"/>
        <w:color w:val="auto"/>
        <w:lang w:val="en-US"/>
      </w:rPr>
    </w:lvl>
  </w:abstractNum>
  <w:abstractNum w:abstractNumId="256">
    <w:nsid w:val="4CF63114"/>
    <w:multiLevelType w:val="multilevel"/>
    <w:tmpl w:val="4CF6311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7">
    <w:nsid w:val="4D08B2CF"/>
    <w:multiLevelType w:val="singleLevel"/>
    <w:tmpl w:val="4D08B2CF"/>
    <w:lvl w:ilvl="0" w:tentative="0">
      <w:start w:val="1"/>
      <w:numFmt w:val="decimal"/>
      <w:suff w:val="nothing"/>
      <w:lvlText w:val="（%1）"/>
      <w:lvlJc w:val="left"/>
    </w:lvl>
  </w:abstractNum>
  <w:abstractNum w:abstractNumId="258">
    <w:nsid w:val="4DA76811"/>
    <w:multiLevelType w:val="multilevel"/>
    <w:tmpl w:val="4DA76811"/>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9">
    <w:nsid w:val="4E5CB08D"/>
    <w:multiLevelType w:val="multilevel"/>
    <w:tmpl w:val="4E5CB08D"/>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0">
    <w:nsid w:val="4ED9F379"/>
    <w:multiLevelType w:val="multilevel"/>
    <w:tmpl w:val="4ED9F379"/>
    <w:lvl w:ilvl="0" w:tentative="0">
      <w:start w:val="1"/>
      <w:numFmt w:val="chineseCountingThousand"/>
      <w:suff w:val="space"/>
      <w:lvlText w:val="第%1章."/>
      <w:lvlJc w:val="left"/>
      <w:pPr>
        <w:ind w:left="0" w:firstLine="0"/>
      </w:pPr>
      <w:rPr>
        <w:rFonts w:hint="eastAsia" w:eastAsia="仿宋_GB2312"/>
        <w:b w:val="0"/>
        <w:i w:val="0"/>
        <w:sz w:val="30"/>
      </w:rPr>
    </w:lvl>
    <w:lvl w:ilvl="1" w:tentative="0">
      <w:start w:val="1"/>
      <w:numFmt w:val="chineseCountingThousand"/>
      <w:suff w:val="space"/>
      <w:lvlText w:val="%2."/>
      <w:lvlJc w:val="left"/>
      <w:pPr>
        <w:ind w:left="0" w:firstLine="0"/>
      </w:pPr>
      <w:rPr>
        <w:rFonts w:hint="eastAsia" w:eastAsia="仿宋_GB2312"/>
        <w:b w:val="0"/>
        <w:i w:val="0"/>
        <w:sz w:val="28"/>
      </w:rPr>
    </w:lvl>
    <w:lvl w:ilvl="2" w:tentative="0">
      <w:start w:val="1"/>
      <w:numFmt w:val="decimal"/>
      <w:suff w:val="space"/>
      <w:lvlText w:val="%3."/>
      <w:lvlJc w:val="left"/>
      <w:pPr>
        <w:ind w:left="0" w:firstLine="0"/>
      </w:pPr>
      <w:rPr>
        <w:rFonts w:hint="eastAsia" w:eastAsia="仿宋_GB2312"/>
        <w:b w:val="0"/>
        <w:i w:val="0"/>
        <w:sz w:val="28"/>
      </w:rPr>
    </w:lvl>
    <w:lvl w:ilvl="3" w:tentative="0">
      <w:start w:val="1"/>
      <w:numFmt w:val="decimal"/>
      <w:suff w:val="space"/>
      <w:lvlText w:val="%3.%4."/>
      <w:lvlJc w:val="left"/>
      <w:pPr>
        <w:ind w:left="0" w:firstLine="0"/>
      </w:pPr>
      <w:rPr>
        <w:rFonts w:hint="eastAsia" w:eastAsia="仿宋_GB2312" w:cs="仿宋_GB2312"/>
        <w:b w:val="0"/>
        <w:i w:val="0"/>
        <w:sz w:val="28"/>
      </w:rPr>
    </w:lvl>
    <w:lvl w:ilvl="4" w:tentative="0">
      <w:start w:val="1"/>
      <w:numFmt w:val="decimal"/>
      <w:suff w:val="space"/>
      <w:lvlText w:val="%3.%4.%5."/>
      <w:lvlJc w:val="left"/>
      <w:pPr>
        <w:ind w:left="0" w:firstLine="0"/>
      </w:pPr>
      <w:rPr>
        <w:rFonts w:hint="eastAsia" w:eastAsia="仿宋_GB2312"/>
        <w:b w:val="0"/>
        <w:i w:val="0"/>
        <w:sz w:val="28"/>
      </w:rPr>
    </w:lvl>
    <w:lvl w:ilvl="5" w:tentative="0">
      <w:start w:val="1"/>
      <w:numFmt w:val="decimal"/>
      <w:suff w:val="space"/>
      <w:lvlText w:val="%3.%4.%5.%6."/>
      <w:lvlJc w:val="left"/>
      <w:pPr>
        <w:ind w:left="0" w:firstLine="0"/>
      </w:pPr>
      <w:rPr>
        <w:rFonts w:hint="eastAsia" w:eastAsia="仿宋_GB2312"/>
        <w:b w:val="0"/>
        <w:i w:val="0"/>
        <w:sz w:val="28"/>
      </w:rPr>
    </w:lvl>
    <w:lvl w:ilvl="6" w:tentative="0">
      <w:start w:val="1"/>
      <w:numFmt w:val="decimal"/>
      <w:suff w:val="space"/>
      <w:lvlText w:val="%3.%4.%5.%6.%7."/>
      <w:lvlJc w:val="left"/>
      <w:pPr>
        <w:ind w:left="0" w:firstLine="0"/>
      </w:pPr>
      <w:rPr>
        <w:rFonts w:hint="eastAsia" w:eastAsia="仿宋_GB2312"/>
        <w:b w:val="0"/>
        <w:i w:val="0"/>
        <w:sz w:val="28"/>
      </w:rPr>
    </w:lvl>
    <w:lvl w:ilvl="7" w:tentative="0">
      <w:start w:val="1"/>
      <w:numFmt w:val="decimal"/>
      <w:suff w:val="space"/>
      <w:lvlText w:val="(%8)."/>
      <w:lvlJc w:val="left"/>
      <w:pPr>
        <w:ind w:left="0" w:firstLine="0"/>
      </w:pPr>
      <w:rPr>
        <w:rFonts w:hint="eastAsia" w:asciiTheme="minorEastAsia" w:hAnsiTheme="minorEastAsia" w:eastAsiaTheme="minorEastAsia"/>
        <w:b w:val="0"/>
        <w:i w:val="0"/>
        <w:sz w:val="21"/>
        <w:szCs w:val="21"/>
      </w:rPr>
    </w:lvl>
    <w:lvl w:ilvl="8" w:tentative="0">
      <w:start w:val="1"/>
      <w:numFmt w:val="bullet"/>
      <w:suff w:val="space"/>
      <w:lvlText w:val=""/>
      <w:lvlJc w:val="left"/>
      <w:pPr>
        <w:ind w:left="0" w:firstLine="0"/>
      </w:pPr>
      <w:rPr>
        <w:rFonts w:hint="default" w:ascii="Symbol" w:hAnsi="Symbol"/>
        <w:color w:val="auto"/>
        <w:lang w:val="en-US"/>
      </w:rPr>
    </w:lvl>
  </w:abstractNum>
  <w:abstractNum w:abstractNumId="261">
    <w:nsid w:val="4F9A9273"/>
    <w:multiLevelType w:val="multilevel"/>
    <w:tmpl w:val="4F9A9273"/>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2">
    <w:nsid w:val="51310420"/>
    <w:multiLevelType w:val="multilevel"/>
    <w:tmpl w:val="51310420"/>
    <w:lvl w:ilvl="0" w:tentative="0">
      <w:start w:val="1"/>
      <w:numFmt w:val="decimal"/>
      <w:lvlText w:val="%1)"/>
      <w:lvlJc w:val="left"/>
      <w:pPr>
        <w:ind w:left="900" w:hanging="420"/>
      </w:pPr>
      <w:rPr>
        <w:rFonts w:asciiTheme="minorEastAsia" w:hAnsiTheme="minorEastAsia" w:eastAsiaTheme="minorEastAsia"/>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3">
    <w:nsid w:val="54118EAF"/>
    <w:multiLevelType w:val="singleLevel"/>
    <w:tmpl w:val="54118EAF"/>
    <w:lvl w:ilvl="0" w:tentative="0">
      <w:start w:val="1"/>
      <w:numFmt w:val="decimal"/>
      <w:suff w:val="nothing"/>
      <w:lvlText w:val="（%1）"/>
      <w:lvlJc w:val="left"/>
    </w:lvl>
  </w:abstractNum>
  <w:abstractNum w:abstractNumId="264">
    <w:nsid w:val="54CDCC98"/>
    <w:multiLevelType w:val="multilevel"/>
    <w:tmpl w:val="54CDCC98"/>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5">
    <w:nsid w:val="54F07015"/>
    <w:multiLevelType w:val="singleLevel"/>
    <w:tmpl w:val="54F07015"/>
    <w:lvl w:ilvl="0" w:tentative="0">
      <w:start w:val="1"/>
      <w:numFmt w:val="decimal"/>
      <w:suff w:val="nothing"/>
      <w:lvlText w:val="（%1）"/>
      <w:lvlJc w:val="left"/>
    </w:lvl>
  </w:abstractNum>
  <w:abstractNum w:abstractNumId="266">
    <w:nsid w:val="54FB5E73"/>
    <w:multiLevelType w:val="multilevel"/>
    <w:tmpl w:val="54FB5E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7">
    <w:nsid w:val="56972B87"/>
    <w:multiLevelType w:val="multilevel"/>
    <w:tmpl w:val="56972B87"/>
    <w:lvl w:ilvl="0" w:tentative="0">
      <w:start w:val="1"/>
      <w:numFmt w:val="decimal"/>
      <w:lvlText w:val="格式11-%1."/>
      <w:lvlJc w:val="left"/>
      <w:pPr>
        <w:ind w:left="420" w:hanging="420"/>
      </w:pPr>
      <w:rPr>
        <w:rFonts w:hint="eastAsia" w:ascii="宋体" w:hAnsi="宋体" w:eastAsia="宋体"/>
        <w:b/>
        <w:bCs/>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68">
    <w:nsid w:val="56C558EF"/>
    <w:multiLevelType w:val="multilevel"/>
    <w:tmpl w:val="56C558EF"/>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9">
    <w:nsid w:val="56DA39FA"/>
    <w:multiLevelType w:val="multilevel"/>
    <w:tmpl w:val="56DA39FA"/>
    <w:lvl w:ilvl="0" w:tentative="0">
      <w:start w:val="1"/>
      <w:numFmt w:val="decimal"/>
      <w:lvlText w:val="%1)"/>
      <w:lvlJc w:val="left"/>
      <w:pPr>
        <w:ind w:left="900" w:hanging="420"/>
      </w:pPr>
      <w:rPr>
        <w:rFonts w:asciiTheme="minorEastAsia" w:hAnsiTheme="minorEastAsia" w:eastAsiaTheme="minorEastAsia"/>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0">
    <w:nsid w:val="579DCD84"/>
    <w:multiLevelType w:val="multilevel"/>
    <w:tmpl w:val="579DCD84"/>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1">
    <w:nsid w:val="57C86FA4"/>
    <w:multiLevelType w:val="multilevel"/>
    <w:tmpl w:val="57C86FA4"/>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2">
    <w:nsid w:val="589F070C"/>
    <w:multiLevelType w:val="multilevel"/>
    <w:tmpl w:val="589F070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3">
    <w:nsid w:val="59A19316"/>
    <w:multiLevelType w:val="multilevel"/>
    <w:tmpl w:val="59A19316"/>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4">
    <w:nsid w:val="5C4DAF6E"/>
    <w:multiLevelType w:val="multilevel"/>
    <w:tmpl w:val="5C4DAF6E"/>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5">
    <w:nsid w:val="5CA3E08A"/>
    <w:multiLevelType w:val="singleLevel"/>
    <w:tmpl w:val="5CA3E08A"/>
    <w:lvl w:ilvl="0" w:tentative="0">
      <w:start w:val="1"/>
      <w:numFmt w:val="decimal"/>
      <w:suff w:val="nothing"/>
      <w:lvlText w:val="%1）"/>
      <w:lvlJc w:val="left"/>
    </w:lvl>
  </w:abstractNum>
  <w:abstractNum w:abstractNumId="276">
    <w:nsid w:val="5DDF0089"/>
    <w:multiLevelType w:val="multilevel"/>
    <w:tmpl w:val="5DDF0089"/>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7">
    <w:nsid w:val="5E2B89D1"/>
    <w:multiLevelType w:val="multilevel"/>
    <w:tmpl w:val="5E2B89D1"/>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8">
    <w:nsid w:val="5E941159"/>
    <w:multiLevelType w:val="multilevel"/>
    <w:tmpl w:val="5E941159"/>
    <w:lvl w:ilvl="0" w:tentative="0">
      <w:start w:val="1"/>
      <w:numFmt w:val="japaneseCounting"/>
      <w:lvlText w:val="第%1章"/>
      <w:lvlJc w:val="left"/>
      <w:pPr>
        <w:tabs>
          <w:tab w:val="left" w:pos="1647"/>
        </w:tabs>
        <w:ind w:left="1647" w:hanging="1080"/>
      </w:pPr>
      <w:rPr>
        <w:rFonts w:hint="default"/>
      </w:rPr>
    </w:lvl>
    <w:lvl w:ilvl="1" w:tentative="0">
      <w:start w:val="12"/>
      <w:numFmt w:val="decimal"/>
      <w:lvlText w:val="%2、"/>
      <w:lvlJc w:val="left"/>
      <w:pPr>
        <w:tabs>
          <w:tab w:val="left" w:pos="1407"/>
        </w:tabs>
        <w:ind w:left="1407" w:hanging="420"/>
      </w:pPr>
      <w:rPr>
        <w:rFonts w:hint="default"/>
      </w:r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279">
    <w:nsid w:val="5F2E7DEA"/>
    <w:multiLevelType w:val="multilevel"/>
    <w:tmpl w:val="5F2E7DEA"/>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0">
    <w:nsid w:val="5FCF50D6"/>
    <w:multiLevelType w:val="multilevel"/>
    <w:tmpl w:val="5FCF50D6"/>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1">
    <w:nsid w:val="60672A9C"/>
    <w:multiLevelType w:val="multilevel"/>
    <w:tmpl w:val="60672A9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2">
    <w:nsid w:val="6102E389"/>
    <w:multiLevelType w:val="singleLevel"/>
    <w:tmpl w:val="6102E389"/>
    <w:lvl w:ilvl="0" w:tentative="0">
      <w:start w:val="1"/>
      <w:numFmt w:val="decimal"/>
      <w:suff w:val="nothing"/>
      <w:lvlText w:val="（%1）"/>
      <w:lvlJc w:val="left"/>
    </w:lvl>
  </w:abstractNum>
  <w:abstractNum w:abstractNumId="283">
    <w:nsid w:val="6195A12A"/>
    <w:multiLevelType w:val="multilevel"/>
    <w:tmpl w:val="6195A12A"/>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4">
    <w:nsid w:val="61DD1915"/>
    <w:multiLevelType w:val="multilevel"/>
    <w:tmpl w:val="61DD1915"/>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5">
    <w:nsid w:val="61DF1C8B"/>
    <w:multiLevelType w:val="multilevel"/>
    <w:tmpl w:val="61DF1C8B"/>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6">
    <w:nsid w:val="623D81CC"/>
    <w:multiLevelType w:val="multilevel"/>
    <w:tmpl w:val="623D81C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7">
    <w:nsid w:val="62504321"/>
    <w:multiLevelType w:val="multilevel"/>
    <w:tmpl w:val="62504321"/>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8">
    <w:nsid w:val="62AE0922"/>
    <w:multiLevelType w:val="multilevel"/>
    <w:tmpl w:val="62AE0922"/>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9">
    <w:nsid w:val="66D7929F"/>
    <w:multiLevelType w:val="multilevel"/>
    <w:tmpl w:val="66D7929F"/>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0">
    <w:nsid w:val="6772808D"/>
    <w:multiLevelType w:val="multilevel"/>
    <w:tmpl w:val="6772808D"/>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1">
    <w:nsid w:val="68451142"/>
    <w:multiLevelType w:val="multilevel"/>
    <w:tmpl w:val="68451142"/>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2">
    <w:nsid w:val="68B9F6D9"/>
    <w:multiLevelType w:val="multilevel"/>
    <w:tmpl w:val="68B9F6D9"/>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3">
    <w:nsid w:val="693AF73A"/>
    <w:multiLevelType w:val="singleLevel"/>
    <w:tmpl w:val="693AF73A"/>
    <w:lvl w:ilvl="0" w:tentative="0">
      <w:start w:val="1"/>
      <w:numFmt w:val="decimal"/>
      <w:suff w:val="nothing"/>
      <w:lvlText w:val="（%1）"/>
      <w:lvlJc w:val="left"/>
    </w:lvl>
  </w:abstractNum>
  <w:abstractNum w:abstractNumId="294">
    <w:nsid w:val="697E6BC2"/>
    <w:multiLevelType w:val="multilevel"/>
    <w:tmpl w:val="697E6BC2"/>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5">
    <w:nsid w:val="69A7ED65"/>
    <w:multiLevelType w:val="singleLevel"/>
    <w:tmpl w:val="69A7ED65"/>
    <w:lvl w:ilvl="0" w:tentative="0">
      <w:start w:val="1"/>
      <w:numFmt w:val="decimal"/>
      <w:suff w:val="nothing"/>
      <w:lvlText w:val="（%1）"/>
      <w:lvlJc w:val="left"/>
    </w:lvl>
  </w:abstractNum>
  <w:abstractNum w:abstractNumId="296">
    <w:nsid w:val="6A18519C"/>
    <w:multiLevelType w:val="multilevel"/>
    <w:tmpl w:val="6A18519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7">
    <w:nsid w:val="6A407C9C"/>
    <w:multiLevelType w:val="multilevel"/>
    <w:tmpl w:val="6A407C9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8">
    <w:nsid w:val="6B597EF6"/>
    <w:multiLevelType w:val="multilevel"/>
    <w:tmpl w:val="6B597EF6"/>
    <w:lvl w:ilvl="0" w:tentative="0">
      <w:start w:val="1"/>
      <w:numFmt w:val="decimal"/>
      <w:lvlText w:val="%1)"/>
      <w:lvlJc w:val="left"/>
      <w:pPr>
        <w:ind w:left="420" w:hanging="420"/>
      </w:pPr>
      <w:rPr>
        <w:rFonts w:asciiTheme="minorEastAsia" w:hAnsiTheme="minorEastAsia" w:eastAsiaTheme="minor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9">
    <w:nsid w:val="6BBA0588"/>
    <w:multiLevelType w:val="multilevel"/>
    <w:tmpl w:val="6BBA0588"/>
    <w:lvl w:ilvl="0" w:tentative="0">
      <w:start w:val="1"/>
      <w:numFmt w:val="decimal"/>
      <w:lvlText w:val="%1)"/>
      <w:lvlJc w:val="left"/>
      <w:pPr>
        <w:ind w:left="900" w:hanging="420"/>
      </w:pPr>
      <w:rPr>
        <w:rFonts w:asciiTheme="minorEastAsia" w:hAnsiTheme="minorEastAsia" w:eastAsiaTheme="minorEastAsia"/>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0">
    <w:nsid w:val="6D5B2DD9"/>
    <w:multiLevelType w:val="multilevel"/>
    <w:tmpl w:val="6D5B2DD9"/>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1">
    <w:nsid w:val="6DB34A38"/>
    <w:multiLevelType w:val="multilevel"/>
    <w:tmpl w:val="6DB34A38"/>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2">
    <w:nsid w:val="6E47DF87"/>
    <w:multiLevelType w:val="multilevel"/>
    <w:tmpl w:val="6E47DF87"/>
    <w:lvl w:ilvl="0" w:tentative="0">
      <w:start w:val="1"/>
      <w:numFmt w:val="decimal"/>
      <w:suff w:val="space"/>
      <w:lvlText w:val="(%1)"/>
      <w:lvlJc w:val="left"/>
      <w:pPr>
        <w:ind w:left="0" w:firstLine="0"/>
      </w:pPr>
      <w:rPr>
        <w:rFonts w:hint="eastAsia" w:ascii="仿宋" w:hAnsi="仿宋" w:eastAsia="仿宋"/>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3">
    <w:nsid w:val="70C20AD7"/>
    <w:multiLevelType w:val="singleLevel"/>
    <w:tmpl w:val="70C20AD7"/>
    <w:lvl w:ilvl="0" w:tentative="0">
      <w:start w:val="1"/>
      <w:numFmt w:val="bullet"/>
      <w:lvlText w:val=""/>
      <w:lvlJc w:val="left"/>
      <w:pPr>
        <w:tabs>
          <w:tab w:val="left" w:pos="425"/>
        </w:tabs>
        <w:ind w:left="425" w:hanging="425"/>
      </w:pPr>
      <w:rPr>
        <w:rFonts w:hint="default" w:ascii="Wingdings" w:hAnsi="Wingdings"/>
      </w:rPr>
    </w:lvl>
  </w:abstractNum>
  <w:abstractNum w:abstractNumId="304">
    <w:nsid w:val="7125F7ED"/>
    <w:multiLevelType w:val="multilevel"/>
    <w:tmpl w:val="7125F7ED"/>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5">
    <w:nsid w:val="71431EAC"/>
    <w:multiLevelType w:val="singleLevel"/>
    <w:tmpl w:val="71431EAC"/>
    <w:lvl w:ilvl="0" w:tentative="0">
      <w:start w:val="1"/>
      <w:numFmt w:val="decimal"/>
      <w:suff w:val="nothing"/>
      <w:lvlText w:val="（%1）"/>
      <w:lvlJc w:val="left"/>
    </w:lvl>
  </w:abstractNum>
  <w:abstractNum w:abstractNumId="306">
    <w:nsid w:val="716C407C"/>
    <w:multiLevelType w:val="singleLevel"/>
    <w:tmpl w:val="716C407C"/>
    <w:lvl w:ilvl="0" w:tentative="0">
      <w:start w:val="1"/>
      <w:numFmt w:val="decimal"/>
      <w:suff w:val="nothing"/>
      <w:lvlText w:val="（%1）"/>
      <w:lvlJc w:val="left"/>
    </w:lvl>
  </w:abstractNum>
  <w:abstractNum w:abstractNumId="307">
    <w:nsid w:val="73450E1B"/>
    <w:multiLevelType w:val="multilevel"/>
    <w:tmpl w:val="73450E1B"/>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8">
    <w:nsid w:val="741BE39D"/>
    <w:multiLevelType w:val="multilevel"/>
    <w:tmpl w:val="741BE39D"/>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9">
    <w:nsid w:val="74693925"/>
    <w:multiLevelType w:val="multilevel"/>
    <w:tmpl w:val="74693925"/>
    <w:lvl w:ilvl="0" w:tentative="0">
      <w:start w:val="1"/>
      <w:numFmt w:val="decimal"/>
      <w:lvlText w:val="格式10-%1."/>
      <w:lvlJc w:val="left"/>
      <w:pPr>
        <w:ind w:left="420" w:hanging="420"/>
      </w:pPr>
      <w:rPr>
        <w:rFonts w:hint="eastAsia" w:ascii="宋体" w:hAnsi="宋体" w:eastAsia="宋体"/>
        <w:sz w:val="28"/>
        <w:szCs w:val="28"/>
      </w:rPr>
    </w:lvl>
    <w:lvl w:ilvl="1" w:tentative="0">
      <w:start w:val="1"/>
      <w:numFmt w:val="decimal"/>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10">
    <w:nsid w:val="746CF31C"/>
    <w:multiLevelType w:val="multilevel"/>
    <w:tmpl w:val="746CF31C"/>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1">
    <w:nsid w:val="75E117BF"/>
    <w:multiLevelType w:val="multilevel"/>
    <w:tmpl w:val="75E117BF"/>
    <w:lvl w:ilvl="0" w:tentative="0">
      <w:start w:val="4"/>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312">
    <w:nsid w:val="77FA75DD"/>
    <w:multiLevelType w:val="singleLevel"/>
    <w:tmpl w:val="77FA75DD"/>
    <w:lvl w:ilvl="0" w:tentative="0">
      <w:start w:val="1"/>
      <w:numFmt w:val="decimal"/>
      <w:suff w:val="nothing"/>
      <w:lvlText w:val="（%1）"/>
      <w:lvlJc w:val="left"/>
    </w:lvl>
  </w:abstractNum>
  <w:abstractNum w:abstractNumId="313">
    <w:nsid w:val="7849F6B8"/>
    <w:multiLevelType w:val="multilevel"/>
    <w:tmpl w:val="7849F6B8"/>
    <w:lvl w:ilvl="0" w:tentative="0">
      <w:start w:val="1"/>
      <w:numFmt w:val="chineseCountingThousand"/>
      <w:suff w:val="space"/>
      <w:lvlText w:val="第%1章."/>
      <w:lvlJc w:val="left"/>
      <w:pPr>
        <w:ind w:left="0" w:firstLine="0"/>
      </w:pPr>
      <w:rPr>
        <w:rFonts w:hint="eastAsia" w:eastAsia="仿宋_GB2312"/>
        <w:b w:val="0"/>
        <w:i w:val="0"/>
        <w:sz w:val="30"/>
      </w:rPr>
    </w:lvl>
    <w:lvl w:ilvl="1" w:tentative="0">
      <w:start w:val="1"/>
      <w:numFmt w:val="chineseCountingThousand"/>
      <w:suff w:val="space"/>
      <w:lvlText w:val="%2."/>
      <w:lvlJc w:val="left"/>
      <w:pPr>
        <w:ind w:left="0" w:firstLine="0"/>
      </w:pPr>
      <w:rPr>
        <w:rFonts w:hint="eastAsia" w:eastAsia="仿宋_GB2312"/>
        <w:b w:val="0"/>
        <w:i w:val="0"/>
        <w:sz w:val="28"/>
      </w:rPr>
    </w:lvl>
    <w:lvl w:ilvl="2" w:tentative="0">
      <w:start w:val="1"/>
      <w:numFmt w:val="decimal"/>
      <w:suff w:val="space"/>
      <w:lvlText w:val="%3."/>
      <w:lvlJc w:val="left"/>
      <w:pPr>
        <w:ind w:left="0" w:firstLine="0"/>
      </w:pPr>
      <w:rPr>
        <w:rFonts w:hint="eastAsia" w:eastAsia="仿宋_GB2312"/>
        <w:b w:val="0"/>
        <w:i w:val="0"/>
        <w:sz w:val="28"/>
      </w:rPr>
    </w:lvl>
    <w:lvl w:ilvl="3" w:tentative="0">
      <w:start w:val="1"/>
      <w:numFmt w:val="decimal"/>
      <w:suff w:val="space"/>
      <w:lvlText w:val="%3.%4."/>
      <w:lvlJc w:val="left"/>
      <w:pPr>
        <w:ind w:left="0" w:firstLine="0"/>
      </w:pPr>
      <w:rPr>
        <w:rFonts w:hint="eastAsia" w:eastAsia="仿宋_GB2312" w:cs="仿宋_GB2312"/>
        <w:b w:val="0"/>
        <w:i w:val="0"/>
        <w:sz w:val="28"/>
      </w:rPr>
    </w:lvl>
    <w:lvl w:ilvl="4" w:tentative="0">
      <w:start w:val="1"/>
      <w:numFmt w:val="decimal"/>
      <w:suff w:val="space"/>
      <w:lvlText w:val="%3.%4.%5."/>
      <w:lvlJc w:val="left"/>
      <w:pPr>
        <w:ind w:left="0" w:firstLine="0"/>
      </w:pPr>
      <w:rPr>
        <w:rFonts w:hint="eastAsia" w:eastAsia="仿宋_GB2312"/>
        <w:b w:val="0"/>
        <w:i w:val="0"/>
        <w:sz w:val="28"/>
      </w:rPr>
    </w:lvl>
    <w:lvl w:ilvl="5" w:tentative="0">
      <w:start w:val="1"/>
      <w:numFmt w:val="decimal"/>
      <w:suff w:val="space"/>
      <w:lvlText w:val="%3.%4.%5.%6."/>
      <w:lvlJc w:val="left"/>
      <w:pPr>
        <w:ind w:left="0" w:firstLine="0"/>
      </w:pPr>
      <w:rPr>
        <w:rFonts w:hint="eastAsia" w:eastAsia="仿宋_GB2312"/>
        <w:b w:val="0"/>
        <w:i w:val="0"/>
        <w:sz w:val="28"/>
      </w:rPr>
    </w:lvl>
    <w:lvl w:ilvl="6" w:tentative="0">
      <w:start w:val="1"/>
      <w:numFmt w:val="decimal"/>
      <w:suff w:val="space"/>
      <w:lvlText w:val="%3.%4.%5.%6.%7."/>
      <w:lvlJc w:val="left"/>
      <w:pPr>
        <w:ind w:left="0" w:firstLine="0"/>
      </w:pPr>
      <w:rPr>
        <w:rFonts w:hint="eastAsia" w:eastAsia="仿宋_GB2312"/>
        <w:b w:val="0"/>
        <w:i w:val="0"/>
        <w:sz w:val="28"/>
      </w:rPr>
    </w:lvl>
    <w:lvl w:ilvl="7" w:tentative="0">
      <w:start w:val="1"/>
      <w:numFmt w:val="decimal"/>
      <w:suff w:val="space"/>
      <w:lvlText w:val="(%8)."/>
      <w:lvlJc w:val="left"/>
      <w:pPr>
        <w:ind w:left="0" w:firstLine="0"/>
      </w:pPr>
      <w:rPr>
        <w:rFonts w:hint="eastAsia" w:eastAsia="仿宋_GB2312"/>
        <w:b w:val="0"/>
        <w:i w:val="0"/>
        <w:sz w:val="21"/>
        <w:szCs w:val="21"/>
      </w:rPr>
    </w:lvl>
    <w:lvl w:ilvl="8" w:tentative="0">
      <w:start w:val="1"/>
      <w:numFmt w:val="bullet"/>
      <w:suff w:val="space"/>
      <w:lvlText w:val=""/>
      <w:lvlJc w:val="left"/>
      <w:pPr>
        <w:ind w:left="0" w:firstLine="0"/>
      </w:pPr>
      <w:rPr>
        <w:rFonts w:hint="default" w:ascii="Symbol" w:hAnsi="Symbol"/>
        <w:color w:val="auto"/>
        <w:lang w:val="en-US"/>
      </w:rPr>
    </w:lvl>
  </w:abstractNum>
  <w:abstractNum w:abstractNumId="314">
    <w:nsid w:val="798E9DAA"/>
    <w:multiLevelType w:val="multilevel"/>
    <w:tmpl w:val="798E9DAA"/>
    <w:lvl w:ilvl="0" w:tentative="0">
      <w:start w:val="1"/>
      <w:numFmt w:val="decimal"/>
      <w:suff w:val="space"/>
      <w:lvlText w:val="(%1)"/>
      <w:lvlJc w:val="left"/>
      <w:pPr>
        <w:ind w:left="0" w:firstLine="0"/>
      </w:pPr>
      <w:rPr>
        <w:rFonts w:hint="eastAsia" w:ascii="仿宋" w:hAnsi="仿宋" w:eastAsia="仿宋"/>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5">
    <w:nsid w:val="7A1E2C1E"/>
    <w:multiLevelType w:val="multilevel"/>
    <w:tmpl w:val="7A1E2C1E"/>
    <w:lvl w:ilvl="0" w:tentative="0">
      <w:start w:val="1"/>
      <w:numFmt w:val="decimal"/>
      <w:lvlText w:val="%1."/>
      <w:lvlJc w:val="left"/>
      <w:pPr>
        <w:ind w:left="820" w:hanging="400"/>
      </w:pPr>
      <w:rPr>
        <w:rFonts w:hint="eastAsia"/>
      </w:rPr>
    </w:lvl>
    <w:lvl w:ilvl="1" w:tentative="0">
      <w:start w:val="1"/>
      <w:numFmt w:val="decimal"/>
      <w:lvlText w:val="%1.%2."/>
      <w:lvlJc w:val="left"/>
      <w:pPr>
        <w:ind w:left="820" w:hanging="400"/>
      </w:pPr>
      <w:rPr>
        <w:rFonts w:hint="eastAsia"/>
        <w:lang w:val="en-US"/>
      </w:rPr>
    </w:lvl>
    <w:lvl w:ilvl="2" w:tentative="0">
      <w:start w:val="1"/>
      <w:numFmt w:val="decimal"/>
      <w:lvlText w:val="%1.%2.%3."/>
      <w:lvlJc w:val="left"/>
      <w:pPr>
        <w:ind w:left="400" w:hanging="400"/>
      </w:pPr>
      <w:rPr>
        <w:rFonts w:hint="eastAsia"/>
      </w:rPr>
    </w:lvl>
    <w:lvl w:ilvl="3" w:tentative="0">
      <w:start w:val="1"/>
      <w:numFmt w:val="decimal"/>
      <w:lvlText w:val="%1.%2.%3.%4."/>
      <w:lvlJc w:val="left"/>
      <w:pPr>
        <w:ind w:left="1271" w:hanging="851"/>
      </w:pPr>
      <w:rPr>
        <w:rFonts w:hint="eastAsia"/>
      </w:rPr>
    </w:lvl>
    <w:lvl w:ilvl="4" w:tentative="0">
      <w:start w:val="1"/>
      <w:numFmt w:val="decimal"/>
      <w:lvlText w:val="%1.%2.%3.%4.%5."/>
      <w:lvlJc w:val="left"/>
      <w:pPr>
        <w:ind w:left="1412" w:hanging="992"/>
      </w:pPr>
      <w:rPr>
        <w:rFonts w:hint="eastAsia"/>
      </w:rPr>
    </w:lvl>
    <w:lvl w:ilvl="5" w:tentative="0">
      <w:start w:val="1"/>
      <w:numFmt w:val="decimal"/>
      <w:lvlText w:val="%1.%2.%3.%4.%5.%6."/>
      <w:lvlJc w:val="left"/>
      <w:pPr>
        <w:ind w:left="1554" w:hanging="1134"/>
      </w:pPr>
      <w:rPr>
        <w:rFonts w:hint="eastAsia"/>
      </w:rPr>
    </w:lvl>
    <w:lvl w:ilvl="6" w:tentative="0">
      <w:start w:val="1"/>
      <w:numFmt w:val="decimal"/>
      <w:lvlText w:val="%1.%2.%3.%4.%5.%6.%7."/>
      <w:lvlJc w:val="left"/>
      <w:pPr>
        <w:ind w:left="1696" w:hanging="1276"/>
      </w:pPr>
      <w:rPr>
        <w:rFonts w:hint="eastAsia"/>
      </w:rPr>
    </w:lvl>
    <w:lvl w:ilvl="7" w:tentative="0">
      <w:start w:val="1"/>
      <w:numFmt w:val="decimal"/>
      <w:lvlText w:val="%1.%2.%3.%4.%5.%6.%7.%8."/>
      <w:lvlJc w:val="left"/>
      <w:pPr>
        <w:ind w:left="1838" w:hanging="1418"/>
      </w:pPr>
      <w:rPr>
        <w:rFonts w:hint="eastAsia"/>
      </w:rPr>
    </w:lvl>
    <w:lvl w:ilvl="8" w:tentative="0">
      <w:start w:val="1"/>
      <w:numFmt w:val="decimal"/>
      <w:lvlText w:val="%1.%2.%3.%4.%5.%6.%7.%8.%9."/>
      <w:lvlJc w:val="left"/>
      <w:pPr>
        <w:ind w:left="1979" w:hanging="1559"/>
      </w:pPr>
      <w:rPr>
        <w:rFonts w:hint="eastAsia"/>
      </w:rPr>
    </w:lvl>
  </w:abstractNum>
  <w:abstractNum w:abstractNumId="316">
    <w:nsid w:val="7AA72299"/>
    <w:multiLevelType w:val="multilevel"/>
    <w:tmpl w:val="7AA72299"/>
    <w:lvl w:ilvl="0" w:tentative="0">
      <w:start w:val="1"/>
      <w:numFmt w:val="chineseCountingThousand"/>
      <w:suff w:val="space"/>
      <w:lvlText w:val="第%1章."/>
      <w:lvlJc w:val="left"/>
      <w:pPr>
        <w:ind w:left="0" w:firstLine="0"/>
      </w:pPr>
      <w:rPr>
        <w:rFonts w:hint="eastAsia" w:eastAsia="仿宋_GB2312"/>
        <w:b w:val="0"/>
        <w:i w:val="0"/>
        <w:sz w:val="30"/>
      </w:rPr>
    </w:lvl>
    <w:lvl w:ilvl="1" w:tentative="0">
      <w:start w:val="1"/>
      <w:numFmt w:val="chineseCountingThousand"/>
      <w:suff w:val="space"/>
      <w:lvlText w:val="%2."/>
      <w:lvlJc w:val="left"/>
      <w:pPr>
        <w:ind w:left="0" w:firstLine="0"/>
      </w:pPr>
      <w:rPr>
        <w:rFonts w:hint="eastAsia" w:eastAsia="仿宋_GB2312"/>
        <w:b w:val="0"/>
        <w:i w:val="0"/>
        <w:sz w:val="28"/>
      </w:rPr>
    </w:lvl>
    <w:lvl w:ilvl="2" w:tentative="0">
      <w:start w:val="1"/>
      <w:numFmt w:val="decimal"/>
      <w:suff w:val="space"/>
      <w:lvlText w:val="%3."/>
      <w:lvlJc w:val="left"/>
      <w:pPr>
        <w:ind w:left="0" w:firstLine="0"/>
      </w:pPr>
      <w:rPr>
        <w:rFonts w:hint="eastAsia" w:eastAsia="仿宋_GB2312"/>
        <w:b w:val="0"/>
        <w:i w:val="0"/>
        <w:sz w:val="28"/>
      </w:rPr>
    </w:lvl>
    <w:lvl w:ilvl="3" w:tentative="0">
      <w:start w:val="1"/>
      <w:numFmt w:val="decimal"/>
      <w:suff w:val="space"/>
      <w:lvlText w:val="%3.%4."/>
      <w:lvlJc w:val="left"/>
      <w:pPr>
        <w:ind w:left="0" w:firstLine="0"/>
      </w:pPr>
      <w:rPr>
        <w:rFonts w:hint="eastAsia" w:eastAsia="仿宋_GB2312" w:cs="仿宋_GB2312"/>
        <w:b w:val="0"/>
        <w:i w:val="0"/>
        <w:sz w:val="28"/>
      </w:rPr>
    </w:lvl>
    <w:lvl w:ilvl="4" w:tentative="0">
      <w:start w:val="1"/>
      <w:numFmt w:val="decimal"/>
      <w:suff w:val="space"/>
      <w:lvlText w:val="%3.%4.%5."/>
      <w:lvlJc w:val="left"/>
      <w:pPr>
        <w:ind w:left="0" w:firstLine="0"/>
      </w:pPr>
      <w:rPr>
        <w:rFonts w:hint="eastAsia" w:eastAsia="仿宋_GB2312"/>
        <w:b w:val="0"/>
        <w:i w:val="0"/>
        <w:sz w:val="28"/>
      </w:rPr>
    </w:lvl>
    <w:lvl w:ilvl="5" w:tentative="0">
      <w:start w:val="1"/>
      <w:numFmt w:val="decimal"/>
      <w:suff w:val="space"/>
      <w:lvlText w:val="%3.%4.%5.%6."/>
      <w:lvlJc w:val="left"/>
      <w:pPr>
        <w:ind w:left="0" w:firstLine="0"/>
      </w:pPr>
      <w:rPr>
        <w:rFonts w:hint="eastAsia" w:eastAsia="仿宋_GB2312"/>
        <w:b w:val="0"/>
        <w:i w:val="0"/>
        <w:sz w:val="28"/>
      </w:rPr>
    </w:lvl>
    <w:lvl w:ilvl="6" w:tentative="0">
      <w:start w:val="1"/>
      <w:numFmt w:val="decimal"/>
      <w:suff w:val="space"/>
      <w:lvlText w:val="%3.%4.%5.%6.%7."/>
      <w:lvlJc w:val="left"/>
      <w:pPr>
        <w:ind w:left="0" w:firstLine="0"/>
      </w:pPr>
      <w:rPr>
        <w:rFonts w:hint="eastAsia" w:eastAsia="仿宋_GB2312"/>
        <w:b w:val="0"/>
        <w:i w:val="0"/>
        <w:sz w:val="28"/>
      </w:rPr>
    </w:lvl>
    <w:lvl w:ilvl="7" w:tentative="0">
      <w:start w:val="1"/>
      <w:numFmt w:val="decimal"/>
      <w:suff w:val="space"/>
      <w:lvlText w:val="(%8)."/>
      <w:lvlJc w:val="left"/>
      <w:pPr>
        <w:ind w:left="0" w:firstLine="0"/>
      </w:pPr>
      <w:rPr>
        <w:rFonts w:hint="eastAsia" w:eastAsia="仿宋_GB2312"/>
        <w:b w:val="0"/>
        <w:i w:val="0"/>
        <w:sz w:val="28"/>
      </w:rPr>
    </w:lvl>
    <w:lvl w:ilvl="8" w:tentative="0">
      <w:start w:val="1"/>
      <w:numFmt w:val="bullet"/>
      <w:suff w:val="space"/>
      <w:lvlText w:val=""/>
      <w:lvlJc w:val="left"/>
      <w:pPr>
        <w:ind w:left="0" w:firstLine="0"/>
      </w:pPr>
      <w:rPr>
        <w:rFonts w:hint="default" w:ascii="Symbol" w:hAnsi="Symbol"/>
        <w:color w:val="auto"/>
        <w:lang w:val="en-US"/>
      </w:rPr>
    </w:lvl>
  </w:abstractNum>
  <w:abstractNum w:abstractNumId="317">
    <w:nsid w:val="7AAF869D"/>
    <w:multiLevelType w:val="multilevel"/>
    <w:tmpl w:val="7AAF869D"/>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8">
    <w:nsid w:val="7ABE233E"/>
    <w:multiLevelType w:val="singleLevel"/>
    <w:tmpl w:val="7ABE233E"/>
    <w:lvl w:ilvl="0" w:tentative="0">
      <w:start w:val="1"/>
      <w:numFmt w:val="bullet"/>
      <w:lvlText w:val=""/>
      <w:lvlJc w:val="left"/>
      <w:pPr>
        <w:tabs>
          <w:tab w:val="left" w:pos="425"/>
        </w:tabs>
        <w:ind w:left="425" w:hanging="425"/>
      </w:pPr>
      <w:rPr>
        <w:rFonts w:hint="default" w:ascii="Wingdings" w:hAnsi="Wingdings"/>
      </w:rPr>
    </w:lvl>
  </w:abstractNum>
  <w:abstractNum w:abstractNumId="319">
    <w:nsid w:val="7B6401C5"/>
    <w:multiLevelType w:val="multilevel"/>
    <w:tmpl w:val="7B6401C5"/>
    <w:lvl w:ilvl="0" w:tentative="0">
      <w:start w:val="1"/>
      <w:numFmt w:val="decimal"/>
      <w:lvlText w:val="%1)"/>
      <w:lvlJc w:val="left"/>
      <w:pPr>
        <w:ind w:left="420" w:hanging="420"/>
      </w:pPr>
      <w:rPr>
        <w:rFonts w:asciiTheme="minorEastAsia" w:hAnsiTheme="minorEastAsia" w:eastAsiaTheme="minor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0">
    <w:nsid w:val="7CF8D931"/>
    <w:multiLevelType w:val="multilevel"/>
    <w:tmpl w:val="7CF8D931"/>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1">
    <w:nsid w:val="7F109BBF"/>
    <w:multiLevelType w:val="multilevel"/>
    <w:tmpl w:val="7F109BBF"/>
    <w:lvl w:ilvl="0" w:tentative="0">
      <w:start w:val="1"/>
      <w:numFmt w:val="decimal"/>
      <w:suff w:val="space"/>
      <w:lvlText w:val="(%1)"/>
      <w:lvlJc w:val="left"/>
      <w:pPr>
        <w:ind w:left="0" w:firstLine="0"/>
      </w:pPr>
      <w:rPr>
        <w:rFonts w:hint="eastAsia" w:asciiTheme="minorEastAsia" w:hAnsiTheme="minorEastAsia" w:eastAsiaTheme="minorEastAsia"/>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2">
    <w:nsid w:val="7F5DCB8A"/>
    <w:multiLevelType w:val="singleLevel"/>
    <w:tmpl w:val="7F5DCB8A"/>
    <w:lvl w:ilvl="0" w:tentative="0">
      <w:start w:val="1"/>
      <w:numFmt w:val="decimal"/>
      <w:suff w:val="nothing"/>
      <w:lvlText w:val="（%1）"/>
      <w:lvlJc w:val="left"/>
    </w:lvl>
  </w:abstractNum>
  <w:num w:numId="1">
    <w:abstractNumId w:val="278"/>
    <w:lvlOverride w:ilvl="0">
      <w:startOverride w:val="1"/>
    </w:lvlOverride>
  </w:num>
  <w:num w:numId="2">
    <w:abstractNumId w:val="123"/>
  </w:num>
  <w:num w:numId="3">
    <w:abstractNumId w:val="242"/>
  </w:num>
  <w:num w:numId="4">
    <w:abstractNumId w:val="198"/>
  </w:num>
  <w:num w:numId="5">
    <w:abstractNumId w:val="288"/>
  </w:num>
  <w:num w:numId="6">
    <w:abstractNumId w:val="179"/>
  </w:num>
  <w:num w:numId="7">
    <w:abstractNumId w:val="218"/>
  </w:num>
  <w:num w:numId="8">
    <w:abstractNumId w:val="142"/>
  </w:num>
  <w:num w:numId="9">
    <w:abstractNumId w:val="186"/>
  </w:num>
  <w:num w:numId="10">
    <w:abstractNumId w:val="175"/>
  </w:num>
  <w:num w:numId="11">
    <w:abstractNumId w:val="232"/>
  </w:num>
  <w:num w:numId="12">
    <w:abstractNumId w:val="104"/>
  </w:num>
  <w:num w:numId="13">
    <w:abstractNumId w:val="216"/>
  </w:num>
  <w:num w:numId="14">
    <w:abstractNumId w:val="219"/>
  </w:num>
  <w:num w:numId="15">
    <w:abstractNumId w:val="107"/>
  </w:num>
  <w:num w:numId="16">
    <w:abstractNumId w:val="196"/>
  </w:num>
  <w:num w:numId="17">
    <w:abstractNumId w:val="301"/>
  </w:num>
  <w:num w:numId="18">
    <w:abstractNumId w:val="203"/>
  </w:num>
  <w:num w:numId="19">
    <w:abstractNumId w:val="192"/>
  </w:num>
  <w:num w:numId="20">
    <w:abstractNumId w:val="276"/>
  </w:num>
  <w:num w:numId="21">
    <w:abstractNumId w:val="280"/>
  </w:num>
  <w:num w:numId="22">
    <w:abstractNumId w:val="284"/>
  </w:num>
  <w:num w:numId="23">
    <w:abstractNumId w:val="178"/>
  </w:num>
  <w:num w:numId="24">
    <w:abstractNumId w:val="152"/>
  </w:num>
  <w:num w:numId="25">
    <w:abstractNumId w:val="191"/>
  </w:num>
  <w:num w:numId="26">
    <w:abstractNumId w:val="62"/>
  </w:num>
  <w:num w:numId="27">
    <w:abstractNumId w:val="32"/>
  </w:num>
  <w:num w:numId="28">
    <w:abstractNumId w:val="42"/>
  </w:num>
  <w:num w:numId="29">
    <w:abstractNumId w:val="317"/>
  </w:num>
  <w:num w:numId="30">
    <w:abstractNumId w:val="132"/>
  </w:num>
  <w:num w:numId="31">
    <w:abstractNumId w:val="25"/>
  </w:num>
  <w:num w:numId="32">
    <w:abstractNumId w:val="188"/>
  </w:num>
  <w:num w:numId="33">
    <w:abstractNumId w:val="56"/>
  </w:num>
  <w:num w:numId="34">
    <w:abstractNumId w:val="321"/>
  </w:num>
  <w:num w:numId="35">
    <w:abstractNumId w:val="89"/>
  </w:num>
  <w:num w:numId="36">
    <w:abstractNumId w:val="102"/>
  </w:num>
  <w:num w:numId="37">
    <w:abstractNumId w:val="170"/>
  </w:num>
  <w:num w:numId="38">
    <w:abstractNumId w:val="227"/>
  </w:num>
  <w:num w:numId="39">
    <w:abstractNumId w:val="40"/>
  </w:num>
  <w:num w:numId="40">
    <w:abstractNumId w:val="21"/>
  </w:num>
  <w:num w:numId="41">
    <w:abstractNumId w:val="86"/>
  </w:num>
  <w:num w:numId="42">
    <w:abstractNumId w:val="67"/>
  </w:num>
  <w:num w:numId="43">
    <w:abstractNumId w:val="166"/>
  </w:num>
  <w:num w:numId="44">
    <w:abstractNumId w:val="112"/>
  </w:num>
  <w:num w:numId="45">
    <w:abstractNumId w:val="264"/>
  </w:num>
  <w:num w:numId="46">
    <w:abstractNumId w:val="114"/>
  </w:num>
  <w:num w:numId="47">
    <w:abstractNumId w:val="83"/>
  </w:num>
  <w:num w:numId="48">
    <w:abstractNumId w:val="201"/>
  </w:num>
  <w:num w:numId="49">
    <w:abstractNumId w:val="176"/>
  </w:num>
  <w:num w:numId="50">
    <w:abstractNumId w:val="273"/>
  </w:num>
  <w:num w:numId="51">
    <w:abstractNumId w:val="46"/>
  </w:num>
  <w:num w:numId="52">
    <w:abstractNumId w:val="258"/>
  </w:num>
  <w:num w:numId="53">
    <w:abstractNumId w:val="289"/>
  </w:num>
  <w:num w:numId="54">
    <w:abstractNumId w:val="111"/>
  </w:num>
  <w:num w:numId="55">
    <w:abstractNumId w:val="197"/>
  </w:num>
  <w:num w:numId="56">
    <w:abstractNumId w:val="70"/>
  </w:num>
  <w:num w:numId="57">
    <w:abstractNumId w:val="230"/>
  </w:num>
  <w:num w:numId="58">
    <w:abstractNumId w:val="262"/>
  </w:num>
  <w:num w:numId="59">
    <w:abstractNumId w:val="299"/>
  </w:num>
  <w:num w:numId="60">
    <w:abstractNumId w:val="252"/>
  </w:num>
  <w:num w:numId="61">
    <w:abstractNumId w:val="250"/>
  </w:num>
  <w:num w:numId="62">
    <w:abstractNumId w:val="269"/>
  </w:num>
  <w:num w:numId="63">
    <w:abstractNumId w:val="134"/>
  </w:num>
  <w:num w:numId="64">
    <w:abstractNumId w:val="85"/>
  </w:num>
  <w:num w:numId="65">
    <w:abstractNumId w:val="106"/>
  </w:num>
  <w:num w:numId="66">
    <w:abstractNumId w:val="171"/>
  </w:num>
  <w:num w:numId="67">
    <w:abstractNumId w:val="98"/>
  </w:num>
  <w:num w:numId="68">
    <w:abstractNumId w:val="58"/>
  </w:num>
  <w:num w:numId="69">
    <w:abstractNumId w:val="44"/>
  </w:num>
  <w:num w:numId="70">
    <w:abstractNumId w:val="13"/>
  </w:num>
  <w:num w:numId="71">
    <w:abstractNumId w:val="156"/>
  </w:num>
  <w:num w:numId="72">
    <w:abstractNumId w:val="105"/>
  </w:num>
  <w:num w:numId="73">
    <w:abstractNumId w:val="97"/>
  </w:num>
  <w:num w:numId="74">
    <w:abstractNumId w:val="22"/>
  </w:num>
  <w:num w:numId="75">
    <w:abstractNumId w:val="115"/>
  </w:num>
  <w:num w:numId="76">
    <w:abstractNumId w:val="310"/>
  </w:num>
  <w:num w:numId="77">
    <w:abstractNumId w:val="19"/>
  </w:num>
  <w:num w:numId="78">
    <w:abstractNumId w:val="235"/>
  </w:num>
  <w:num w:numId="79">
    <w:abstractNumId w:val="223"/>
  </w:num>
  <w:num w:numId="80">
    <w:abstractNumId w:val="90"/>
  </w:num>
  <w:num w:numId="81">
    <w:abstractNumId w:val="286"/>
  </w:num>
  <w:num w:numId="82">
    <w:abstractNumId w:val="99"/>
  </w:num>
  <w:num w:numId="83">
    <w:abstractNumId w:val="81"/>
  </w:num>
  <w:num w:numId="84">
    <w:abstractNumId w:val="220"/>
  </w:num>
  <w:num w:numId="85">
    <w:abstractNumId w:val="217"/>
  </w:num>
  <w:num w:numId="86">
    <w:abstractNumId w:val="60"/>
  </w:num>
  <w:num w:numId="87">
    <w:abstractNumId w:val="300"/>
  </w:num>
  <w:num w:numId="88">
    <w:abstractNumId w:val="150"/>
  </w:num>
  <w:num w:numId="89">
    <w:abstractNumId w:val="254"/>
  </w:num>
  <w:num w:numId="90">
    <w:abstractNumId w:val="91"/>
  </w:num>
  <w:num w:numId="91">
    <w:abstractNumId w:val="272"/>
  </w:num>
  <w:num w:numId="92">
    <w:abstractNumId w:val="144"/>
  </w:num>
  <w:num w:numId="93">
    <w:abstractNumId w:val="240"/>
  </w:num>
  <w:num w:numId="94">
    <w:abstractNumId w:val="271"/>
  </w:num>
  <w:num w:numId="95">
    <w:abstractNumId w:val="11"/>
  </w:num>
  <w:num w:numId="96">
    <w:abstractNumId w:val="183"/>
  </w:num>
  <w:num w:numId="97">
    <w:abstractNumId w:val="205"/>
  </w:num>
  <w:num w:numId="98">
    <w:abstractNumId w:val="296"/>
  </w:num>
  <w:num w:numId="99">
    <w:abstractNumId w:val="245"/>
  </w:num>
  <w:num w:numId="100">
    <w:abstractNumId w:val="116"/>
  </w:num>
  <w:num w:numId="101">
    <w:abstractNumId w:val="24"/>
  </w:num>
  <w:num w:numId="102">
    <w:abstractNumId w:val="193"/>
  </w:num>
  <w:num w:numId="103">
    <w:abstractNumId w:val="182"/>
  </w:num>
  <w:num w:numId="104">
    <w:abstractNumId w:val="108"/>
  </w:num>
  <w:num w:numId="105">
    <w:abstractNumId w:val="308"/>
  </w:num>
  <w:num w:numId="106">
    <w:abstractNumId w:val="95"/>
  </w:num>
  <w:num w:numId="107">
    <w:abstractNumId w:val="27"/>
  </w:num>
  <w:num w:numId="108">
    <w:abstractNumId w:val="174"/>
  </w:num>
  <w:num w:numId="109">
    <w:abstractNumId w:val="23"/>
  </w:num>
  <w:num w:numId="110">
    <w:abstractNumId w:val="140"/>
  </w:num>
  <w:num w:numId="111">
    <w:abstractNumId w:val="43"/>
  </w:num>
  <w:num w:numId="112">
    <w:abstractNumId w:val="88"/>
  </w:num>
  <w:num w:numId="113">
    <w:abstractNumId w:val="0"/>
  </w:num>
  <w:num w:numId="114">
    <w:abstractNumId w:val="37"/>
  </w:num>
  <w:num w:numId="115">
    <w:abstractNumId w:val="222"/>
  </w:num>
  <w:num w:numId="116">
    <w:abstractNumId w:val="3"/>
  </w:num>
  <w:num w:numId="117">
    <w:abstractNumId w:val="241"/>
  </w:num>
  <w:num w:numId="118">
    <w:abstractNumId w:val="239"/>
  </w:num>
  <w:num w:numId="119">
    <w:abstractNumId w:val="291"/>
  </w:num>
  <w:num w:numId="120">
    <w:abstractNumId w:val="297"/>
  </w:num>
  <w:num w:numId="121">
    <w:abstractNumId w:val="283"/>
  </w:num>
  <w:num w:numId="122">
    <w:abstractNumId w:val="26"/>
  </w:num>
  <w:num w:numId="123">
    <w:abstractNumId w:val="69"/>
  </w:num>
  <w:num w:numId="124">
    <w:abstractNumId w:val="74"/>
  </w:num>
  <w:num w:numId="125">
    <w:abstractNumId w:val="96"/>
  </w:num>
  <w:num w:numId="126">
    <w:abstractNumId w:val="169"/>
  </w:num>
  <w:num w:numId="127">
    <w:abstractNumId w:val="2"/>
  </w:num>
  <w:num w:numId="128">
    <w:abstractNumId w:val="164"/>
  </w:num>
  <w:num w:numId="129">
    <w:abstractNumId w:val="64"/>
  </w:num>
  <w:num w:numId="130">
    <w:abstractNumId w:val="229"/>
  </w:num>
  <w:num w:numId="131">
    <w:abstractNumId w:val="316"/>
    <w:lvlOverride w:ilvl="0">
      <w:lvl w:ilvl="0" w:tentative="1">
        <w:start w:val="1"/>
        <w:numFmt w:val="chineseCountingThousand"/>
        <w:suff w:val="space"/>
        <w:lvlText w:val="第%1章."/>
        <w:lvlJc w:val="left"/>
        <w:pPr>
          <w:ind w:left="0" w:firstLine="0"/>
        </w:pPr>
        <w:rPr>
          <w:rFonts w:hint="eastAsia" w:eastAsia="仿宋_GB2312"/>
          <w:b/>
          <w:bCs/>
          <w:i w:val="0"/>
          <w:sz w:val="30"/>
        </w:rPr>
      </w:lvl>
    </w:lvlOverride>
    <w:lvlOverride w:ilvl="1">
      <w:lvl w:ilvl="1" w:tentative="1">
        <w:start w:val="1"/>
        <w:numFmt w:val="chineseCountingThousand"/>
        <w:suff w:val="space"/>
        <w:lvlText w:val="%2."/>
        <w:lvlJc w:val="left"/>
        <w:pPr>
          <w:ind w:left="0" w:firstLine="0"/>
        </w:pPr>
        <w:rPr>
          <w:rFonts w:hint="eastAsia" w:eastAsia="仿宋_GB2312"/>
          <w:b/>
          <w:bCs/>
          <w:i w:val="0"/>
          <w:sz w:val="28"/>
        </w:rPr>
      </w:lvl>
    </w:lvlOverride>
    <w:lvlOverride w:ilvl="2">
      <w:lvl w:ilvl="2" w:tentative="1">
        <w:start w:val="1"/>
        <w:numFmt w:val="chineseCountingThousand"/>
        <w:suff w:val="space"/>
        <w:lvlText w:val="(%3)"/>
        <w:lvlJc w:val="left"/>
        <w:pPr>
          <w:ind w:left="0" w:firstLine="0"/>
        </w:pPr>
        <w:rPr>
          <w:rFonts w:hint="eastAsia" w:eastAsia="仿宋_GB2312"/>
          <w:b w:val="0"/>
          <w:i w:val="0"/>
          <w:sz w:val="28"/>
        </w:rPr>
      </w:lvl>
    </w:lvlOverride>
    <w:lvlOverride w:ilvl="3">
      <w:lvl w:ilvl="3" w:tentative="1">
        <w:start w:val="1"/>
        <w:numFmt w:val="decimal"/>
        <w:suff w:val="space"/>
        <w:lvlText w:val="%4."/>
        <w:lvlJc w:val="left"/>
        <w:pPr>
          <w:ind w:left="0" w:firstLine="0"/>
        </w:pPr>
        <w:rPr>
          <w:rFonts w:hint="eastAsia" w:eastAsia="仿宋_GB2312" w:cs="仿宋_GB2312"/>
          <w:b w:val="0"/>
          <w:i w:val="0"/>
          <w:sz w:val="28"/>
        </w:rPr>
      </w:lvl>
    </w:lvlOverride>
    <w:lvlOverride w:ilvl="4">
      <w:lvl w:ilvl="4" w:tentative="1">
        <w:start w:val="1"/>
        <w:numFmt w:val="decimal"/>
        <w:suff w:val="space"/>
        <w:lvlText w:val="%4.%5."/>
        <w:lvlJc w:val="left"/>
        <w:pPr>
          <w:ind w:left="0" w:firstLine="0"/>
        </w:pPr>
        <w:rPr>
          <w:rFonts w:hint="eastAsia" w:eastAsia="仿宋_GB2312"/>
          <w:b w:val="0"/>
          <w:i w:val="0"/>
          <w:sz w:val="28"/>
        </w:rPr>
      </w:lvl>
    </w:lvlOverride>
    <w:lvlOverride w:ilvl="5">
      <w:lvl w:ilvl="5" w:tentative="1">
        <w:start w:val="1"/>
        <w:numFmt w:val="decimal"/>
        <w:suff w:val="space"/>
        <w:lvlText w:val="%4.%5.%6."/>
        <w:lvlJc w:val="left"/>
        <w:pPr>
          <w:ind w:left="0" w:firstLine="0"/>
        </w:pPr>
        <w:rPr>
          <w:rFonts w:hint="eastAsia" w:eastAsia="仿宋_GB2312"/>
          <w:b w:val="0"/>
          <w:i w:val="0"/>
          <w:sz w:val="28"/>
        </w:rPr>
      </w:lvl>
    </w:lvlOverride>
    <w:lvlOverride w:ilvl="6">
      <w:lvl w:ilvl="6" w:tentative="1">
        <w:start w:val="1"/>
        <w:numFmt w:val="decimal"/>
        <w:suff w:val="space"/>
        <w:lvlText w:val="%4.%5.%6.%7."/>
        <w:lvlJc w:val="left"/>
        <w:pPr>
          <w:ind w:left="0" w:firstLine="0"/>
        </w:pPr>
        <w:rPr>
          <w:rFonts w:hint="eastAsia" w:eastAsia="仿宋_GB2312"/>
          <w:b w:val="0"/>
          <w:i w:val="0"/>
          <w:sz w:val="28"/>
        </w:rPr>
      </w:lvl>
    </w:lvlOverride>
    <w:lvlOverride w:ilvl="7">
      <w:lvl w:ilvl="7" w:tentative="1">
        <w:start w:val="1"/>
        <w:numFmt w:val="decimal"/>
        <w:suff w:val="space"/>
        <w:lvlText w:val="(%8)"/>
        <w:lvlJc w:val="left"/>
        <w:pPr>
          <w:ind w:left="0" w:firstLine="0"/>
        </w:pPr>
        <w:rPr>
          <w:rFonts w:hint="eastAsia" w:eastAsia="仿宋_GB2312"/>
          <w:b w:val="0"/>
          <w:i w:val="0"/>
          <w:sz w:val="28"/>
        </w:rPr>
      </w:lvl>
    </w:lvlOverride>
    <w:lvlOverride w:ilvl="8">
      <w:lvl w:ilvl="8" w:tentative="1">
        <w:start w:val="1"/>
        <w:numFmt w:val="bullet"/>
        <w:suff w:val="space"/>
        <w:lvlText w:val=""/>
        <w:lvlJc w:val="left"/>
        <w:pPr>
          <w:ind w:left="0" w:firstLine="0"/>
        </w:pPr>
        <w:rPr>
          <w:rFonts w:hint="default" w:ascii="Wingdings" w:hAnsi="Wingdings"/>
        </w:rPr>
      </w:lvl>
    </w:lvlOverride>
  </w:num>
  <w:num w:numId="132">
    <w:abstractNumId w:val="92"/>
  </w:num>
  <w:num w:numId="133">
    <w:abstractNumId w:val="119"/>
  </w:num>
  <w:num w:numId="134">
    <w:abstractNumId w:val="244"/>
  </w:num>
  <w:num w:numId="135">
    <w:abstractNumId w:val="10"/>
  </w:num>
  <w:num w:numId="136">
    <w:abstractNumId w:val="187"/>
  </w:num>
  <w:num w:numId="137">
    <w:abstractNumId w:val="208"/>
  </w:num>
  <w:num w:numId="138">
    <w:abstractNumId w:val="117"/>
  </w:num>
  <w:num w:numId="139">
    <w:abstractNumId w:val="71"/>
  </w:num>
  <w:num w:numId="140">
    <w:abstractNumId w:val="18"/>
  </w:num>
  <w:num w:numId="141">
    <w:abstractNumId w:val="202"/>
  </w:num>
  <w:num w:numId="142">
    <w:abstractNumId w:val="213"/>
  </w:num>
  <w:num w:numId="143">
    <w:abstractNumId w:val="52"/>
  </w:num>
  <w:num w:numId="144">
    <w:abstractNumId w:val="130"/>
  </w:num>
  <w:num w:numId="145">
    <w:abstractNumId w:val="281"/>
  </w:num>
  <w:num w:numId="146">
    <w:abstractNumId w:val="163"/>
  </w:num>
  <w:num w:numId="147">
    <w:abstractNumId w:val="320"/>
  </w:num>
  <w:num w:numId="148">
    <w:abstractNumId w:val="313"/>
  </w:num>
  <w:num w:numId="149">
    <w:abstractNumId w:val="61"/>
  </w:num>
  <w:num w:numId="150">
    <w:abstractNumId w:val="260"/>
  </w:num>
  <w:num w:numId="151">
    <w:abstractNumId w:val="224"/>
  </w:num>
  <w:num w:numId="152">
    <w:abstractNumId w:val="234"/>
  </w:num>
  <w:num w:numId="153">
    <w:abstractNumId w:val="261"/>
  </w:num>
  <w:num w:numId="154">
    <w:abstractNumId w:val="34"/>
  </w:num>
  <w:num w:numId="155">
    <w:abstractNumId w:val="199"/>
  </w:num>
  <w:num w:numId="156">
    <w:abstractNumId w:val="129"/>
  </w:num>
  <w:num w:numId="157">
    <w:abstractNumId w:val="266"/>
  </w:num>
  <w:num w:numId="158">
    <w:abstractNumId w:val="167"/>
  </w:num>
  <w:num w:numId="159">
    <w:abstractNumId w:val="9"/>
  </w:num>
  <w:num w:numId="160">
    <w:abstractNumId w:val="14"/>
  </w:num>
  <w:num w:numId="161">
    <w:abstractNumId w:val="53"/>
  </w:num>
  <w:num w:numId="162">
    <w:abstractNumId w:val="209"/>
  </w:num>
  <w:num w:numId="163">
    <w:abstractNumId w:val="154"/>
  </w:num>
  <w:num w:numId="164">
    <w:abstractNumId w:val="120"/>
  </w:num>
  <w:num w:numId="165">
    <w:abstractNumId w:val="82"/>
  </w:num>
  <w:num w:numId="166">
    <w:abstractNumId w:val="51"/>
  </w:num>
  <w:num w:numId="167">
    <w:abstractNumId w:val="93"/>
  </w:num>
  <w:num w:numId="168">
    <w:abstractNumId w:val="165"/>
  </w:num>
  <w:num w:numId="169">
    <w:abstractNumId w:val="101"/>
  </w:num>
  <w:num w:numId="170">
    <w:abstractNumId w:val="190"/>
  </w:num>
  <w:num w:numId="171">
    <w:abstractNumId w:val="304"/>
  </w:num>
  <w:num w:numId="172">
    <w:abstractNumId w:val="307"/>
  </w:num>
  <w:num w:numId="173">
    <w:abstractNumId w:val="184"/>
  </w:num>
  <w:num w:numId="174">
    <w:abstractNumId w:val="31"/>
  </w:num>
  <w:num w:numId="175">
    <w:abstractNumId w:val="76"/>
  </w:num>
  <w:num w:numId="176">
    <w:abstractNumId w:val="125"/>
  </w:num>
  <w:num w:numId="177">
    <w:abstractNumId w:val="255"/>
  </w:num>
  <w:num w:numId="178">
    <w:abstractNumId w:val="185"/>
  </w:num>
  <w:num w:numId="179">
    <w:abstractNumId w:val="12"/>
  </w:num>
  <w:num w:numId="180">
    <w:abstractNumId w:val="268"/>
  </w:num>
  <w:num w:numId="181">
    <w:abstractNumId w:val="47"/>
  </w:num>
  <w:num w:numId="182">
    <w:abstractNumId w:val="50"/>
  </w:num>
  <w:num w:numId="183">
    <w:abstractNumId w:val="141"/>
  </w:num>
  <w:num w:numId="184">
    <w:abstractNumId w:val="162"/>
  </w:num>
  <w:num w:numId="185">
    <w:abstractNumId w:val="206"/>
  </w:num>
  <w:num w:numId="186">
    <w:abstractNumId w:val="210"/>
  </w:num>
  <w:num w:numId="187">
    <w:abstractNumId w:val="145"/>
  </w:num>
  <w:num w:numId="188">
    <w:abstractNumId w:val="319"/>
  </w:num>
  <w:num w:numId="189">
    <w:abstractNumId w:val="237"/>
  </w:num>
  <w:num w:numId="190">
    <w:abstractNumId w:val="298"/>
  </w:num>
  <w:num w:numId="191">
    <w:abstractNumId w:val="318"/>
  </w:num>
  <w:num w:numId="192">
    <w:abstractNumId w:val="303"/>
  </w:num>
  <w:num w:numId="193">
    <w:abstractNumId w:val="215"/>
  </w:num>
  <w:num w:numId="194">
    <w:abstractNumId w:val="148"/>
  </w:num>
  <w:num w:numId="195">
    <w:abstractNumId w:val="49"/>
  </w:num>
  <w:num w:numId="196">
    <w:abstractNumId w:val="251"/>
  </w:num>
  <w:num w:numId="197">
    <w:abstractNumId w:val="226"/>
  </w:num>
  <w:num w:numId="198">
    <w:abstractNumId w:val="189"/>
  </w:num>
  <w:num w:numId="199">
    <w:abstractNumId w:val="253"/>
  </w:num>
  <w:num w:numId="200">
    <w:abstractNumId w:val="157"/>
  </w:num>
  <w:num w:numId="201">
    <w:abstractNumId w:val="259"/>
  </w:num>
  <w:num w:numId="202">
    <w:abstractNumId w:val="314"/>
  </w:num>
  <w:num w:numId="203">
    <w:abstractNumId w:val="7"/>
  </w:num>
  <w:num w:numId="204">
    <w:abstractNumId w:val="133"/>
  </w:num>
  <w:num w:numId="205">
    <w:abstractNumId w:val="292"/>
  </w:num>
  <w:num w:numId="206">
    <w:abstractNumId w:val="212"/>
  </w:num>
  <w:num w:numId="207">
    <w:abstractNumId w:val="84"/>
  </w:num>
  <w:num w:numId="208">
    <w:abstractNumId w:val="177"/>
  </w:num>
  <w:num w:numId="209">
    <w:abstractNumId w:val="159"/>
  </w:num>
  <w:num w:numId="21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43"/>
  </w:num>
  <w:num w:numId="212">
    <w:abstractNumId w:val="59"/>
  </w:num>
  <w:num w:numId="213">
    <w:abstractNumId w:val="146"/>
  </w:num>
  <w:num w:numId="214">
    <w:abstractNumId w:val="160"/>
  </w:num>
  <w:num w:numId="215">
    <w:abstractNumId w:val="248"/>
  </w:num>
  <w:num w:numId="216">
    <w:abstractNumId w:val="41"/>
  </w:num>
  <w:num w:numId="217">
    <w:abstractNumId w:val="33"/>
  </w:num>
  <w:num w:numId="218">
    <w:abstractNumId w:val="8"/>
  </w:num>
  <w:num w:numId="219">
    <w:abstractNumId w:val="63"/>
  </w:num>
  <w:num w:numId="220">
    <w:abstractNumId w:val="29"/>
  </w:num>
  <w:num w:numId="221">
    <w:abstractNumId w:val="66"/>
  </w:num>
  <w:num w:numId="222">
    <w:abstractNumId w:val="294"/>
  </w:num>
  <w:num w:numId="223">
    <w:abstractNumId w:val="80"/>
  </w:num>
  <w:num w:numId="224">
    <w:abstractNumId w:val="16"/>
  </w:num>
  <w:num w:numId="225">
    <w:abstractNumId w:val="256"/>
  </w:num>
  <w:num w:numId="226">
    <w:abstractNumId w:val="153"/>
  </w:num>
  <w:num w:numId="227">
    <w:abstractNumId w:val="45"/>
  </w:num>
  <w:num w:numId="228">
    <w:abstractNumId w:val="139"/>
  </w:num>
  <w:num w:numId="229">
    <w:abstractNumId w:val="302"/>
  </w:num>
  <w:num w:numId="230">
    <w:abstractNumId w:val="279"/>
  </w:num>
  <w:num w:numId="231">
    <w:abstractNumId w:val="200"/>
  </w:num>
  <w:num w:numId="232">
    <w:abstractNumId w:val="247"/>
  </w:num>
  <w:num w:numId="233">
    <w:abstractNumId w:val="121"/>
  </w:num>
  <w:num w:numId="234">
    <w:abstractNumId w:val="238"/>
  </w:num>
  <w:num w:numId="235">
    <w:abstractNumId w:val="158"/>
  </w:num>
  <w:num w:numId="236">
    <w:abstractNumId w:val="78"/>
  </w:num>
  <w:num w:numId="237">
    <w:abstractNumId w:val="155"/>
  </w:num>
  <w:num w:numId="238">
    <w:abstractNumId w:val="72"/>
  </w:num>
  <w:num w:numId="239">
    <w:abstractNumId w:val="124"/>
  </w:num>
  <w:num w:numId="240">
    <w:abstractNumId w:val="127"/>
  </w:num>
  <w:num w:numId="241">
    <w:abstractNumId w:val="246"/>
  </w:num>
  <w:num w:numId="242">
    <w:abstractNumId w:val="65"/>
  </w:num>
  <w:num w:numId="243">
    <w:abstractNumId w:val="195"/>
  </w:num>
  <w:num w:numId="244">
    <w:abstractNumId w:val="75"/>
  </w:num>
  <w:num w:numId="245">
    <w:abstractNumId w:val="30"/>
  </w:num>
  <w:num w:numId="246">
    <w:abstractNumId w:val="277"/>
  </w:num>
  <w:num w:numId="247">
    <w:abstractNumId w:val="290"/>
  </w:num>
  <w:num w:numId="248">
    <w:abstractNumId w:val="137"/>
  </w:num>
  <w:num w:numId="249">
    <w:abstractNumId w:val="214"/>
  </w:num>
  <w:num w:numId="250">
    <w:abstractNumId w:val="110"/>
  </w:num>
  <w:num w:numId="251">
    <w:abstractNumId w:val="100"/>
  </w:num>
  <w:num w:numId="252">
    <w:abstractNumId w:val="138"/>
  </w:num>
  <w:num w:numId="253">
    <w:abstractNumId w:val="131"/>
  </w:num>
  <w:num w:numId="254">
    <w:abstractNumId w:val="275"/>
  </w:num>
  <w:num w:numId="255">
    <w:abstractNumId w:val="147"/>
  </w:num>
  <w:num w:numId="256">
    <w:abstractNumId w:val="270"/>
  </w:num>
  <w:num w:numId="257">
    <w:abstractNumId w:val="17"/>
  </w:num>
  <w:num w:numId="258">
    <w:abstractNumId w:val="73"/>
  </w:num>
  <w:num w:numId="259">
    <w:abstractNumId w:val="287"/>
  </w:num>
  <w:num w:numId="260">
    <w:abstractNumId w:val="57"/>
  </w:num>
  <w:num w:numId="261">
    <w:abstractNumId w:val="6"/>
  </w:num>
  <w:num w:numId="262">
    <w:abstractNumId w:val="274"/>
  </w:num>
  <w:num w:numId="263">
    <w:abstractNumId w:val="285"/>
  </w:num>
  <w:num w:numId="264">
    <w:abstractNumId w:val="28"/>
  </w:num>
  <w:num w:numId="265">
    <w:abstractNumId w:val="1"/>
  </w:num>
  <w:num w:numId="266">
    <w:abstractNumId w:val="316"/>
    <w:lvlOverride w:ilvl="0">
      <w:lvl w:ilvl="0" w:tentative="1">
        <w:start w:val="1"/>
        <w:numFmt w:val="chineseCountingThousand"/>
        <w:suff w:val="space"/>
        <w:lvlText w:val="第%1部分"/>
        <w:lvlJc w:val="left"/>
        <w:pPr>
          <w:ind w:left="0" w:firstLine="0"/>
        </w:pPr>
        <w:rPr>
          <w:rFonts w:hint="eastAsia" w:eastAsia="仿宋_GB2312"/>
          <w:b/>
          <w:bCs/>
          <w:i w:val="0"/>
          <w:sz w:val="30"/>
        </w:rPr>
      </w:lvl>
    </w:lvlOverride>
    <w:lvlOverride w:ilvl="1">
      <w:lvl w:ilvl="1" w:tentative="1">
        <w:start w:val="1"/>
        <w:numFmt w:val="chineseCountingThousand"/>
        <w:suff w:val="space"/>
        <w:lvlText w:val="%2."/>
        <w:lvlJc w:val="left"/>
        <w:pPr>
          <w:ind w:left="0" w:firstLine="0"/>
        </w:pPr>
        <w:rPr>
          <w:rFonts w:hint="eastAsia" w:eastAsia="仿宋_GB2312"/>
          <w:b/>
          <w:bCs/>
          <w:i w:val="0"/>
          <w:sz w:val="28"/>
        </w:rPr>
      </w:lvl>
    </w:lvlOverride>
    <w:lvlOverride w:ilvl="2">
      <w:lvl w:ilvl="2" w:tentative="1">
        <w:start w:val="1"/>
        <w:numFmt w:val="chineseCountingThousand"/>
        <w:suff w:val="space"/>
        <w:lvlText w:val="(%3)"/>
        <w:lvlJc w:val="left"/>
        <w:pPr>
          <w:ind w:left="0" w:firstLine="0"/>
        </w:pPr>
        <w:rPr>
          <w:rFonts w:hint="eastAsia" w:eastAsia="仿宋_GB2312"/>
          <w:b w:val="0"/>
          <w:i w:val="0"/>
          <w:sz w:val="28"/>
        </w:rPr>
      </w:lvl>
    </w:lvlOverride>
    <w:lvlOverride w:ilvl="3">
      <w:lvl w:ilvl="3" w:tentative="1">
        <w:start w:val="1"/>
        <w:numFmt w:val="decimal"/>
        <w:suff w:val="space"/>
        <w:lvlText w:val="%4."/>
        <w:lvlJc w:val="left"/>
        <w:pPr>
          <w:ind w:left="0" w:firstLine="0"/>
        </w:pPr>
        <w:rPr>
          <w:rFonts w:hint="eastAsia" w:eastAsia="仿宋_GB2312" w:cs="仿宋_GB2312"/>
          <w:b w:val="0"/>
          <w:i w:val="0"/>
          <w:sz w:val="28"/>
        </w:rPr>
      </w:lvl>
    </w:lvlOverride>
    <w:lvlOverride w:ilvl="4">
      <w:lvl w:ilvl="4" w:tentative="1">
        <w:start w:val="1"/>
        <w:numFmt w:val="decimal"/>
        <w:suff w:val="space"/>
        <w:lvlText w:val="%4.%5."/>
        <w:lvlJc w:val="left"/>
        <w:pPr>
          <w:ind w:left="0" w:firstLine="0"/>
        </w:pPr>
        <w:rPr>
          <w:rFonts w:hint="eastAsia" w:eastAsia="仿宋_GB2312"/>
          <w:b w:val="0"/>
          <w:i w:val="0"/>
          <w:sz w:val="28"/>
        </w:rPr>
      </w:lvl>
    </w:lvlOverride>
    <w:lvlOverride w:ilvl="5">
      <w:lvl w:ilvl="5" w:tentative="1">
        <w:start w:val="1"/>
        <w:numFmt w:val="decimal"/>
        <w:suff w:val="space"/>
        <w:lvlText w:val="%4.%5.%6."/>
        <w:lvlJc w:val="left"/>
        <w:pPr>
          <w:ind w:left="0" w:firstLine="0"/>
        </w:pPr>
        <w:rPr>
          <w:rFonts w:hint="eastAsia" w:eastAsia="仿宋_GB2312"/>
          <w:b w:val="0"/>
          <w:i w:val="0"/>
          <w:sz w:val="28"/>
        </w:rPr>
      </w:lvl>
    </w:lvlOverride>
    <w:lvlOverride w:ilvl="6">
      <w:lvl w:ilvl="6" w:tentative="1">
        <w:start w:val="1"/>
        <w:numFmt w:val="decimal"/>
        <w:suff w:val="space"/>
        <w:lvlText w:val="%4.%5.%6.%7."/>
        <w:lvlJc w:val="left"/>
        <w:pPr>
          <w:ind w:left="0" w:firstLine="0"/>
        </w:pPr>
        <w:rPr>
          <w:rFonts w:hint="eastAsia" w:eastAsia="仿宋_GB2312"/>
          <w:b w:val="0"/>
          <w:i w:val="0"/>
          <w:sz w:val="28"/>
        </w:rPr>
      </w:lvl>
    </w:lvlOverride>
    <w:lvlOverride w:ilvl="7">
      <w:lvl w:ilvl="7" w:tentative="1">
        <w:start w:val="1"/>
        <w:numFmt w:val="decimal"/>
        <w:suff w:val="space"/>
        <w:lvlText w:val="(%8)"/>
        <w:lvlJc w:val="left"/>
        <w:pPr>
          <w:ind w:left="0" w:firstLine="0"/>
        </w:pPr>
        <w:rPr>
          <w:rFonts w:hint="eastAsia" w:eastAsia="仿宋_GB2312"/>
          <w:b w:val="0"/>
          <w:i w:val="0"/>
          <w:sz w:val="28"/>
        </w:rPr>
      </w:lvl>
    </w:lvlOverride>
    <w:lvlOverride w:ilvl="8">
      <w:lvl w:ilvl="8" w:tentative="1">
        <w:start w:val="1"/>
        <w:numFmt w:val="bullet"/>
        <w:suff w:val="space"/>
        <w:lvlText w:val=""/>
        <w:lvlJc w:val="left"/>
        <w:pPr>
          <w:ind w:left="0" w:firstLine="0"/>
        </w:pPr>
        <w:rPr>
          <w:rFonts w:hint="default" w:ascii="Wingdings" w:hAnsi="Wingdings"/>
        </w:rPr>
      </w:lvl>
    </w:lvlOverride>
  </w:num>
  <w:num w:numId="267">
    <w:abstractNumId w:val="180"/>
  </w:num>
  <w:num w:numId="26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1"/>
  </w:num>
  <w:num w:numId="270">
    <w:abstractNumId w:val="263"/>
  </w:num>
  <w:num w:numId="271">
    <w:abstractNumId w:val="228"/>
  </w:num>
  <w:num w:numId="272">
    <w:abstractNumId w:val="128"/>
  </w:num>
  <w:num w:numId="273">
    <w:abstractNumId w:val="295"/>
  </w:num>
  <w:num w:numId="274">
    <w:abstractNumId w:val="306"/>
  </w:num>
  <w:num w:numId="275">
    <w:abstractNumId w:val="122"/>
  </w:num>
  <w:num w:numId="276">
    <w:abstractNumId w:val="77"/>
  </w:num>
  <w:num w:numId="277">
    <w:abstractNumId w:val="54"/>
  </w:num>
  <w:num w:numId="278">
    <w:abstractNumId w:val="113"/>
  </w:num>
  <w:num w:numId="279">
    <w:abstractNumId w:val="194"/>
  </w:num>
  <w:num w:numId="280">
    <w:abstractNumId w:val="15"/>
  </w:num>
  <w:num w:numId="281">
    <w:abstractNumId w:val="109"/>
  </w:num>
  <w:num w:numId="282">
    <w:abstractNumId w:val="236"/>
  </w:num>
  <w:num w:numId="283">
    <w:abstractNumId w:val="55"/>
  </w:num>
  <w:num w:numId="284">
    <w:abstractNumId w:val="94"/>
  </w:num>
  <w:num w:numId="285">
    <w:abstractNumId w:val="322"/>
  </w:num>
  <w:num w:numId="286">
    <w:abstractNumId w:val="39"/>
  </w:num>
  <w:num w:numId="287">
    <w:abstractNumId w:val="161"/>
  </w:num>
  <w:num w:numId="288">
    <w:abstractNumId w:val="172"/>
  </w:num>
  <w:num w:numId="289">
    <w:abstractNumId w:val="36"/>
  </w:num>
  <w:num w:numId="290">
    <w:abstractNumId w:val="257"/>
  </w:num>
  <w:num w:numId="291">
    <w:abstractNumId w:val="305"/>
  </w:num>
  <w:num w:numId="292">
    <w:abstractNumId w:val="4"/>
  </w:num>
  <w:num w:numId="293">
    <w:abstractNumId w:val="249"/>
  </w:num>
  <w:num w:numId="294">
    <w:abstractNumId w:val="181"/>
  </w:num>
  <w:num w:numId="295">
    <w:abstractNumId w:val="103"/>
  </w:num>
  <w:num w:numId="29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68"/>
  </w:num>
  <w:num w:numId="298">
    <w:abstractNumId w:val="35"/>
  </w:num>
  <w:num w:numId="299">
    <w:abstractNumId w:val="173"/>
  </w:num>
  <w:num w:numId="300">
    <w:abstractNumId w:val="87"/>
  </w:num>
  <w:num w:numId="301">
    <w:abstractNumId w:val="20"/>
  </w:num>
  <w:num w:numId="302">
    <w:abstractNumId w:val="282"/>
  </w:num>
  <w:num w:numId="303">
    <w:abstractNumId w:val="312"/>
  </w:num>
  <w:num w:numId="304">
    <w:abstractNumId w:val="38"/>
  </w:num>
  <w:num w:numId="305">
    <w:abstractNumId w:val="168"/>
  </w:num>
  <w:num w:numId="306">
    <w:abstractNumId w:val="151"/>
  </w:num>
  <w:num w:numId="307">
    <w:abstractNumId w:val="233"/>
  </w:num>
  <w:num w:numId="30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65"/>
  </w:num>
  <w:num w:numId="310">
    <w:abstractNumId w:val="315"/>
  </w:num>
  <w:num w:numId="311">
    <w:abstractNumId w:val="207"/>
  </w:num>
  <w:num w:numId="312">
    <w:abstractNumId w:val="243"/>
  </w:num>
  <w:num w:numId="313">
    <w:abstractNumId w:val="293"/>
  </w:num>
  <w:num w:numId="314">
    <w:abstractNumId w:val="48"/>
  </w:num>
  <w:num w:numId="315">
    <w:abstractNumId w:val="118"/>
  </w:num>
  <w:num w:numId="316">
    <w:abstractNumId w:val="149"/>
  </w:num>
  <w:num w:numId="317">
    <w:abstractNumId w:val="5"/>
  </w:num>
  <w:num w:numId="31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79"/>
  </w:num>
  <w:num w:numId="320">
    <w:abstractNumId w:val="135"/>
  </w:num>
  <w:num w:numId="321">
    <w:abstractNumId w:val="136"/>
  </w:num>
  <w:num w:numId="322">
    <w:abstractNumId w:val="221"/>
  </w:num>
  <w:num w:numId="323">
    <w:abstractNumId w:val="311"/>
  </w:num>
  <w:num w:numId="324">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ezm">
    <w15:presenceInfo w15:providerId="None" w15:userId="xiez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10352"/>
    <w:rsid w:val="00014D22"/>
    <w:rsid w:val="00044366"/>
    <w:rsid w:val="00045323"/>
    <w:rsid w:val="00075614"/>
    <w:rsid w:val="00091C4B"/>
    <w:rsid w:val="000B0864"/>
    <w:rsid w:val="000C5C59"/>
    <w:rsid w:val="000F339A"/>
    <w:rsid w:val="0010386D"/>
    <w:rsid w:val="001039A3"/>
    <w:rsid w:val="00125BBE"/>
    <w:rsid w:val="001330A9"/>
    <w:rsid w:val="00143272"/>
    <w:rsid w:val="0016320C"/>
    <w:rsid w:val="0019284A"/>
    <w:rsid w:val="001C1B30"/>
    <w:rsid w:val="001D1A24"/>
    <w:rsid w:val="001E343F"/>
    <w:rsid w:val="0022617E"/>
    <w:rsid w:val="00243584"/>
    <w:rsid w:val="0024639D"/>
    <w:rsid w:val="002C54B5"/>
    <w:rsid w:val="00301889"/>
    <w:rsid w:val="00355190"/>
    <w:rsid w:val="003750AD"/>
    <w:rsid w:val="003A0D4B"/>
    <w:rsid w:val="003A6F80"/>
    <w:rsid w:val="003B5042"/>
    <w:rsid w:val="003D72CF"/>
    <w:rsid w:val="003E5559"/>
    <w:rsid w:val="00421C0D"/>
    <w:rsid w:val="00474A7D"/>
    <w:rsid w:val="004A579D"/>
    <w:rsid w:val="004C0D71"/>
    <w:rsid w:val="005901AF"/>
    <w:rsid w:val="005A658F"/>
    <w:rsid w:val="005E1D78"/>
    <w:rsid w:val="00652C45"/>
    <w:rsid w:val="0069084B"/>
    <w:rsid w:val="00725157"/>
    <w:rsid w:val="0073051D"/>
    <w:rsid w:val="0077391C"/>
    <w:rsid w:val="007F61E1"/>
    <w:rsid w:val="00820D1B"/>
    <w:rsid w:val="00842079"/>
    <w:rsid w:val="00892D9C"/>
    <w:rsid w:val="008A5393"/>
    <w:rsid w:val="008F1185"/>
    <w:rsid w:val="00917F57"/>
    <w:rsid w:val="009324A6"/>
    <w:rsid w:val="00944E95"/>
    <w:rsid w:val="00A06416"/>
    <w:rsid w:val="00A33372"/>
    <w:rsid w:val="00A81B95"/>
    <w:rsid w:val="00A82B66"/>
    <w:rsid w:val="00AC42C1"/>
    <w:rsid w:val="00B54474"/>
    <w:rsid w:val="00B902E6"/>
    <w:rsid w:val="00BC11D0"/>
    <w:rsid w:val="00BF29F6"/>
    <w:rsid w:val="00C1133D"/>
    <w:rsid w:val="00C4566E"/>
    <w:rsid w:val="00C871A5"/>
    <w:rsid w:val="00CE4E1F"/>
    <w:rsid w:val="00CE5F49"/>
    <w:rsid w:val="00D24518"/>
    <w:rsid w:val="00D85ED6"/>
    <w:rsid w:val="00DC2864"/>
    <w:rsid w:val="00DD2196"/>
    <w:rsid w:val="00DF4061"/>
    <w:rsid w:val="00DF4705"/>
    <w:rsid w:val="00E407BE"/>
    <w:rsid w:val="00E6566F"/>
    <w:rsid w:val="00E7772C"/>
    <w:rsid w:val="00ED3B0F"/>
    <w:rsid w:val="00F01230"/>
    <w:rsid w:val="00F41882"/>
    <w:rsid w:val="00F42B3C"/>
    <w:rsid w:val="00F552A7"/>
    <w:rsid w:val="00F826B4"/>
    <w:rsid w:val="00FC1D03"/>
    <w:rsid w:val="00FC22F1"/>
    <w:rsid w:val="00FC7580"/>
    <w:rsid w:val="00FE417E"/>
    <w:rsid w:val="01B70EF6"/>
    <w:rsid w:val="0283402F"/>
    <w:rsid w:val="02DA2C1E"/>
    <w:rsid w:val="030F1FF1"/>
    <w:rsid w:val="04090027"/>
    <w:rsid w:val="04243430"/>
    <w:rsid w:val="05314053"/>
    <w:rsid w:val="063342A7"/>
    <w:rsid w:val="07C42C2E"/>
    <w:rsid w:val="09815D8D"/>
    <w:rsid w:val="0A5C53A7"/>
    <w:rsid w:val="0AA85FEE"/>
    <w:rsid w:val="0B2952FE"/>
    <w:rsid w:val="0CB84CD1"/>
    <w:rsid w:val="0D2E1D85"/>
    <w:rsid w:val="0D4A760B"/>
    <w:rsid w:val="0D751221"/>
    <w:rsid w:val="0EB038F3"/>
    <w:rsid w:val="0F5522C6"/>
    <w:rsid w:val="11911C11"/>
    <w:rsid w:val="11C20217"/>
    <w:rsid w:val="12875AE6"/>
    <w:rsid w:val="12F77CDA"/>
    <w:rsid w:val="13113EB7"/>
    <w:rsid w:val="138F0183"/>
    <w:rsid w:val="13C55DA0"/>
    <w:rsid w:val="13E63DA8"/>
    <w:rsid w:val="141F5DD4"/>
    <w:rsid w:val="155837EB"/>
    <w:rsid w:val="15F53854"/>
    <w:rsid w:val="19FA42AF"/>
    <w:rsid w:val="1A9058CB"/>
    <w:rsid w:val="1B33552B"/>
    <w:rsid w:val="1B6E27C0"/>
    <w:rsid w:val="1B974235"/>
    <w:rsid w:val="1BDA4337"/>
    <w:rsid w:val="1D405DD5"/>
    <w:rsid w:val="1DE05D8F"/>
    <w:rsid w:val="1E3975A7"/>
    <w:rsid w:val="2025262C"/>
    <w:rsid w:val="205028B1"/>
    <w:rsid w:val="22FC4580"/>
    <w:rsid w:val="246D52FA"/>
    <w:rsid w:val="25000BD5"/>
    <w:rsid w:val="27EB6699"/>
    <w:rsid w:val="285B56D7"/>
    <w:rsid w:val="29921645"/>
    <w:rsid w:val="2A0F0515"/>
    <w:rsid w:val="2B9238F3"/>
    <w:rsid w:val="2B9F69CF"/>
    <w:rsid w:val="2BB174DE"/>
    <w:rsid w:val="2C660DF5"/>
    <w:rsid w:val="2D6E7A1B"/>
    <w:rsid w:val="2DC10B6E"/>
    <w:rsid w:val="2FC97021"/>
    <w:rsid w:val="32676A33"/>
    <w:rsid w:val="32C424A6"/>
    <w:rsid w:val="35421F82"/>
    <w:rsid w:val="3694328F"/>
    <w:rsid w:val="378B5076"/>
    <w:rsid w:val="39B14465"/>
    <w:rsid w:val="3B982247"/>
    <w:rsid w:val="3BB82D24"/>
    <w:rsid w:val="3E022EBA"/>
    <w:rsid w:val="3EDF60BF"/>
    <w:rsid w:val="3F2D4DC9"/>
    <w:rsid w:val="3F960661"/>
    <w:rsid w:val="3FCD6CF0"/>
    <w:rsid w:val="465F5DC8"/>
    <w:rsid w:val="469D036F"/>
    <w:rsid w:val="473403A5"/>
    <w:rsid w:val="477E4702"/>
    <w:rsid w:val="49EB7EC6"/>
    <w:rsid w:val="4B486757"/>
    <w:rsid w:val="4D1D15AB"/>
    <w:rsid w:val="4E840505"/>
    <w:rsid w:val="4E992F37"/>
    <w:rsid w:val="4ED30C85"/>
    <w:rsid w:val="4FDC2581"/>
    <w:rsid w:val="4FF10E27"/>
    <w:rsid w:val="50824FAB"/>
    <w:rsid w:val="51927DDD"/>
    <w:rsid w:val="51FD6595"/>
    <w:rsid w:val="520C6EB7"/>
    <w:rsid w:val="52DD7908"/>
    <w:rsid w:val="53AD42C4"/>
    <w:rsid w:val="544D3D18"/>
    <w:rsid w:val="54A87582"/>
    <w:rsid w:val="5531176F"/>
    <w:rsid w:val="58BD2650"/>
    <w:rsid w:val="5912005F"/>
    <w:rsid w:val="5BD87B89"/>
    <w:rsid w:val="5DAD22AB"/>
    <w:rsid w:val="61052F3A"/>
    <w:rsid w:val="612326A3"/>
    <w:rsid w:val="6234589D"/>
    <w:rsid w:val="62931D74"/>
    <w:rsid w:val="62C67297"/>
    <w:rsid w:val="63111731"/>
    <w:rsid w:val="64B74CAB"/>
    <w:rsid w:val="65610352"/>
    <w:rsid w:val="66CF5AD7"/>
    <w:rsid w:val="684B29CA"/>
    <w:rsid w:val="69FB4C35"/>
    <w:rsid w:val="6B281E9B"/>
    <w:rsid w:val="6C3311B9"/>
    <w:rsid w:val="6C6D51E0"/>
    <w:rsid w:val="6C8F2EA4"/>
    <w:rsid w:val="6C9A6D2E"/>
    <w:rsid w:val="6CBD5115"/>
    <w:rsid w:val="6D6B0BFB"/>
    <w:rsid w:val="6E72433D"/>
    <w:rsid w:val="6F3860D1"/>
    <w:rsid w:val="6FC81CA3"/>
    <w:rsid w:val="711F4679"/>
    <w:rsid w:val="71AD24A9"/>
    <w:rsid w:val="727B706D"/>
    <w:rsid w:val="742144B6"/>
    <w:rsid w:val="744A6355"/>
    <w:rsid w:val="74634893"/>
    <w:rsid w:val="74DD16A2"/>
    <w:rsid w:val="74F05B69"/>
    <w:rsid w:val="783D32DC"/>
    <w:rsid w:val="78504646"/>
    <w:rsid w:val="78DC3564"/>
    <w:rsid w:val="7B1A4BD0"/>
    <w:rsid w:val="7B2825D2"/>
    <w:rsid w:val="7B554932"/>
    <w:rsid w:val="7B6E520D"/>
    <w:rsid w:val="7BA446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spacing w:line="420" w:lineRule="exact"/>
      <w:jc w:val="center"/>
      <w:outlineLvl w:val="0"/>
    </w:pPr>
    <w:rPr>
      <w:rFonts w:ascii="仿宋_GB2312" w:hAnsi="宋体" w:eastAsia="仿宋_GB2312"/>
      <w:sz w:val="28"/>
    </w:rPr>
  </w:style>
  <w:style w:type="paragraph" w:styleId="2">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2"/>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spacing w:beforeLines="50" w:afterLines="50"/>
      <w:outlineLvl w:val="3"/>
    </w:pPr>
    <w:rPr>
      <w:rFonts w:ascii="楷体" w:hAnsi="楷体"/>
      <w:b/>
      <w:sz w:val="28"/>
    </w:rPr>
  </w:style>
  <w:style w:type="paragraph" w:styleId="6">
    <w:name w:val="heading 5"/>
    <w:basedOn w:val="1"/>
    <w:next w:val="1"/>
    <w:qFormat/>
    <w:uiPriority w:val="0"/>
    <w:pPr>
      <w:keepNext/>
      <w:keepLines/>
      <w:spacing w:line="376" w:lineRule="auto"/>
      <w:outlineLvl w:val="4"/>
    </w:pPr>
    <w:rPr>
      <w:b/>
      <w:bCs/>
      <w:sz w:val="28"/>
      <w:szCs w:val="28"/>
    </w:rPr>
  </w:style>
  <w:style w:type="paragraph" w:styleId="7">
    <w:name w:val="heading 6"/>
    <w:basedOn w:val="1"/>
    <w:next w:val="1"/>
    <w:qFormat/>
    <w:uiPriority w:val="0"/>
    <w:pPr>
      <w:keepNext/>
      <w:keepLines/>
      <w:spacing w:line="317" w:lineRule="auto"/>
      <w:outlineLvl w:val="5"/>
    </w:pPr>
    <w:rPr>
      <w:rFonts w:ascii="Arial" w:hAnsi="Arial" w:eastAsia="仿宋"/>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spacing w:line="360" w:lineRule="auto"/>
      <w:ind w:firstLine="482"/>
    </w:pPr>
    <w:rPr>
      <w:rFonts w:ascii="Times New Roman" w:hAnsi="Times New Roman" w:eastAsia="仿宋_GB2312"/>
    </w:rPr>
  </w:style>
  <w:style w:type="paragraph" w:styleId="9">
    <w:name w:val="annotation text"/>
    <w:basedOn w:val="1"/>
    <w:link w:val="38"/>
    <w:qFormat/>
    <w:uiPriority w:val="0"/>
    <w:pPr>
      <w:jc w:val="left"/>
    </w:pPr>
  </w:style>
  <w:style w:type="paragraph" w:styleId="10">
    <w:name w:val="Body Text"/>
    <w:basedOn w:val="1"/>
    <w:next w:val="11"/>
    <w:qFormat/>
    <w:uiPriority w:val="0"/>
    <w:pPr>
      <w:jc w:val="center"/>
    </w:pPr>
    <w:rPr>
      <w:rFonts w:eastAsia="黑体"/>
      <w:sz w:val="48"/>
    </w:rPr>
  </w:style>
  <w:style w:type="paragraph" w:styleId="11">
    <w:name w:val="toc 2"/>
    <w:basedOn w:val="1"/>
    <w:next w:val="1"/>
    <w:qFormat/>
    <w:uiPriority w:val="0"/>
    <w:pPr>
      <w:ind w:left="200" w:leftChars="200"/>
    </w:pPr>
  </w:style>
  <w:style w:type="paragraph" w:styleId="12">
    <w:name w:val="List 2"/>
    <w:basedOn w:val="1"/>
    <w:qFormat/>
    <w:uiPriority w:val="0"/>
    <w:pPr>
      <w:ind w:left="100" w:hanging="200"/>
    </w:pPr>
    <w:rPr>
      <w:szCs w:val="20"/>
    </w:rPr>
  </w:style>
  <w:style w:type="paragraph" w:styleId="13">
    <w:name w:val="toc 3"/>
    <w:basedOn w:val="1"/>
    <w:next w:val="1"/>
    <w:qFormat/>
    <w:uiPriority w:val="39"/>
    <w:pPr>
      <w:ind w:left="840" w:leftChars="400"/>
    </w:pPr>
  </w:style>
  <w:style w:type="paragraph" w:styleId="14">
    <w:name w:val="Plain Text"/>
    <w:basedOn w:val="1"/>
    <w:qFormat/>
    <w:uiPriority w:val="0"/>
    <w:rPr>
      <w:rFonts w:ascii="宋体" w:hAnsi="Courier New"/>
      <w:szCs w:val="20"/>
    </w:rPr>
  </w:style>
  <w:style w:type="paragraph" w:styleId="15">
    <w:name w:val="Date"/>
    <w:basedOn w:val="1"/>
    <w:next w:val="1"/>
    <w:qFormat/>
    <w:uiPriority w:val="0"/>
    <w:rPr>
      <w:rFonts w:ascii="宋体" w:hAnsi="Times New Roman" w:eastAsia="宋体"/>
      <w:sz w:val="24"/>
    </w:rPr>
  </w:style>
  <w:style w:type="paragraph" w:styleId="16">
    <w:name w:val="Balloon Text"/>
    <w:basedOn w:val="1"/>
    <w:link w:val="40"/>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style>
  <w:style w:type="paragraph" w:styleId="20">
    <w:name w:val="Body Text Indent 3"/>
    <w:basedOn w:val="1"/>
    <w:qFormat/>
    <w:uiPriority w:val="0"/>
    <w:pPr>
      <w:spacing w:after="120"/>
      <w:ind w:left="420" w:leftChars="200"/>
    </w:pPr>
    <w:rPr>
      <w:sz w:val="16"/>
      <w:szCs w:val="16"/>
    </w:rPr>
  </w:style>
  <w:style w:type="paragraph" w:styleId="21">
    <w:name w:val="Normal (Web)"/>
    <w:basedOn w:val="1"/>
    <w:qFormat/>
    <w:uiPriority w:val="0"/>
    <w:pPr>
      <w:widowControl/>
      <w:spacing w:before="100" w:beforeAutospacing="1" w:after="100" w:afterAutospacing="1"/>
      <w:jc w:val="left"/>
    </w:pPr>
    <w:rPr>
      <w:rFonts w:ascii="宋体" w:hAnsi="宋体"/>
      <w:kern w:val="0"/>
      <w:sz w:val="24"/>
    </w:rPr>
  </w:style>
  <w:style w:type="paragraph" w:styleId="22">
    <w:name w:val="Title"/>
    <w:basedOn w:val="1"/>
    <w:next w:val="1"/>
    <w:link w:val="56"/>
    <w:qFormat/>
    <w:uiPriority w:val="0"/>
    <w:pPr>
      <w:spacing w:before="240" w:after="60"/>
      <w:jc w:val="center"/>
      <w:outlineLvl w:val="0"/>
    </w:pPr>
    <w:rPr>
      <w:rFonts w:ascii="Cambria" w:hAnsi="Cambria"/>
      <w:b/>
      <w:bCs/>
      <w:sz w:val="32"/>
      <w:szCs w:val="32"/>
    </w:rPr>
  </w:style>
  <w:style w:type="paragraph" w:styleId="23">
    <w:name w:val="annotation subject"/>
    <w:basedOn w:val="9"/>
    <w:next w:val="9"/>
    <w:link w:val="39"/>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szCs w:val="20"/>
    </w:rPr>
  </w:style>
  <w:style w:type="character" w:styleId="28">
    <w:name w:val="page number"/>
    <w:basedOn w:val="26"/>
    <w:qFormat/>
    <w:uiPriority w:val="0"/>
    <w:rPr>
      <w:rFonts w:cs="Times New Roman"/>
    </w:rPr>
  </w:style>
  <w:style w:type="character" w:styleId="29">
    <w:name w:val="Hyperlink"/>
    <w:basedOn w:val="26"/>
    <w:qFormat/>
    <w:uiPriority w:val="0"/>
    <w:rPr>
      <w:color w:val="0000FF"/>
      <w:u w:val="single"/>
    </w:rPr>
  </w:style>
  <w:style w:type="character" w:styleId="30">
    <w:name w:val="annotation reference"/>
    <w:basedOn w:val="26"/>
    <w:qFormat/>
    <w:uiPriority w:val="0"/>
    <w:rPr>
      <w:sz w:val="21"/>
      <w:szCs w:val="21"/>
    </w:rPr>
  </w:style>
  <w:style w:type="paragraph" w:customStyle="1" w:styleId="31">
    <w:name w:val="样式1"/>
    <w:basedOn w:val="3"/>
    <w:qFormat/>
    <w:uiPriority w:val="0"/>
    <w:pPr>
      <w:keepLines/>
      <w:spacing w:before="240" w:after="240" w:line="440" w:lineRule="exact"/>
    </w:pPr>
    <w:rPr>
      <w:rFonts w:ascii="微软雅黑" w:hAnsi="微软雅黑" w:eastAsia="宋体"/>
      <w:b/>
      <w:bCs/>
      <w:kern w:val="44"/>
      <w:sz w:val="36"/>
      <w:szCs w:val="28"/>
    </w:rPr>
  </w:style>
  <w:style w:type="paragraph" w:customStyle="1" w:styleId="32">
    <w:name w:val="样式2"/>
    <w:basedOn w:val="2"/>
    <w:qFormat/>
    <w:uiPriority w:val="0"/>
    <w:pPr>
      <w:spacing w:beforeLines="100" w:afterLines="100" w:line="480" w:lineRule="exact"/>
      <w:jc w:val="center"/>
    </w:pPr>
    <w:rPr>
      <w:rFonts w:ascii="Cambria" w:hAnsi="Cambria" w:eastAsia="楷体_GB2312"/>
    </w:rPr>
  </w:style>
  <w:style w:type="paragraph" w:customStyle="1" w:styleId="33">
    <w:name w:val="纯文本1"/>
    <w:basedOn w:val="1"/>
    <w:qFormat/>
    <w:uiPriority w:val="0"/>
    <w:pPr>
      <w:adjustRightInd w:val="0"/>
      <w:textAlignment w:val="baseline"/>
    </w:pPr>
    <w:rPr>
      <w:rFonts w:ascii="宋体" w:hAnsi="Courier New" w:eastAsia="楷体_GB2312"/>
      <w:sz w:val="28"/>
      <w:szCs w:val="20"/>
    </w:rPr>
  </w:style>
  <w:style w:type="paragraph" w:customStyle="1" w:styleId="34">
    <w:name w:val="纯文本2"/>
    <w:basedOn w:val="1"/>
    <w:qFormat/>
    <w:uiPriority w:val="0"/>
    <w:pPr>
      <w:adjustRightInd w:val="0"/>
      <w:textAlignment w:val="baseline"/>
    </w:pPr>
    <w:rPr>
      <w:rFonts w:ascii="宋体" w:hAnsi="Courier New" w:eastAsia="楷体_GB2312"/>
      <w:sz w:val="28"/>
      <w:szCs w:val="20"/>
    </w:rPr>
  </w:style>
  <w:style w:type="character" w:customStyle="1" w:styleId="35">
    <w:name w:val="font51"/>
    <w:basedOn w:val="26"/>
    <w:qFormat/>
    <w:uiPriority w:val="0"/>
    <w:rPr>
      <w:rFonts w:hint="eastAsia" w:ascii="宋体" w:hAnsi="宋体" w:eastAsia="宋体" w:cs="宋体"/>
      <w:color w:val="000000"/>
      <w:sz w:val="24"/>
      <w:szCs w:val="24"/>
      <w:u w:val="none"/>
    </w:rPr>
  </w:style>
  <w:style w:type="character" w:customStyle="1" w:styleId="36">
    <w:name w:val="font01"/>
    <w:basedOn w:val="26"/>
    <w:qFormat/>
    <w:uiPriority w:val="0"/>
    <w:rPr>
      <w:rFonts w:hint="eastAsia" w:ascii="宋体" w:hAnsi="宋体" w:eastAsia="宋体" w:cs="宋体"/>
      <w:color w:val="000000"/>
      <w:sz w:val="22"/>
      <w:szCs w:val="22"/>
      <w:u w:val="none"/>
    </w:rPr>
  </w:style>
  <w:style w:type="character" w:customStyle="1" w:styleId="37">
    <w:name w:val="font31"/>
    <w:basedOn w:val="26"/>
    <w:qFormat/>
    <w:uiPriority w:val="0"/>
    <w:rPr>
      <w:rFonts w:hint="eastAsia" w:ascii="宋体" w:hAnsi="宋体" w:eastAsia="宋体" w:cs="宋体"/>
      <w:color w:val="000000"/>
      <w:sz w:val="24"/>
      <w:szCs w:val="24"/>
      <w:u w:val="none"/>
    </w:rPr>
  </w:style>
  <w:style w:type="character" w:customStyle="1" w:styleId="38">
    <w:name w:val="批注文字 Char"/>
    <w:basedOn w:val="26"/>
    <w:link w:val="9"/>
    <w:qFormat/>
    <w:uiPriority w:val="0"/>
    <w:rPr>
      <w:rFonts w:asciiTheme="minorHAnsi" w:hAnsiTheme="minorHAnsi" w:eastAsiaTheme="minorEastAsia" w:cstheme="minorBidi"/>
      <w:kern w:val="2"/>
      <w:sz w:val="21"/>
      <w:szCs w:val="24"/>
    </w:rPr>
  </w:style>
  <w:style w:type="character" w:customStyle="1" w:styleId="39">
    <w:name w:val="批注主题 Char"/>
    <w:basedOn w:val="38"/>
    <w:link w:val="23"/>
    <w:qFormat/>
    <w:uiPriority w:val="0"/>
    <w:rPr>
      <w:rFonts w:asciiTheme="minorHAnsi" w:hAnsiTheme="minorHAnsi" w:eastAsiaTheme="minorEastAsia" w:cstheme="minorBidi"/>
      <w:b/>
      <w:bCs/>
      <w:kern w:val="2"/>
      <w:sz w:val="21"/>
      <w:szCs w:val="24"/>
    </w:rPr>
  </w:style>
  <w:style w:type="character" w:customStyle="1" w:styleId="40">
    <w:name w:val="批注框文本 Char"/>
    <w:basedOn w:val="26"/>
    <w:link w:val="16"/>
    <w:qFormat/>
    <w:uiPriority w:val="0"/>
    <w:rPr>
      <w:rFonts w:asciiTheme="minorHAnsi" w:hAnsiTheme="minorHAnsi" w:eastAsiaTheme="minorEastAsia" w:cstheme="minorBidi"/>
      <w:kern w:val="2"/>
      <w:sz w:val="18"/>
      <w:szCs w:val="18"/>
    </w:rPr>
  </w:style>
  <w:style w:type="paragraph" w:customStyle="1" w:styleId="41">
    <w:name w:val="列出段落1"/>
    <w:basedOn w:val="1"/>
    <w:unhideWhenUsed/>
    <w:qFormat/>
    <w:uiPriority w:val="99"/>
    <w:pPr>
      <w:ind w:firstLine="420" w:firstLineChars="200"/>
    </w:pPr>
  </w:style>
  <w:style w:type="character" w:customStyle="1" w:styleId="42">
    <w:name w:val="font11"/>
    <w:basedOn w:val="26"/>
    <w:qFormat/>
    <w:uiPriority w:val="0"/>
    <w:rPr>
      <w:rFonts w:hint="eastAsia" w:ascii="宋体" w:hAnsi="宋体" w:eastAsia="宋体" w:cs="宋体"/>
      <w:color w:val="000000"/>
      <w:sz w:val="24"/>
      <w:szCs w:val="24"/>
      <w:u w:val="none"/>
    </w:rPr>
  </w:style>
  <w:style w:type="paragraph" w:customStyle="1" w:styleId="43">
    <w:name w:val="_Style 8"/>
    <w:basedOn w:val="3"/>
    <w:next w:val="1"/>
    <w:qFormat/>
    <w:uiPriority w:val="0"/>
    <w:pPr>
      <w:widowControl/>
      <w:tabs>
        <w:tab w:val="center" w:pos="4680"/>
      </w:tabs>
      <w:spacing w:line="276" w:lineRule="auto"/>
      <w:jc w:val="left"/>
      <w:outlineLvl w:val="9"/>
    </w:pPr>
    <w:rPr>
      <w:rFonts w:ascii="Cambria" w:hAnsi="Cambria" w:eastAsia="宋体" w:cs="Times New Roman"/>
      <w:color w:val="365F91"/>
      <w:kern w:val="0"/>
      <w:szCs w:val="28"/>
    </w:rPr>
  </w:style>
  <w:style w:type="paragraph" w:customStyle="1" w:styleId="44">
    <w:name w:val="正文内容"/>
    <w:basedOn w:val="1"/>
    <w:qFormat/>
    <w:uiPriority w:val="0"/>
    <w:pPr>
      <w:spacing w:line="360" w:lineRule="auto"/>
    </w:pPr>
    <w:rPr>
      <w:rFonts w:ascii="Arial" w:hAnsi="Arial"/>
      <w:sz w:val="24"/>
    </w:rPr>
  </w:style>
  <w:style w:type="paragraph" w:customStyle="1" w:styleId="45">
    <w:name w:val="p16"/>
    <w:basedOn w:val="1"/>
    <w:qFormat/>
    <w:uiPriority w:val="0"/>
    <w:pPr>
      <w:widowControl/>
      <w:spacing w:line="480" w:lineRule="auto"/>
      <w:ind w:left="420"/>
    </w:pPr>
    <w:rPr>
      <w:kern w:val="0"/>
      <w:szCs w:val="21"/>
    </w:rPr>
  </w:style>
  <w:style w:type="paragraph" w:customStyle="1" w:styleId="46">
    <w:name w:val="列出段落111"/>
    <w:basedOn w:val="1"/>
    <w:qFormat/>
    <w:uiPriority w:val="0"/>
    <w:pPr>
      <w:ind w:firstLine="420" w:firstLineChars="200"/>
    </w:pPr>
  </w:style>
  <w:style w:type="paragraph" w:customStyle="1" w:styleId="47">
    <w:name w:val="正文 1"/>
    <w:basedOn w:val="1"/>
    <w:qFormat/>
    <w:uiPriority w:val="0"/>
    <w:pPr>
      <w:adjustRightInd w:val="0"/>
      <w:snapToGrid w:val="0"/>
      <w:spacing w:before="30" w:after="30" w:line="360" w:lineRule="atLeast"/>
      <w:ind w:left="680"/>
    </w:pPr>
    <w:rPr>
      <w:rFonts w:ascii="Times New Roman" w:hAnsi="Times New Roman" w:eastAsia="宋体"/>
      <w:szCs w:val="20"/>
    </w:rPr>
  </w:style>
  <w:style w:type="paragraph" w:customStyle="1" w:styleId="48">
    <w:name w:val="DLP正文"/>
    <w:basedOn w:val="1"/>
    <w:qFormat/>
    <w:uiPriority w:val="0"/>
    <w:pPr>
      <w:snapToGrid w:val="0"/>
      <w:ind w:firstLine="473"/>
    </w:pPr>
    <w:rPr>
      <w:rFonts w:ascii="Times New Roman" w:hAnsi="宋体"/>
      <w:sz w:val="24"/>
    </w:rPr>
  </w:style>
  <w:style w:type="paragraph" w:customStyle="1" w:styleId="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文档正文"/>
    <w:basedOn w:val="1"/>
    <w:qFormat/>
    <w:uiPriority w:val="0"/>
    <w:pPr>
      <w:autoSpaceDE w:val="0"/>
      <w:autoSpaceDN w:val="0"/>
      <w:adjustRightInd w:val="0"/>
      <w:spacing w:line="480" w:lineRule="atLeast"/>
      <w:ind w:firstLine="567"/>
      <w:textAlignment w:val="baseline"/>
    </w:pPr>
    <w:rPr>
      <w:rFonts w:ascii="长城仿宋" w:hAnsi="Times New Roman" w:eastAsia="仿宋_GB2312"/>
      <w:kern w:val="0"/>
      <w:sz w:val="28"/>
      <w:szCs w:val="20"/>
    </w:rPr>
  </w:style>
  <w:style w:type="paragraph" w:customStyle="1" w:styleId="51">
    <w:name w:val="中文正文"/>
    <w:basedOn w:val="1"/>
    <w:qFormat/>
    <w:uiPriority w:val="0"/>
    <w:pPr>
      <w:adjustRightInd w:val="0"/>
      <w:snapToGrid w:val="0"/>
      <w:spacing w:line="360" w:lineRule="auto"/>
      <w:ind w:left="1134"/>
      <w:jc w:val="left"/>
    </w:pPr>
    <w:rPr>
      <w:sz w:val="24"/>
    </w:rPr>
  </w:style>
  <w:style w:type="character" w:customStyle="1" w:styleId="52">
    <w:name w:val="标题 3 Char"/>
    <w:link w:val="4"/>
    <w:qFormat/>
    <w:uiPriority w:val="0"/>
    <w:rPr>
      <w:b/>
      <w:bCs/>
      <w:sz w:val="32"/>
      <w:szCs w:val="32"/>
    </w:rPr>
  </w:style>
  <w:style w:type="paragraph" w:customStyle="1" w:styleId="53">
    <w:name w:val="列出段落11"/>
    <w:basedOn w:val="1"/>
    <w:qFormat/>
    <w:uiPriority w:val="0"/>
    <w:pPr>
      <w:widowControl/>
      <w:ind w:left="720"/>
      <w:jc w:val="left"/>
    </w:pPr>
    <w:rPr>
      <w:rFonts w:eastAsia="PMingLiU"/>
      <w:kern w:val="0"/>
      <w:sz w:val="24"/>
      <w:lang w:eastAsia="en-US"/>
    </w:rPr>
  </w:style>
  <w:style w:type="paragraph" w:customStyle="1" w:styleId="54">
    <w:name w:val="正文首行缩进2字符"/>
    <w:basedOn w:val="1"/>
    <w:qFormat/>
    <w:uiPriority w:val="0"/>
    <w:pPr>
      <w:adjustRightInd w:val="0"/>
      <w:snapToGrid w:val="0"/>
      <w:spacing w:line="360" w:lineRule="auto"/>
      <w:ind w:firstLine="560" w:firstLineChars="200"/>
    </w:pPr>
    <w:rPr>
      <w:rFonts w:ascii="宋体" w:hAnsi="宋体"/>
      <w:sz w:val="24"/>
      <w:szCs w:val="28"/>
    </w:rPr>
  </w:style>
  <w:style w:type="character" w:customStyle="1" w:styleId="55">
    <w:name w:val="页码1"/>
    <w:basedOn w:val="26"/>
    <w:qFormat/>
    <w:uiPriority w:val="0"/>
  </w:style>
  <w:style w:type="character" w:customStyle="1" w:styleId="56">
    <w:name w:val="标题 Char"/>
    <w:basedOn w:val="26"/>
    <w:link w:val="22"/>
    <w:qFormat/>
    <w:uiPriority w:val="99"/>
    <w:rPr>
      <w:rFonts w:ascii="Cambria" w:hAnsi="Cambria" w:eastAsiaTheme="minorEastAsia" w:cstheme="minorBidi"/>
      <w:b/>
      <w:bCs/>
      <w:kern w:val="2"/>
      <w:sz w:val="32"/>
      <w:szCs w:val="32"/>
    </w:rPr>
  </w:style>
  <w:style w:type="paragraph" w:styleId="57">
    <w:name w:val="List Paragraph"/>
    <w:basedOn w:val="1"/>
    <w:unhideWhenUsed/>
    <w:qFormat/>
    <w:uiPriority w:val="99"/>
    <w:pPr>
      <w:ind w:firstLine="420" w:firstLineChars="200"/>
    </w:pPr>
  </w:style>
  <w:style w:type="character" w:customStyle="1" w:styleId="58">
    <w:name w:val="标题1"/>
    <w:basedOn w:val="26"/>
    <w:qFormat/>
    <w:uiPriority w:val="0"/>
  </w:style>
  <w:style w:type="paragraph" w:customStyle="1" w:styleId="59">
    <w:name w:val="List Paragraph1"/>
    <w:basedOn w:val="1"/>
    <w:qFormat/>
    <w:uiPriority w:val="0"/>
    <w:pPr>
      <w:ind w:firstLine="420" w:firstLineChars="200"/>
    </w:pPr>
    <w:rPr>
      <w:rFonts w:ascii="Calibri" w:hAnsi="Calibri" w:eastAsia="宋体" w:cs="Calibri"/>
      <w:szCs w:val="21"/>
    </w:rPr>
  </w:style>
  <w:style w:type="character" w:customStyle="1" w:styleId="60">
    <w:name w:val="15"/>
    <w:basedOn w:val="26"/>
    <w:qFormat/>
    <w:uiPriority w:val="0"/>
    <w:rPr>
      <w:rFonts w:hint="default" w:ascii="Calibri" w:hAnsi="Calibri" w:cs="Calibri"/>
      <w:b/>
      <w:bCs/>
      <w:sz w:val="32"/>
      <w:szCs w:val="32"/>
    </w:rPr>
  </w:style>
  <w:style w:type="character" w:customStyle="1" w:styleId="61">
    <w:name w:val="标题 Char4"/>
    <w:qFormat/>
    <w:uiPriority w:val="0"/>
    <w:rPr>
      <w:rFonts w:ascii="Cambria" w:hAnsi="Cambria" w:cs="Times New Roman"/>
      <w:b/>
      <w:bCs/>
      <w:kern w:val="2"/>
      <w:sz w:val="32"/>
      <w:szCs w:val="32"/>
    </w:rPr>
  </w:style>
  <w:style w:type="paragraph" w:customStyle="1" w:styleId="62">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header" Target="header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A1D6A-F3A2-4F39-A7E6-B7DB509EB5EE}">
  <ds:schemaRefs/>
</ds:datastoreItem>
</file>

<file path=docProps/app.xml><?xml version="1.0" encoding="utf-8"?>
<Properties xmlns="http://schemas.openxmlformats.org/officeDocument/2006/extended-properties" xmlns:vt="http://schemas.openxmlformats.org/officeDocument/2006/docPropsVTypes">
  <Template>Normal</Template>
  <Company>GZBANK</Company>
  <Pages>274</Pages>
  <Words>31868</Words>
  <Characters>181653</Characters>
  <Lines>1513</Lines>
  <Paragraphs>426</Paragraphs>
  <TotalTime>116</TotalTime>
  <ScaleCrop>false</ScaleCrop>
  <LinksUpToDate>false</LinksUpToDate>
  <CharactersWithSpaces>213095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2020-06-29T08:20:00Z</dcterms:created>
  <dc:creator>舒海群</dc:creator>
  <cp:lastModifiedBy>Administrator</cp:lastModifiedBy>
  <cp:lastPrinted>2020-08-12T02:31:00Z</cp:lastPrinted>
  <dcterms:modified xsi:type="dcterms:W3CDTF">2020-08-14T06:39:31Z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