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黑体" w:hAnsi="宋体" w:eastAsia="黑体"/>
          <w:spacing w:val="200"/>
          <w:sz w:val="84"/>
          <w:szCs w:val="84"/>
        </w:rPr>
      </w:pPr>
    </w:p>
    <w:p>
      <w:pPr>
        <w:jc w:val="center"/>
        <w:rPr>
          <w:rFonts w:ascii="黑体" w:hAnsi="宋体" w:eastAsia="黑体"/>
          <w:spacing w:val="200"/>
          <w:sz w:val="84"/>
          <w:szCs w:val="84"/>
        </w:rPr>
      </w:pPr>
      <w:r>
        <w:rPr>
          <w:rFonts w:hint="eastAsia" w:ascii="黑体" w:hAnsi="宋体" w:eastAsia="黑体"/>
          <w:spacing w:val="200"/>
          <w:sz w:val="84"/>
          <w:szCs w:val="84"/>
        </w:rPr>
        <w:t>赣州市政府采购</w:t>
      </w:r>
    </w:p>
    <w:p>
      <w:pPr>
        <w:jc w:val="center"/>
        <w:rPr>
          <w:rFonts w:ascii="宋体" w:hAnsi="宋体"/>
          <w:spacing w:val="80"/>
          <w:sz w:val="72"/>
          <w:szCs w:val="72"/>
        </w:rPr>
      </w:pPr>
      <w:r>
        <w:rPr>
          <w:rFonts w:hint="eastAsia" w:ascii="宋体" w:hAnsi="宋体"/>
          <w:spacing w:val="80"/>
          <w:sz w:val="52"/>
          <w:szCs w:val="52"/>
        </w:rPr>
        <w:t>竞争性磋商文件</w:t>
      </w:r>
      <w:r>
        <w:rPr>
          <w:rFonts w:hint="eastAsia" w:ascii="宋体" w:hAnsi="宋体"/>
          <w:spacing w:val="80"/>
          <w:sz w:val="72"/>
          <w:szCs w:val="72"/>
        </w:rPr>
        <w:t xml:space="preserve"> </w:t>
      </w:r>
    </w:p>
    <w:p>
      <w:pPr>
        <w:jc w:val="center"/>
        <w:rPr>
          <w:rFonts w:ascii="宋体" w:hAnsi="宋体"/>
          <w:sz w:val="24"/>
          <w:szCs w:val="24"/>
        </w:rPr>
      </w:pPr>
    </w:p>
    <w:p>
      <w:pPr>
        <w:overflowPunct w:val="0"/>
        <w:spacing w:line="360" w:lineRule="auto"/>
        <w:ind w:firstLine="2940" w:firstLineChars="1400"/>
        <w:rPr>
          <w:rFonts w:ascii="黑体" w:eastAsia="黑体"/>
        </w:rPr>
      </w:pPr>
      <w:r>
        <w:rPr>
          <w:rFonts w:hint="eastAsia" w:ascii="黑体" w:eastAsia="黑体"/>
        </w:rPr>
        <w:drawing>
          <wp:anchor distT="0" distB="0" distL="114300" distR="114300" simplePos="0" relativeHeight="251658240" behindDoc="0" locked="0" layoutInCell="1" allowOverlap="1">
            <wp:simplePos x="0" y="0"/>
            <wp:positionH relativeFrom="column">
              <wp:posOffset>1828800</wp:posOffset>
            </wp:positionH>
            <wp:positionV relativeFrom="paragraph">
              <wp:posOffset>213995</wp:posOffset>
            </wp:positionV>
            <wp:extent cx="2295525" cy="1762125"/>
            <wp:effectExtent l="0" t="0" r="9525" b="9525"/>
            <wp:wrapNone/>
            <wp:docPr id="68" name="Picture 9" descr="QQ图片20140822154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Picture 9" descr="QQ图片201408221540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2295525" cy="1762125"/>
                    </a:xfrm>
                    <a:prstGeom prst="rect">
                      <a:avLst/>
                    </a:prstGeom>
                    <a:noFill/>
                    <a:ln>
                      <a:noFill/>
                    </a:ln>
                  </pic:spPr>
                </pic:pic>
              </a:graphicData>
            </a:graphic>
          </wp:anchor>
        </w:drawing>
      </w:r>
    </w:p>
    <w:p>
      <w:pPr>
        <w:overflowPunct w:val="0"/>
        <w:spacing w:line="360" w:lineRule="auto"/>
        <w:ind w:firstLine="2940" w:firstLineChars="1400"/>
        <w:rPr>
          <w:rFonts w:ascii="黑体" w:eastAsia="黑体"/>
        </w:rPr>
      </w:pPr>
    </w:p>
    <w:p>
      <w:pPr>
        <w:overflowPunct w:val="0"/>
        <w:spacing w:line="360" w:lineRule="auto"/>
        <w:ind w:firstLine="2940" w:firstLineChars="1400"/>
        <w:rPr>
          <w:rFonts w:ascii="黑体" w:eastAsia="黑体"/>
        </w:rPr>
      </w:pPr>
    </w:p>
    <w:p>
      <w:pPr>
        <w:overflowPunct w:val="0"/>
        <w:spacing w:line="360" w:lineRule="auto"/>
        <w:ind w:firstLine="2940" w:firstLineChars="1400"/>
        <w:rPr>
          <w:rFonts w:ascii="黑体" w:eastAsia="黑体"/>
        </w:rPr>
      </w:pPr>
    </w:p>
    <w:p>
      <w:pPr>
        <w:overflowPunct w:val="0"/>
        <w:spacing w:line="360" w:lineRule="auto"/>
        <w:ind w:firstLine="2940" w:firstLineChars="1400"/>
        <w:rPr>
          <w:rFonts w:ascii="黑体" w:eastAsia="黑体"/>
        </w:rPr>
      </w:pPr>
    </w:p>
    <w:p>
      <w:pPr>
        <w:overflowPunct w:val="0"/>
        <w:spacing w:line="360" w:lineRule="auto"/>
        <w:ind w:firstLine="2940" w:firstLineChars="1400"/>
        <w:rPr>
          <w:rFonts w:ascii="黑体" w:eastAsia="黑体"/>
        </w:rPr>
      </w:pPr>
    </w:p>
    <w:p>
      <w:pPr>
        <w:overflowPunct w:val="0"/>
        <w:spacing w:line="360" w:lineRule="auto"/>
        <w:ind w:firstLine="2940" w:firstLineChars="1400"/>
        <w:rPr>
          <w:rFonts w:ascii="黑体" w:eastAsia="黑体"/>
        </w:rPr>
      </w:pPr>
    </w:p>
    <w:p>
      <w:pPr>
        <w:overflowPunct w:val="0"/>
        <w:spacing w:line="360" w:lineRule="auto"/>
        <w:rPr>
          <w:rFonts w:hint="eastAsia" w:ascii="黑体" w:hAnsi="黑体" w:eastAsia="黑体" w:cs="黑体"/>
          <w:sz w:val="30"/>
          <w:szCs w:val="30"/>
        </w:rPr>
      </w:pPr>
    </w:p>
    <w:p>
      <w:pPr>
        <w:overflowPunct w:val="0"/>
        <w:spacing w:line="480" w:lineRule="auto"/>
        <w:ind w:firstLine="2100" w:firstLineChars="700"/>
        <w:rPr>
          <w:rFonts w:hint="eastAsia" w:ascii="黑体" w:hAnsi="黑体" w:eastAsia="黑体" w:cs="黑体"/>
          <w:sz w:val="30"/>
          <w:szCs w:val="30"/>
        </w:rPr>
      </w:pPr>
      <w:r>
        <w:rPr>
          <w:rFonts w:hint="eastAsia" w:ascii="黑体" w:hAnsi="黑体" w:eastAsia="黑体" w:cs="黑体"/>
          <w:sz w:val="30"/>
          <w:szCs w:val="30"/>
        </w:rPr>
        <w:t>项目编号：</w:t>
      </w:r>
      <w:r>
        <w:rPr>
          <w:rFonts w:hint="eastAsia" w:ascii="黑体" w:hAnsi="黑体" w:eastAsia="黑体" w:cs="黑体"/>
          <w:b w:val="0"/>
          <w:bCs w:val="0"/>
          <w:sz w:val="30"/>
          <w:szCs w:val="30"/>
        </w:rPr>
        <w:t xml:space="preserve">JXJH2020-GZ-C003-1 </w:t>
      </w:r>
    </w:p>
    <w:p>
      <w:pPr>
        <w:overflowPunct w:val="0"/>
        <w:spacing w:line="480" w:lineRule="auto"/>
        <w:ind w:firstLine="2100" w:firstLineChars="700"/>
        <w:rPr>
          <w:rFonts w:hint="eastAsia" w:ascii="黑体" w:hAnsi="黑体" w:eastAsia="黑体" w:cs="黑体"/>
          <w:sz w:val="30"/>
          <w:szCs w:val="30"/>
        </w:rPr>
      </w:pPr>
      <w:r>
        <w:rPr>
          <w:rFonts w:hint="eastAsia" w:ascii="黑体" w:hAnsi="黑体" w:eastAsia="黑体" w:cs="黑体"/>
          <w:sz w:val="30"/>
          <w:szCs w:val="30"/>
        </w:rPr>
        <w:t>采购单位：赣州银行股份有限公司</w:t>
      </w:r>
    </w:p>
    <w:p>
      <w:pPr>
        <w:overflowPunct w:val="0"/>
        <w:spacing w:line="480" w:lineRule="auto"/>
        <w:ind w:firstLine="1200" w:firstLineChars="400"/>
        <w:rPr>
          <w:rFonts w:hint="eastAsia" w:ascii="黑体" w:hAnsi="黑体" w:eastAsia="黑体" w:cs="黑体"/>
          <w:b/>
          <w:bCs/>
          <w:spacing w:val="13"/>
          <w:kern w:val="0"/>
          <w:sz w:val="30"/>
          <w:szCs w:val="30"/>
        </w:rPr>
      </w:pPr>
      <w:r>
        <w:rPr>
          <w:rFonts w:hint="eastAsia" w:ascii="黑体" w:hAnsi="黑体" w:eastAsia="黑体" w:cs="黑体"/>
          <w:sz w:val="30"/>
          <w:szCs w:val="30"/>
        </w:rPr>
        <w:t>采购内容：原大楼主楼及附楼电梯采购及安装项目（第二次）</w:t>
      </w:r>
    </w:p>
    <w:p>
      <w:pPr>
        <w:pStyle w:val="5"/>
        <w:rPr>
          <w:rFonts w:hint="eastAsia" w:ascii="黑体" w:hAnsi="黑体" w:eastAsia="黑体" w:cs="黑体"/>
          <w:sz w:val="30"/>
          <w:szCs w:val="30"/>
        </w:rPr>
      </w:pPr>
    </w:p>
    <w:p>
      <w:pPr>
        <w:overflowPunct w:val="0"/>
        <w:spacing w:line="360" w:lineRule="auto"/>
        <w:jc w:val="center"/>
        <w:rPr>
          <w:rFonts w:hint="eastAsia" w:ascii="黑体" w:hAnsi="黑体" w:eastAsia="黑体" w:cs="黑体"/>
          <w:sz w:val="30"/>
          <w:szCs w:val="30"/>
        </w:rPr>
      </w:pPr>
      <w:r>
        <w:rPr>
          <w:rFonts w:hint="eastAsia" w:ascii="黑体" w:hAnsi="黑体" w:eastAsia="黑体" w:cs="黑体"/>
          <w:sz w:val="30"/>
          <w:szCs w:val="30"/>
        </w:rPr>
        <w:t>江西久和招标服务有限公司</w:t>
      </w:r>
    </w:p>
    <w:p>
      <w:pPr>
        <w:pStyle w:val="24"/>
        <w:widowControl w:val="0"/>
        <w:autoSpaceDE w:val="0"/>
        <w:spacing w:before="0" w:beforeAutospacing="0" w:after="0" w:afterAutospacing="0"/>
        <w:jc w:val="center"/>
        <w:rPr>
          <w:rFonts w:hint="eastAsia" w:ascii="黑体" w:hAnsi="黑体" w:eastAsia="黑体" w:cs="黑体"/>
          <w:b/>
          <w:spacing w:val="10"/>
          <w:sz w:val="30"/>
          <w:szCs w:val="30"/>
        </w:rPr>
      </w:pPr>
      <w:r>
        <w:rPr>
          <w:rFonts w:hint="eastAsia" w:ascii="黑体" w:hAnsi="黑体" w:eastAsia="黑体" w:cs="黑体"/>
          <w:sz w:val="30"/>
          <w:szCs w:val="30"/>
        </w:rPr>
        <w:t>二零二零年</w:t>
      </w:r>
      <w:r>
        <w:rPr>
          <w:rFonts w:hint="eastAsia" w:ascii="黑体" w:hAnsi="黑体" w:eastAsia="黑体" w:cs="黑体"/>
          <w:sz w:val="30"/>
          <w:szCs w:val="30"/>
          <w:lang w:eastAsia="zh-CN"/>
        </w:rPr>
        <w:t>十</w:t>
      </w:r>
      <w:r>
        <w:rPr>
          <w:rFonts w:hint="eastAsia" w:ascii="黑体" w:hAnsi="黑体" w:eastAsia="黑体" w:cs="黑体"/>
          <w:sz w:val="30"/>
          <w:szCs w:val="30"/>
        </w:rPr>
        <w:t>月</w:t>
      </w:r>
    </w:p>
    <w:p>
      <w:pPr>
        <w:pStyle w:val="2"/>
        <w:spacing w:line="520" w:lineRule="exact"/>
        <w:rPr>
          <w:rFonts w:hAnsi="宋体"/>
          <w:b/>
          <w:sz w:val="48"/>
          <w:szCs w:val="48"/>
        </w:rPr>
      </w:pPr>
      <w:r>
        <w:rPr>
          <w:rFonts w:hint="eastAsia" w:hAnsi="宋体"/>
          <w:b/>
          <w:sz w:val="48"/>
          <w:szCs w:val="48"/>
        </w:rPr>
        <w:t xml:space="preserve">             </w:t>
      </w:r>
    </w:p>
    <w:p>
      <w:pPr>
        <w:pStyle w:val="2"/>
        <w:spacing w:line="520" w:lineRule="exact"/>
        <w:ind w:firstLine="2891" w:firstLineChars="600"/>
        <w:rPr>
          <w:rFonts w:hAnsi="宋体"/>
          <w:b/>
          <w:sz w:val="48"/>
          <w:szCs w:val="48"/>
        </w:rPr>
      </w:pPr>
      <w:r>
        <w:rPr>
          <w:rFonts w:hint="eastAsia" w:hAnsi="宋体"/>
          <w:b/>
          <w:sz w:val="48"/>
          <w:szCs w:val="48"/>
        </w:rPr>
        <w:t xml:space="preserve"> </w:t>
      </w:r>
    </w:p>
    <w:p>
      <w:pPr>
        <w:pStyle w:val="2"/>
        <w:spacing w:line="520" w:lineRule="exact"/>
        <w:ind w:firstLine="2891" w:firstLineChars="600"/>
        <w:rPr>
          <w:rFonts w:hAnsi="宋体"/>
          <w:b/>
          <w:sz w:val="48"/>
          <w:szCs w:val="48"/>
        </w:rPr>
      </w:pPr>
      <w:r>
        <w:rPr>
          <w:rFonts w:hint="eastAsia" w:hAnsi="宋体"/>
          <w:b/>
          <w:sz w:val="48"/>
          <w:szCs w:val="48"/>
        </w:rPr>
        <w:t xml:space="preserve"> 目      录</w:t>
      </w:r>
    </w:p>
    <w:p>
      <w:pPr>
        <w:pStyle w:val="2"/>
        <w:spacing w:line="520" w:lineRule="exact"/>
        <w:jc w:val="center"/>
        <w:rPr>
          <w:rFonts w:hAnsi="宋体"/>
          <w:b/>
          <w:sz w:val="48"/>
          <w:szCs w:val="48"/>
        </w:rPr>
      </w:pPr>
    </w:p>
    <w:p>
      <w:pPr>
        <w:pStyle w:val="2"/>
        <w:spacing w:line="520" w:lineRule="exact"/>
        <w:jc w:val="center"/>
        <w:rPr>
          <w:rFonts w:hAnsi="宋体"/>
          <w:b/>
          <w:sz w:val="48"/>
          <w:szCs w:val="48"/>
        </w:rPr>
      </w:pPr>
    </w:p>
    <w:p>
      <w:pPr>
        <w:pStyle w:val="2"/>
        <w:spacing w:line="520" w:lineRule="exact"/>
        <w:jc w:val="center"/>
        <w:rPr>
          <w:rFonts w:hAnsi="宋体"/>
          <w:b/>
          <w:sz w:val="48"/>
          <w:szCs w:val="48"/>
        </w:rPr>
      </w:pPr>
    </w:p>
    <w:p>
      <w:pPr>
        <w:numPr>
          <w:ilvl w:val="0"/>
          <w:numId w:val="1"/>
        </w:numPr>
        <w:rPr>
          <w:rFonts w:ascii="宋体" w:hAnsi="宋体" w:cs="宋体"/>
          <w:b/>
          <w:sz w:val="32"/>
          <w:szCs w:val="32"/>
        </w:rPr>
      </w:pPr>
      <w:r>
        <w:rPr>
          <w:rFonts w:hint="eastAsia" w:ascii="宋体" w:hAnsi="宋体" w:cs="宋体"/>
          <w:b/>
          <w:sz w:val="32"/>
          <w:szCs w:val="32"/>
        </w:rPr>
        <w:t>磋商邀请函</w:t>
      </w:r>
    </w:p>
    <w:p>
      <w:pPr>
        <w:rPr>
          <w:rFonts w:ascii="宋体" w:hAnsi="宋体" w:cs="宋体"/>
          <w:b/>
          <w:sz w:val="32"/>
          <w:szCs w:val="32"/>
        </w:rPr>
      </w:pPr>
    </w:p>
    <w:p>
      <w:pPr>
        <w:numPr>
          <w:ilvl w:val="0"/>
          <w:numId w:val="1"/>
        </w:numPr>
        <w:rPr>
          <w:rFonts w:ascii="宋体" w:hAnsi="宋体" w:cs="宋体"/>
          <w:b/>
          <w:sz w:val="32"/>
          <w:szCs w:val="32"/>
        </w:rPr>
      </w:pPr>
      <w:r>
        <w:rPr>
          <w:rFonts w:hint="eastAsia" w:ascii="宋体" w:hAnsi="宋体" w:cs="宋体"/>
          <w:b/>
          <w:sz w:val="32"/>
          <w:szCs w:val="32"/>
        </w:rPr>
        <w:t>供应商须知</w:t>
      </w:r>
    </w:p>
    <w:p>
      <w:pPr>
        <w:rPr>
          <w:rFonts w:ascii="宋体" w:hAnsi="宋体" w:cs="宋体"/>
          <w:b/>
          <w:sz w:val="32"/>
          <w:szCs w:val="32"/>
        </w:rPr>
      </w:pPr>
    </w:p>
    <w:p>
      <w:pPr>
        <w:numPr>
          <w:ilvl w:val="0"/>
          <w:numId w:val="1"/>
        </w:numPr>
        <w:rPr>
          <w:rFonts w:ascii="宋体" w:hAnsi="宋体" w:cs="宋体"/>
          <w:b/>
          <w:sz w:val="32"/>
          <w:szCs w:val="32"/>
        </w:rPr>
      </w:pPr>
      <w:r>
        <w:rPr>
          <w:rFonts w:hint="eastAsia" w:ascii="宋体" w:hAnsi="宋体" w:cs="宋体"/>
          <w:b/>
          <w:sz w:val="32"/>
          <w:szCs w:val="32"/>
        </w:rPr>
        <w:t>响应文件格式</w:t>
      </w:r>
    </w:p>
    <w:p>
      <w:pPr>
        <w:rPr>
          <w:rFonts w:ascii="宋体" w:hAnsi="宋体" w:cs="宋体"/>
          <w:b/>
          <w:sz w:val="32"/>
          <w:szCs w:val="32"/>
        </w:rPr>
      </w:pPr>
    </w:p>
    <w:p>
      <w:pPr>
        <w:numPr>
          <w:ilvl w:val="0"/>
          <w:numId w:val="1"/>
        </w:numPr>
        <w:rPr>
          <w:rFonts w:ascii="宋体" w:hAnsi="宋体" w:cs="宋体"/>
          <w:b/>
          <w:sz w:val="32"/>
          <w:szCs w:val="32"/>
        </w:rPr>
      </w:pPr>
      <w:r>
        <w:rPr>
          <w:rFonts w:hint="eastAsia" w:ascii="宋体" w:hAnsi="宋体" w:cs="宋体"/>
          <w:b/>
          <w:sz w:val="32"/>
          <w:szCs w:val="32"/>
        </w:rPr>
        <w:t>政府采购合同</w:t>
      </w:r>
    </w:p>
    <w:p>
      <w:pPr>
        <w:ind w:left="105"/>
        <w:rPr>
          <w:rFonts w:ascii="宋体" w:hAnsi="宋体" w:cs="宋体"/>
          <w:b/>
          <w:sz w:val="32"/>
          <w:szCs w:val="32"/>
        </w:rPr>
      </w:pPr>
    </w:p>
    <w:p>
      <w:pPr>
        <w:pStyle w:val="204"/>
        <w:numPr>
          <w:ilvl w:val="0"/>
          <w:numId w:val="1"/>
        </w:numPr>
        <w:ind w:firstLineChars="0"/>
        <w:rPr>
          <w:rFonts w:hAnsi="宋体" w:cs="宋体"/>
          <w:b/>
          <w:sz w:val="32"/>
          <w:szCs w:val="32"/>
        </w:rPr>
      </w:pPr>
      <w:r>
        <w:rPr>
          <w:rFonts w:hint="eastAsia" w:hAnsi="宋体" w:cs="宋体"/>
          <w:b/>
          <w:sz w:val="32"/>
          <w:szCs w:val="32"/>
        </w:rPr>
        <w:t>采购需求、技术规格及商务要求</w:t>
      </w:r>
    </w:p>
    <w:p>
      <w:pPr>
        <w:pStyle w:val="204"/>
        <w:ind w:firstLine="643"/>
        <w:rPr>
          <w:rFonts w:hAnsi="宋体" w:cs="宋体"/>
          <w:b/>
          <w:sz w:val="32"/>
          <w:szCs w:val="32"/>
        </w:rPr>
      </w:pPr>
    </w:p>
    <w:p>
      <w:pPr>
        <w:pStyle w:val="204"/>
        <w:ind w:left="825" w:firstLine="0" w:firstLineChars="0"/>
        <w:rPr>
          <w:rFonts w:hAnsi="宋体" w:cs="宋体"/>
          <w:b/>
          <w:sz w:val="32"/>
          <w:szCs w:val="32"/>
        </w:rPr>
      </w:pPr>
    </w:p>
    <w:p>
      <w:pPr>
        <w:pStyle w:val="204"/>
        <w:ind w:left="825" w:firstLine="0" w:firstLineChars="0"/>
        <w:rPr>
          <w:rFonts w:hAnsi="宋体" w:cs="宋体"/>
          <w:b/>
          <w:sz w:val="32"/>
          <w:szCs w:val="32"/>
        </w:rPr>
      </w:pPr>
    </w:p>
    <w:p>
      <w:pPr>
        <w:pStyle w:val="2"/>
        <w:spacing w:line="520" w:lineRule="exact"/>
        <w:jc w:val="center"/>
        <w:rPr>
          <w:rFonts w:hAnsi="宋体"/>
          <w:b/>
          <w:sz w:val="48"/>
          <w:szCs w:val="48"/>
        </w:rPr>
      </w:pPr>
    </w:p>
    <w:p>
      <w:pPr>
        <w:pStyle w:val="4"/>
        <w:tabs>
          <w:tab w:val="left" w:pos="2707"/>
        </w:tabs>
        <w:ind w:firstLine="2088" w:firstLineChars="650"/>
        <w:rPr>
          <w:sz w:val="32"/>
          <w:szCs w:val="32"/>
        </w:rPr>
      </w:pPr>
      <w:r>
        <w:rPr>
          <w:rFonts w:hint="eastAsia"/>
          <w:sz w:val="32"/>
          <w:szCs w:val="32"/>
        </w:rPr>
        <w:t xml:space="preserve">         </w:t>
      </w:r>
      <w:bookmarkStart w:id="0" w:name="_Toc464464191"/>
    </w:p>
    <w:p>
      <w:pPr>
        <w:pStyle w:val="4"/>
        <w:tabs>
          <w:tab w:val="left" w:pos="2707"/>
        </w:tabs>
        <w:ind w:firstLine="2088" w:firstLineChars="650"/>
        <w:rPr>
          <w:sz w:val="32"/>
          <w:szCs w:val="32"/>
        </w:rPr>
        <w:sectPr>
          <w:footerReference r:id="rId4" w:type="first"/>
          <w:footerReference r:id="rId3" w:type="default"/>
          <w:pgSz w:w="11906" w:h="16838"/>
          <w:pgMar w:top="1440" w:right="1080" w:bottom="1440" w:left="1080" w:header="851" w:footer="421" w:gutter="0"/>
          <w:cols w:space="720" w:num="1"/>
          <w:titlePg/>
          <w:docGrid w:type="lines" w:linePitch="331" w:charSpace="0"/>
        </w:sectPr>
      </w:pPr>
    </w:p>
    <w:p>
      <w:pPr>
        <w:pStyle w:val="4"/>
        <w:tabs>
          <w:tab w:val="left" w:pos="2707"/>
        </w:tabs>
        <w:jc w:val="center"/>
      </w:pPr>
      <w:r>
        <w:rPr>
          <w:rFonts w:hint="eastAsia"/>
          <w:sz w:val="32"/>
          <w:szCs w:val="32"/>
        </w:rPr>
        <w:t>一、磋商邀请函</w:t>
      </w:r>
      <w:bookmarkEnd w:id="0"/>
      <w:bookmarkStart w:id="1" w:name="_Toc335421049"/>
    </w:p>
    <w:tbl>
      <w:tblPr>
        <w:tblStyle w:val="2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36" w:type="dxa"/>
          </w:tcPr>
          <w:p>
            <w:pPr>
              <w:spacing w:line="276" w:lineRule="auto"/>
              <w:rPr>
                <w:rFonts w:ascii="宋体" w:hAnsi="宋体" w:cs="宋体"/>
              </w:rPr>
            </w:pPr>
            <w:r>
              <w:rPr>
                <w:rFonts w:hint="eastAsia" w:ascii="宋体" w:hAnsi="宋体" w:cs="宋体"/>
              </w:rPr>
              <w:t>项目概况</w:t>
            </w:r>
          </w:p>
          <w:p>
            <w:pPr>
              <w:spacing w:line="276" w:lineRule="auto"/>
              <w:ind w:firstLine="420" w:firstLineChars="200"/>
              <w:rPr>
                <w:rFonts w:ascii="宋体" w:hAnsi="宋体" w:cs="宋体"/>
              </w:rPr>
            </w:pPr>
            <w:r>
              <w:rPr>
                <w:rFonts w:hint="eastAsia" w:ascii="宋体" w:hAnsi="宋体" w:cs="宋体"/>
                <w:kern w:val="0"/>
                <w:u w:val="single"/>
              </w:rPr>
              <w:t>赣州银行股份有限公司原大楼主楼及附楼电梯采购及安装项目（第二次）</w:t>
            </w:r>
            <w:r>
              <w:rPr>
                <w:rFonts w:hint="eastAsia" w:ascii="宋体" w:hAnsi="宋体" w:cs="宋体"/>
                <w:kern w:val="0"/>
              </w:rPr>
              <w:t>的潜在供应商应在</w:t>
            </w:r>
            <w:r>
              <w:rPr>
                <w:rFonts w:hint="eastAsia" w:ascii="宋体" w:hAnsi="宋体" w:cs="宋体"/>
                <w:kern w:val="0"/>
                <w:u w:val="single"/>
              </w:rPr>
              <w:t>赣州银行官网</w:t>
            </w:r>
            <w:r>
              <w:rPr>
                <w:rFonts w:hint="eastAsia" w:ascii="宋体" w:hAnsi="宋体" w:cs="宋体"/>
                <w:kern w:val="0"/>
                <w:sz w:val="21"/>
                <w:szCs w:val="21"/>
                <w:u w:val="single"/>
                <w:lang w:eastAsia="zh-CN"/>
              </w:rPr>
              <w:t>（网址：</w:t>
            </w:r>
            <w:r>
              <w:rPr>
                <w:rStyle w:val="39"/>
                <w:rFonts w:hint="eastAsia" w:ascii="宋体" w:hAnsi="宋体" w:cs="宋体"/>
                <w:color w:val="auto"/>
                <w:kern w:val="0"/>
                <w:sz w:val="21"/>
                <w:szCs w:val="21"/>
                <w:u w:val="single"/>
              </w:rPr>
              <w:t>http://www.bankgz.com/</w:t>
            </w:r>
            <w:r>
              <w:rPr>
                <w:rFonts w:hint="eastAsia" w:ascii="宋体" w:hAnsi="宋体" w:cs="宋体"/>
                <w:kern w:val="0"/>
                <w:sz w:val="21"/>
                <w:szCs w:val="21"/>
                <w:u w:val="single"/>
              </w:rPr>
              <w:t>）</w:t>
            </w:r>
            <w:r>
              <w:rPr>
                <w:rFonts w:hint="eastAsia" w:ascii="宋体" w:hAnsi="宋体" w:cs="宋体"/>
                <w:kern w:val="0"/>
              </w:rPr>
              <w:t>获取磋商文件，并于</w:t>
            </w:r>
            <w:r>
              <w:rPr>
                <w:rFonts w:hint="eastAsia" w:ascii="宋体" w:hAnsi="宋体" w:cs="宋体"/>
                <w:kern w:val="0"/>
                <w:u w:val="single"/>
              </w:rPr>
              <w:t>2020年</w:t>
            </w:r>
            <w:r>
              <w:rPr>
                <w:rFonts w:hint="eastAsia" w:ascii="宋体" w:hAnsi="宋体" w:cs="宋体"/>
                <w:kern w:val="0"/>
                <w:u w:val="single"/>
                <w:lang w:val="en-US" w:eastAsia="zh-CN"/>
              </w:rPr>
              <w:t>11</w:t>
            </w:r>
            <w:r>
              <w:rPr>
                <w:rFonts w:hint="eastAsia" w:ascii="宋体" w:hAnsi="宋体" w:cs="宋体"/>
                <w:kern w:val="0"/>
                <w:u w:val="single"/>
              </w:rPr>
              <w:t>月</w:t>
            </w:r>
            <w:r>
              <w:rPr>
                <w:rFonts w:hint="eastAsia" w:ascii="宋体" w:hAnsi="宋体" w:cs="宋体"/>
                <w:kern w:val="0"/>
                <w:u w:val="single"/>
                <w:lang w:val="en-US" w:eastAsia="zh-CN"/>
              </w:rPr>
              <w:t>10</w:t>
            </w:r>
            <w:r>
              <w:rPr>
                <w:rFonts w:hint="eastAsia" w:ascii="宋体" w:hAnsi="宋体" w:cs="宋体"/>
                <w:kern w:val="0"/>
                <w:u w:val="single"/>
              </w:rPr>
              <w:t>日 下午</w:t>
            </w:r>
            <w:r>
              <w:rPr>
                <w:rFonts w:hint="eastAsia" w:ascii="宋体" w:hAnsi="宋体" w:cs="宋体"/>
                <w:kern w:val="0"/>
                <w:u w:val="single"/>
                <w:lang w:val="en-US" w:eastAsia="zh-CN"/>
              </w:rPr>
              <w:t>14</w:t>
            </w:r>
            <w:r>
              <w:rPr>
                <w:rFonts w:hint="eastAsia" w:ascii="宋体" w:hAnsi="宋体" w:cs="宋体"/>
                <w:kern w:val="0"/>
                <w:u w:val="single"/>
              </w:rPr>
              <w:t>点30分</w:t>
            </w:r>
            <w:r>
              <w:rPr>
                <w:rFonts w:hint="eastAsia" w:ascii="宋体" w:hAnsi="宋体" w:cs="宋体"/>
                <w:kern w:val="0"/>
              </w:rPr>
              <w:t>（北京时间）前提交响应文件。</w:t>
            </w:r>
          </w:p>
        </w:tc>
      </w:tr>
    </w:tbl>
    <w:p>
      <w:pPr>
        <w:keepNext w:val="0"/>
        <w:keepLines w:val="0"/>
        <w:pageBreakBefore w:val="0"/>
        <w:kinsoku/>
        <w:wordWrap/>
        <w:overflowPunct/>
        <w:topLinePunct w:val="0"/>
        <w:autoSpaceDE/>
        <w:autoSpaceDN/>
        <w:bidi w:val="0"/>
        <w:adjustRightInd/>
        <w:snapToGrid/>
        <w:spacing w:line="360" w:lineRule="auto"/>
        <w:textAlignment w:val="auto"/>
        <w:rPr>
          <w:rFonts w:ascii="宋体" w:hAnsi="宋体" w:cs="宋体"/>
          <w:b/>
          <w:bCs/>
        </w:rPr>
      </w:pPr>
      <w:bookmarkStart w:id="2" w:name="_Toc35393798"/>
      <w:bookmarkStart w:id="3" w:name="_Toc35393629"/>
      <w:bookmarkStart w:id="4" w:name="_Toc28359012"/>
      <w:bookmarkStart w:id="5" w:name="_Toc28359089"/>
      <w:r>
        <w:rPr>
          <w:rFonts w:hint="eastAsia" w:ascii="宋体" w:hAnsi="宋体" w:cs="宋体"/>
          <w:b/>
          <w:bCs/>
        </w:rPr>
        <w:t>一、项目基本情况</w:t>
      </w:r>
      <w:bookmarkEnd w:id="2"/>
      <w:bookmarkEnd w:id="3"/>
      <w:bookmarkEnd w:id="4"/>
      <w:bookmarkEnd w:id="5"/>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宋体" w:hAnsi="宋体" w:cs="宋体"/>
        </w:rPr>
      </w:pPr>
      <w:r>
        <w:rPr>
          <w:rFonts w:hint="eastAsia" w:ascii="宋体" w:hAnsi="宋体" w:cs="宋体"/>
        </w:rPr>
        <w:t>项目编号：</w:t>
      </w:r>
      <w:r>
        <w:rPr>
          <w:rFonts w:hint="eastAsia" w:ascii="宋体" w:hAnsi="宋体"/>
          <w:szCs w:val="21"/>
        </w:rPr>
        <w:t>JXJH2020-GZ-C003-1</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宋体" w:hAnsi="宋体" w:cs="宋体"/>
        </w:rPr>
      </w:pPr>
      <w:r>
        <w:rPr>
          <w:rFonts w:hint="eastAsia" w:ascii="宋体" w:hAnsi="宋体" w:cs="宋体"/>
        </w:rPr>
        <w:t>项目名称：</w:t>
      </w:r>
      <w:r>
        <w:rPr>
          <w:rFonts w:hint="eastAsia" w:ascii="宋体" w:hAnsi="宋体"/>
          <w:szCs w:val="21"/>
        </w:rPr>
        <w:t>赣州银行股份有限公司原大楼主楼及附楼电梯采购及安装项目（第二次）</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宋体" w:hAnsi="宋体" w:cs="宋体"/>
        </w:rPr>
      </w:pPr>
      <w:r>
        <w:rPr>
          <w:rFonts w:hint="eastAsia" w:ascii="宋体" w:hAnsi="宋体" w:cs="宋体"/>
        </w:rPr>
        <w:t>采购方式：竞争性磋商</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default" w:ascii="宋体" w:hAnsi="宋体" w:eastAsia="宋体" w:cs="宋体"/>
          <w:lang w:val="en-US" w:eastAsia="zh-CN"/>
        </w:rPr>
      </w:pPr>
      <w:r>
        <w:rPr>
          <w:rFonts w:hint="eastAsia" w:ascii="宋体" w:hAnsi="宋体" w:cs="宋体"/>
        </w:rPr>
        <w:t>预算金额：</w:t>
      </w:r>
      <w:r>
        <w:rPr>
          <w:rFonts w:hint="eastAsia" w:ascii="宋体"/>
          <w:szCs w:val="21"/>
        </w:rPr>
        <w:t xml:space="preserve"> </w:t>
      </w:r>
      <w:r>
        <w:rPr>
          <w:rFonts w:hint="eastAsia" w:ascii="宋体"/>
          <w:szCs w:val="21"/>
          <w:lang w:val="en-US" w:eastAsia="zh-CN"/>
        </w:rPr>
        <w:t>85万元</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宋体" w:hAnsi="宋体" w:cs="宋体"/>
        </w:rPr>
      </w:pPr>
      <w:r>
        <w:rPr>
          <w:rFonts w:hint="eastAsia" w:ascii="宋体" w:hAnsi="宋体" w:cs="宋体"/>
        </w:rPr>
        <w:t>采购需求：</w:t>
      </w:r>
    </w:p>
    <w:tbl>
      <w:tblPr>
        <w:tblStyle w:val="28"/>
        <w:tblW w:w="4737" w:type="pct"/>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2535"/>
        <w:gridCol w:w="693"/>
        <w:gridCol w:w="893"/>
        <w:gridCol w:w="1657"/>
        <w:gridCol w:w="3471"/>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21" w:hRule="atLeast"/>
          <w:jc w:val="center"/>
        </w:trPr>
        <w:tc>
          <w:tcPr>
            <w:tcW w:w="2531"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ascii="宋体" w:hAnsi="宋体" w:cs="宋体"/>
              </w:rPr>
            </w:pPr>
            <w:r>
              <w:rPr>
                <w:rFonts w:hint="eastAsia" w:ascii="宋体" w:hAnsi="宋体"/>
                <w:b/>
                <w:bCs/>
                <w:szCs w:val="21"/>
              </w:rPr>
              <w:t>项目名称</w:t>
            </w:r>
          </w:p>
        </w:tc>
        <w:tc>
          <w:tcPr>
            <w:tcW w:w="692"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ascii="宋体" w:hAnsi="宋体" w:cs="宋体"/>
              </w:rPr>
            </w:pPr>
            <w:r>
              <w:rPr>
                <w:rFonts w:hint="eastAsia" w:ascii="宋体" w:hAnsi="宋体"/>
                <w:b/>
                <w:bCs/>
                <w:szCs w:val="21"/>
              </w:rPr>
              <w:t>数 量</w:t>
            </w:r>
          </w:p>
        </w:tc>
        <w:tc>
          <w:tcPr>
            <w:tcW w:w="892"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ascii="宋体" w:hAnsi="宋体" w:cs="宋体"/>
              </w:rPr>
            </w:pPr>
            <w:r>
              <w:rPr>
                <w:rFonts w:hint="eastAsia" w:ascii="宋体" w:hAnsi="宋体"/>
                <w:b/>
                <w:bCs/>
                <w:szCs w:val="21"/>
              </w:rPr>
              <w:t>单 位</w:t>
            </w:r>
          </w:p>
        </w:tc>
        <w:tc>
          <w:tcPr>
            <w:tcW w:w="1654"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ascii="宋体" w:hAnsi="宋体" w:cs="宋体"/>
              </w:rPr>
            </w:pPr>
            <w:r>
              <w:rPr>
                <w:rFonts w:hint="eastAsia" w:ascii="宋体" w:hAnsi="宋体"/>
                <w:b/>
                <w:bCs/>
                <w:color w:val="000000" w:themeColor="text1"/>
                <w:szCs w:val="21"/>
                <w14:textFill>
                  <w14:solidFill>
                    <w14:schemeClr w14:val="tx1"/>
                  </w14:solidFill>
                </w14:textFill>
              </w:rPr>
              <w:t>预算总价（万元）</w:t>
            </w:r>
          </w:p>
        </w:tc>
        <w:tc>
          <w:tcPr>
            <w:tcW w:w="3466"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ascii="宋体" w:hAnsi="宋体" w:cs="宋体"/>
              </w:rPr>
            </w:pPr>
            <w:r>
              <w:rPr>
                <w:rFonts w:hint="eastAsia" w:ascii="宋体" w:hAnsi="宋体"/>
                <w:b/>
                <w:bCs/>
                <w:szCs w:val="21"/>
              </w:rPr>
              <w:t>主要技术参数</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897" w:hRule="atLeast"/>
          <w:jc w:val="center"/>
        </w:trPr>
        <w:tc>
          <w:tcPr>
            <w:tcW w:w="2531"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ascii="宋体" w:hAnsi="宋体" w:cs="宋体"/>
              </w:rPr>
            </w:pPr>
            <w:r>
              <w:rPr>
                <w:rFonts w:hint="eastAsia" w:ascii="宋体" w:hAnsi="宋体"/>
                <w:b w:val="0"/>
                <w:bCs w:val="0"/>
                <w:szCs w:val="21"/>
              </w:rPr>
              <w:t>赣州银行股份有限公司原大楼主楼及附楼电梯采购及安装项目（第二次）</w:t>
            </w:r>
          </w:p>
        </w:tc>
        <w:tc>
          <w:tcPr>
            <w:tcW w:w="692"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ascii="宋体" w:hAnsi="宋体" w:cs="宋体"/>
              </w:rPr>
            </w:pPr>
            <w:r>
              <w:rPr>
                <w:rFonts w:hint="eastAsia" w:ascii="宋体" w:hAnsi="宋体"/>
                <w:szCs w:val="21"/>
              </w:rPr>
              <w:t>3</w:t>
            </w:r>
          </w:p>
        </w:tc>
        <w:tc>
          <w:tcPr>
            <w:tcW w:w="892"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ascii="宋体" w:hAnsi="宋体" w:cs="宋体"/>
              </w:rPr>
            </w:pPr>
            <w:r>
              <w:rPr>
                <w:rFonts w:hint="eastAsia" w:ascii="宋体" w:hAnsi="宋体"/>
                <w:szCs w:val="21"/>
              </w:rPr>
              <w:t>台</w:t>
            </w:r>
          </w:p>
        </w:tc>
        <w:tc>
          <w:tcPr>
            <w:tcW w:w="1654"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tabs>
                <w:tab w:val="left" w:pos="3152"/>
              </w:tabs>
              <w:kinsoku/>
              <w:wordWrap/>
              <w:overflowPunct/>
              <w:topLinePunct w:val="0"/>
              <w:autoSpaceDE/>
              <w:autoSpaceDN/>
              <w:bidi w:val="0"/>
              <w:adjustRightInd/>
              <w:snapToGrid/>
              <w:spacing w:line="360" w:lineRule="auto"/>
              <w:jc w:val="center"/>
              <w:textAlignment w:val="auto"/>
              <w:rPr>
                <w:rFonts w:hint="default" w:ascii="宋体" w:hAnsi="宋体" w:eastAsia="宋体" w:cs="宋体"/>
                <w:lang w:val="en-US" w:eastAsia="zh-CN"/>
              </w:rPr>
            </w:pPr>
            <w:r>
              <w:rPr>
                <w:rFonts w:hint="eastAsia" w:ascii="宋体" w:hAnsi="宋体" w:cs="宋体"/>
                <w:lang w:val="en-US" w:eastAsia="zh-CN"/>
              </w:rPr>
              <w:t>85万</w:t>
            </w:r>
          </w:p>
        </w:tc>
        <w:tc>
          <w:tcPr>
            <w:tcW w:w="3466"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tabs>
                <w:tab w:val="left" w:pos="3152"/>
              </w:tabs>
              <w:kinsoku/>
              <w:wordWrap/>
              <w:overflowPunct/>
              <w:topLinePunct w:val="0"/>
              <w:autoSpaceDE/>
              <w:autoSpaceDN/>
              <w:bidi w:val="0"/>
              <w:adjustRightInd/>
              <w:snapToGrid/>
              <w:spacing w:line="360" w:lineRule="auto"/>
              <w:textAlignment w:val="auto"/>
              <w:rPr>
                <w:rFonts w:ascii="宋体" w:hAnsi="宋体"/>
                <w:szCs w:val="21"/>
              </w:rPr>
            </w:pPr>
            <w:r>
              <w:rPr>
                <w:rFonts w:hint="eastAsia" w:ascii="宋体" w:hAnsi="宋体"/>
                <w:szCs w:val="21"/>
              </w:rPr>
              <w:t>含13层站曳引式客梯2台、13层站消防电梯1台、（详细参数见磋商文件第五章）</w:t>
            </w:r>
          </w:p>
        </w:tc>
      </w:tr>
    </w:tbl>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宋体" w:hAnsi="宋体" w:cs="宋体"/>
          <w:u w:val="single"/>
        </w:rPr>
      </w:pPr>
      <w:r>
        <w:rPr>
          <w:rFonts w:hint="eastAsia" w:ascii="宋体" w:hAnsi="宋体" w:cs="宋体"/>
        </w:rPr>
        <w:t>合同履行期限：详见磋商文件。</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宋体" w:hAnsi="宋体" w:cs="宋体"/>
        </w:rPr>
      </w:pPr>
      <w:r>
        <w:rPr>
          <w:rFonts w:hint="eastAsia" w:ascii="宋体" w:hAnsi="宋体" w:cs="宋体"/>
        </w:rPr>
        <w:t>本项目不接受联合体投标。</w:t>
      </w:r>
    </w:p>
    <w:p>
      <w:pPr>
        <w:keepNext w:val="0"/>
        <w:keepLines w:val="0"/>
        <w:pageBreakBefore w:val="0"/>
        <w:kinsoku/>
        <w:wordWrap/>
        <w:overflowPunct/>
        <w:topLinePunct w:val="0"/>
        <w:autoSpaceDE/>
        <w:autoSpaceDN/>
        <w:bidi w:val="0"/>
        <w:adjustRightInd/>
        <w:snapToGrid/>
        <w:spacing w:line="240" w:lineRule="auto"/>
        <w:textAlignment w:val="auto"/>
        <w:rPr>
          <w:rFonts w:ascii="宋体" w:hAnsi="宋体" w:cs="宋体"/>
          <w:b/>
          <w:bCs/>
        </w:rPr>
      </w:pPr>
      <w:bookmarkStart w:id="6" w:name="_Toc35393630"/>
      <w:bookmarkStart w:id="7" w:name="_Toc28359090"/>
      <w:bookmarkStart w:id="8" w:name="_Toc28359013"/>
      <w:bookmarkStart w:id="9" w:name="_Toc35393799"/>
      <w:r>
        <w:rPr>
          <w:rFonts w:hint="eastAsia" w:ascii="宋体" w:hAnsi="宋体" w:cs="宋体"/>
          <w:b/>
          <w:bCs/>
        </w:rPr>
        <w:t>二、申请人的资格要求：</w:t>
      </w:r>
      <w:bookmarkEnd w:id="6"/>
      <w:bookmarkEnd w:id="7"/>
      <w:bookmarkEnd w:id="8"/>
      <w:bookmarkEnd w:id="9"/>
    </w:p>
    <w:p>
      <w:pPr>
        <w:keepNext w:val="0"/>
        <w:keepLines w:val="0"/>
        <w:pageBreakBefore w:val="0"/>
        <w:kinsoku/>
        <w:wordWrap/>
        <w:overflowPunct/>
        <w:topLinePunct w:val="0"/>
        <w:autoSpaceDE/>
        <w:autoSpaceDN/>
        <w:bidi w:val="0"/>
        <w:adjustRightInd/>
        <w:snapToGrid/>
        <w:spacing w:before="170" w:line="240" w:lineRule="auto"/>
        <w:ind w:firstLine="420" w:firstLineChars="200"/>
        <w:jc w:val="left"/>
        <w:textAlignment w:val="auto"/>
      </w:pPr>
      <w:r>
        <w:rPr>
          <w:rFonts w:hint="eastAsia" w:ascii="宋体" w:hAnsi="宋体" w:cs="宋体"/>
          <w:bCs/>
        </w:rPr>
        <w:t>1.</w:t>
      </w:r>
      <w:r>
        <w:rPr>
          <w:rFonts w:hint="eastAsia" w:ascii="宋体" w:hAnsi="宋体" w:cs="宋体"/>
        </w:rPr>
        <w:t>满足《中华人民共和国政府采购法》第二十二条规定：</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宋体" w:hAnsi="宋体"/>
          <w:szCs w:val="28"/>
        </w:rPr>
      </w:pPr>
      <w:r>
        <w:rPr>
          <w:rFonts w:hint="eastAsia" w:ascii="宋体" w:hAnsi="宋体"/>
          <w:szCs w:val="28"/>
        </w:rPr>
        <w:t>1）具有独立承担民事责任的能力；</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宋体" w:hAnsi="宋体"/>
          <w:szCs w:val="28"/>
        </w:rPr>
      </w:pPr>
      <w:r>
        <w:rPr>
          <w:rFonts w:hint="eastAsia" w:ascii="宋体" w:hAnsi="宋体"/>
          <w:szCs w:val="28"/>
        </w:rPr>
        <w:t>2）具有良好的商业信誉和健全的财务会计制度；</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宋体" w:hAnsi="宋体"/>
          <w:szCs w:val="28"/>
        </w:rPr>
      </w:pPr>
      <w:r>
        <w:rPr>
          <w:rFonts w:hint="eastAsia" w:ascii="宋体" w:hAnsi="宋体"/>
          <w:szCs w:val="28"/>
        </w:rPr>
        <w:t>3）具有履行合同所必需的设备和专业技术能力；</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宋体" w:hAnsi="宋体"/>
          <w:szCs w:val="28"/>
        </w:rPr>
      </w:pPr>
      <w:r>
        <w:rPr>
          <w:rFonts w:hint="eastAsia" w:ascii="宋体" w:hAnsi="宋体"/>
          <w:szCs w:val="28"/>
        </w:rPr>
        <w:t>4）有依法缴纳税收和社会保障资金的良好记录；</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szCs w:val="28"/>
        </w:rPr>
      </w:pPr>
      <w:r>
        <w:rPr>
          <w:rFonts w:hint="eastAsia" w:ascii="宋体" w:hAnsi="宋体"/>
          <w:szCs w:val="28"/>
        </w:rPr>
        <w:t>5）参加采购活动前三年内，在经营活动中没有重大违法记录；</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pPr>
      <w:r>
        <w:rPr>
          <w:rFonts w:hint="eastAsia" w:ascii="宋体" w:hAnsi="宋体"/>
          <w:szCs w:val="28"/>
        </w:rPr>
        <w:t>6）</w:t>
      </w:r>
      <w:r>
        <w:rPr>
          <w:rFonts w:hint="eastAsia" w:ascii="宋体" w:hAnsi="宋体"/>
          <w:color w:val="000000" w:themeColor="text1"/>
          <w:szCs w:val="28"/>
          <w14:textFill>
            <w14:solidFill>
              <w14:schemeClr w14:val="tx1"/>
            </w14:solidFill>
          </w14:textFill>
        </w:rPr>
        <w:t>法律、行政法规规定的其他条件：供应商未被“信用中国”网站列入失信被执行人和重大税收违法案件当事人名单的、未被“中国政府采购网”网站列入政府采购严重违法失信行为记录名单（处罚期限尚未届满的）。</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lang w:eastAsia="zh-CN"/>
        </w:rPr>
      </w:pPr>
      <w:r>
        <w:rPr>
          <w:rFonts w:hint="eastAsia" w:ascii="宋体" w:hAnsi="宋体" w:cs="宋体"/>
        </w:rPr>
        <w:t>2.落实政府采购政策需满足的资格要求：详见磋商文件</w:t>
      </w:r>
      <w:r>
        <w:rPr>
          <w:rFonts w:hint="eastAsia" w:ascii="宋体" w:hAnsi="宋体" w:cs="宋体"/>
          <w:lang w:eastAsia="zh-CN"/>
        </w:rPr>
        <w:t>。</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pPr>
      <w:r>
        <w:rPr>
          <w:rFonts w:hint="eastAsia" w:ascii="宋体" w:hAnsi="宋体" w:cs="宋体"/>
        </w:rPr>
        <w:t>3.本项目的特定资格要求：</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宋体" w:hAnsi="宋体" w:cs="宋体"/>
        </w:rPr>
      </w:pPr>
      <w:r>
        <w:rPr>
          <w:rFonts w:hint="eastAsia" w:ascii="宋体" w:hAnsi="宋体" w:cs="宋体"/>
        </w:rPr>
        <w:t>1）具有省级或以上质量技术监督部门颁发的在有效期内的《特种设备（电梯）</w:t>
      </w:r>
      <w:r>
        <w:rPr>
          <w:rFonts w:hint="eastAsia" w:ascii="宋体" w:hAnsi="宋体" w:cs="宋体"/>
          <w:lang w:val="en-US" w:eastAsia="zh-CN"/>
        </w:rPr>
        <w:t>B</w:t>
      </w:r>
      <w:r>
        <w:rPr>
          <w:rFonts w:hint="eastAsia" w:ascii="宋体" w:hAnsi="宋体" w:cs="宋体"/>
        </w:rPr>
        <w:t>级或以上安装改造维修许可证书》；</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lang w:eastAsia="zh-CN"/>
        </w:rPr>
      </w:pPr>
      <w:r>
        <w:rPr>
          <w:rFonts w:hint="eastAsia" w:ascii="宋体" w:hAnsi="宋体" w:cs="宋体"/>
        </w:rPr>
        <w:t>2）单位负责人为同一人或者存在控股、管理关系的不同单位，不得参加同一标段投标</w:t>
      </w:r>
      <w:r>
        <w:rPr>
          <w:rFonts w:hint="eastAsia" w:ascii="宋体" w:hAnsi="宋体" w:cs="宋体"/>
          <w:lang w:eastAsia="zh-CN"/>
        </w:rPr>
        <w:t>。</w:t>
      </w:r>
    </w:p>
    <w:p>
      <w:pPr>
        <w:keepNext w:val="0"/>
        <w:keepLines w:val="0"/>
        <w:pageBreakBefore w:val="0"/>
        <w:kinsoku/>
        <w:wordWrap/>
        <w:overflowPunct/>
        <w:topLinePunct w:val="0"/>
        <w:autoSpaceDE/>
        <w:autoSpaceDN/>
        <w:bidi w:val="0"/>
        <w:adjustRightInd/>
        <w:snapToGrid/>
        <w:spacing w:line="360" w:lineRule="auto"/>
        <w:textAlignment w:val="auto"/>
        <w:rPr>
          <w:rFonts w:ascii="宋体" w:hAnsi="宋体" w:cs="宋体"/>
          <w:b/>
          <w:bCs/>
        </w:rPr>
      </w:pPr>
      <w:bookmarkStart w:id="10" w:name="_Toc35393631"/>
      <w:bookmarkStart w:id="11" w:name="_Toc35393800"/>
      <w:r>
        <w:rPr>
          <w:rFonts w:hint="eastAsia" w:ascii="宋体" w:hAnsi="宋体" w:cs="宋体"/>
          <w:b/>
          <w:bCs/>
        </w:rPr>
        <w:t>三、获取</w:t>
      </w:r>
      <w:bookmarkEnd w:id="10"/>
      <w:bookmarkEnd w:id="11"/>
      <w:r>
        <w:rPr>
          <w:rFonts w:hint="eastAsia" w:ascii="宋体" w:hAnsi="宋体" w:cs="宋体"/>
          <w:b/>
          <w:bCs/>
        </w:rPr>
        <w:t>招标文件</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宋体" w:hAnsi="宋体" w:cs="宋体"/>
        </w:rPr>
      </w:pPr>
      <w:r>
        <w:rPr>
          <w:rFonts w:hint="eastAsia" w:ascii="宋体" w:hAnsi="宋体" w:cs="宋体"/>
        </w:rPr>
        <w:t>时间：2020年</w:t>
      </w:r>
      <w:r>
        <w:rPr>
          <w:rFonts w:hint="eastAsia" w:ascii="宋体" w:hAnsi="宋体" w:cs="宋体"/>
          <w:lang w:val="en-US" w:eastAsia="zh-CN"/>
        </w:rPr>
        <w:t>10</w:t>
      </w:r>
      <w:r>
        <w:rPr>
          <w:rFonts w:hint="eastAsia" w:ascii="宋体" w:hAnsi="宋体" w:cs="宋体"/>
        </w:rPr>
        <w:t>月</w:t>
      </w:r>
      <w:r>
        <w:rPr>
          <w:rFonts w:hint="eastAsia" w:ascii="宋体" w:hAnsi="宋体" w:cs="宋体"/>
          <w:lang w:val="en-US" w:eastAsia="zh-CN"/>
        </w:rPr>
        <w:t>30</w:t>
      </w:r>
      <w:r>
        <w:rPr>
          <w:rFonts w:hint="eastAsia" w:ascii="宋体" w:hAnsi="宋体" w:cs="宋体"/>
        </w:rPr>
        <w:t>日至2020年</w:t>
      </w:r>
      <w:r>
        <w:rPr>
          <w:rFonts w:hint="eastAsia" w:ascii="宋体" w:hAnsi="宋体" w:cs="宋体"/>
          <w:lang w:val="en-US" w:eastAsia="zh-CN"/>
        </w:rPr>
        <w:t>11</w:t>
      </w:r>
      <w:r>
        <w:rPr>
          <w:rFonts w:hint="eastAsia" w:ascii="宋体" w:hAnsi="宋体" w:cs="宋体"/>
        </w:rPr>
        <w:t>月</w:t>
      </w:r>
      <w:r>
        <w:rPr>
          <w:rFonts w:hint="eastAsia" w:ascii="宋体" w:hAnsi="宋体" w:cs="宋体"/>
          <w:lang w:val="en-US" w:eastAsia="zh-CN"/>
        </w:rPr>
        <w:t>5</w:t>
      </w:r>
      <w:r>
        <w:rPr>
          <w:rFonts w:hint="eastAsia" w:ascii="宋体" w:hAnsi="宋体" w:cs="宋体"/>
        </w:rPr>
        <w:t>日（北京时间，法定节假日除外）</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宋体" w:hAnsi="宋体" w:cs="宋体"/>
        </w:rPr>
      </w:pPr>
      <w:r>
        <w:rPr>
          <w:rFonts w:hint="eastAsia" w:ascii="宋体" w:hAnsi="宋体" w:cs="宋体"/>
        </w:rPr>
        <w:t>地点：赣州银行官网</w:t>
      </w:r>
      <w:r>
        <w:rPr>
          <w:rFonts w:hint="eastAsia"/>
        </w:rPr>
        <w:t>（</w:t>
      </w:r>
      <w:r>
        <w:rPr>
          <w:rFonts w:hint="eastAsia" w:ascii="宋体" w:hAnsi="宋体"/>
          <w:kern w:val="0"/>
          <w:szCs w:val="21"/>
        </w:rPr>
        <w:t>http://www.bankgz.com/</w:t>
      </w:r>
      <w:r>
        <w:rPr>
          <w:rFonts w:hint="eastAsia" w:ascii="宋体" w:hAnsi="宋体" w:cs="宋体"/>
        </w:rPr>
        <w:t>）</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宋体" w:hAnsi="宋体" w:cs="宋体"/>
        </w:rPr>
      </w:pPr>
      <w:r>
        <w:rPr>
          <w:rFonts w:hint="eastAsia" w:ascii="宋体" w:hAnsi="宋体" w:cs="宋体"/>
        </w:rPr>
        <w:t>方式：自行下载</w:t>
      </w:r>
      <w:r>
        <w:rPr>
          <w:rFonts w:hint="eastAsia" w:ascii="宋体" w:hAnsi="宋体" w:cs="宋体"/>
          <w:shd w:val="clear" w:color="auto" w:fill="FFFFFF"/>
        </w:rPr>
        <w:t>（</w:t>
      </w:r>
      <w:r>
        <w:rPr>
          <w:rFonts w:hint="eastAsia" w:ascii="宋体" w:hAnsi="宋体" w:cs="宋体"/>
        </w:rPr>
        <w:t>详见其他补充事宜）</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lang w:val="en-US" w:eastAsia="zh-CN"/>
        </w:rPr>
      </w:pPr>
      <w:r>
        <w:rPr>
          <w:rFonts w:hint="eastAsia" w:ascii="宋体" w:hAnsi="宋体" w:cs="宋体"/>
        </w:rPr>
        <w:t>售价：0元</w:t>
      </w:r>
      <w:bookmarkStart w:id="12" w:name="_Toc35393632"/>
      <w:bookmarkStart w:id="13" w:name="_Toc35393801"/>
      <w:bookmarkStart w:id="14" w:name="_Toc28359092"/>
      <w:bookmarkStart w:id="15" w:name="_Toc28359015"/>
      <w:r>
        <w:rPr>
          <w:rFonts w:hint="eastAsia" w:ascii="宋体" w:hAnsi="宋体" w:cs="宋体"/>
          <w:lang w:val="en-US" w:eastAsia="zh-CN"/>
        </w:rPr>
        <w:t>/本</w:t>
      </w:r>
    </w:p>
    <w:p>
      <w:pPr>
        <w:keepNext w:val="0"/>
        <w:keepLines w:val="0"/>
        <w:pageBreakBefore w:val="0"/>
        <w:kinsoku/>
        <w:wordWrap/>
        <w:overflowPunct/>
        <w:topLinePunct w:val="0"/>
        <w:autoSpaceDE/>
        <w:autoSpaceDN/>
        <w:bidi w:val="0"/>
        <w:adjustRightInd/>
        <w:snapToGrid/>
        <w:spacing w:line="360" w:lineRule="auto"/>
        <w:textAlignment w:val="auto"/>
        <w:rPr>
          <w:rFonts w:ascii="宋体" w:hAnsi="宋体" w:cs="宋体"/>
          <w:b/>
          <w:bCs/>
        </w:rPr>
      </w:pPr>
      <w:r>
        <w:rPr>
          <w:rFonts w:hint="eastAsia" w:ascii="宋体" w:hAnsi="宋体" w:cs="宋体"/>
          <w:b/>
          <w:bCs/>
        </w:rPr>
        <w:t>四、响应文件提交：</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宋体" w:hAnsi="宋体" w:cs="宋体"/>
          <w:bCs/>
          <w:u w:val="single"/>
        </w:rPr>
      </w:pPr>
      <w:r>
        <w:rPr>
          <w:rFonts w:hint="eastAsia" w:ascii="宋体" w:hAnsi="宋体" w:cs="宋体"/>
        </w:rPr>
        <w:t>截止时间：2020年</w:t>
      </w:r>
      <w:r>
        <w:rPr>
          <w:rFonts w:hint="eastAsia" w:ascii="宋体" w:hAnsi="宋体" w:cs="宋体"/>
          <w:lang w:val="en-US" w:eastAsia="zh-CN"/>
        </w:rPr>
        <w:t>11</w:t>
      </w:r>
      <w:r>
        <w:rPr>
          <w:rFonts w:hint="eastAsia" w:ascii="宋体" w:hAnsi="宋体" w:cs="宋体"/>
        </w:rPr>
        <w:t>月</w:t>
      </w:r>
      <w:r>
        <w:rPr>
          <w:rFonts w:hint="eastAsia" w:ascii="宋体" w:hAnsi="宋体" w:cs="宋体"/>
          <w:lang w:val="en-US" w:eastAsia="zh-CN"/>
        </w:rPr>
        <w:t>10</w:t>
      </w:r>
      <w:r>
        <w:rPr>
          <w:rFonts w:hint="eastAsia" w:ascii="宋体" w:hAnsi="宋体" w:cs="宋体"/>
        </w:rPr>
        <w:t>日 下午</w:t>
      </w:r>
      <w:r>
        <w:rPr>
          <w:rFonts w:hint="eastAsia" w:ascii="宋体" w:hAnsi="宋体" w:cs="宋体"/>
          <w:lang w:val="en-US" w:eastAsia="zh-CN"/>
        </w:rPr>
        <w:t>14</w:t>
      </w:r>
      <w:r>
        <w:rPr>
          <w:rFonts w:hint="eastAsia" w:ascii="宋体" w:hAnsi="宋体" w:cs="宋体"/>
        </w:rPr>
        <w:t>点30分</w:t>
      </w:r>
      <w:r>
        <w:rPr>
          <w:rFonts w:hint="eastAsia" w:ascii="宋体" w:hAnsi="宋体" w:cs="宋体"/>
          <w:bCs/>
        </w:rPr>
        <w:t>（北京时间）</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宋体" w:hAnsi="宋体" w:cs="宋体"/>
        </w:rPr>
      </w:pPr>
      <w:r>
        <w:rPr>
          <w:rFonts w:hint="eastAsia" w:ascii="宋体" w:hAnsi="宋体" w:cs="宋体"/>
        </w:rPr>
        <w:t>地点：江西久和招标服务有限公司</w:t>
      </w:r>
      <w:r>
        <w:rPr>
          <w:rFonts w:hint="eastAsia" w:ascii="宋体" w:hAnsi="宋体" w:cs="宋体"/>
          <w:lang w:eastAsia="zh-CN"/>
        </w:rPr>
        <w:t>（</w:t>
      </w:r>
      <w:r>
        <w:rPr>
          <w:rFonts w:hint="eastAsia" w:ascii="宋体" w:hAnsi="宋体" w:cs="宋体"/>
        </w:rPr>
        <w:t>赣州市章贡区信丰路中海凯旋门北门36栋703</w:t>
      </w:r>
      <w:r>
        <w:rPr>
          <w:rFonts w:hint="eastAsia" w:ascii="宋体" w:hAnsi="宋体" w:cs="宋体"/>
          <w:lang w:eastAsia="zh-CN"/>
        </w:rPr>
        <w:t>）</w:t>
      </w:r>
    </w:p>
    <w:p>
      <w:pPr>
        <w:keepNext w:val="0"/>
        <w:keepLines w:val="0"/>
        <w:pageBreakBefore w:val="0"/>
        <w:kinsoku/>
        <w:wordWrap/>
        <w:overflowPunct/>
        <w:topLinePunct w:val="0"/>
        <w:autoSpaceDE/>
        <w:autoSpaceDN/>
        <w:bidi w:val="0"/>
        <w:adjustRightInd/>
        <w:snapToGrid/>
        <w:spacing w:line="360" w:lineRule="auto"/>
        <w:textAlignment w:val="auto"/>
        <w:rPr>
          <w:rFonts w:ascii="宋体" w:hAnsi="宋体" w:cs="宋体"/>
          <w:b/>
          <w:bCs/>
        </w:rPr>
      </w:pPr>
      <w:bookmarkStart w:id="16" w:name="_Toc35393633"/>
      <w:bookmarkStart w:id="17" w:name="_Toc35393802"/>
      <w:bookmarkStart w:id="18" w:name="_Toc28359093"/>
      <w:bookmarkStart w:id="19" w:name="_Toc28359016"/>
      <w:r>
        <w:rPr>
          <w:rFonts w:hint="eastAsia" w:ascii="宋体" w:hAnsi="宋体" w:cs="宋体"/>
          <w:b/>
          <w:bCs/>
        </w:rPr>
        <w:t>五、开启</w:t>
      </w:r>
      <w:bookmarkEnd w:id="16"/>
      <w:bookmarkEnd w:id="17"/>
      <w:bookmarkEnd w:id="18"/>
      <w:bookmarkEnd w:id="19"/>
      <w:r>
        <w:rPr>
          <w:rFonts w:hint="eastAsia" w:ascii="宋体" w:hAnsi="宋体" w:cs="宋体"/>
          <w:b/>
          <w:bCs/>
        </w:rPr>
        <w:t>：</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宋体" w:hAnsi="宋体" w:cs="宋体"/>
          <w:bCs/>
          <w:u w:val="single"/>
        </w:rPr>
      </w:pPr>
      <w:r>
        <w:rPr>
          <w:rFonts w:hint="eastAsia" w:ascii="宋体" w:hAnsi="宋体" w:cs="宋体"/>
        </w:rPr>
        <w:t>时间：2020年</w:t>
      </w:r>
      <w:r>
        <w:rPr>
          <w:rFonts w:hint="eastAsia" w:ascii="宋体" w:hAnsi="宋体" w:cs="宋体"/>
          <w:lang w:val="en-US" w:eastAsia="zh-CN"/>
        </w:rPr>
        <w:t>11</w:t>
      </w:r>
      <w:r>
        <w:rPr>
          <w:rFonts w:hint="eastAsia" w:ascii="宋体" w:hAnsi="宋体" w:cs="宋体"/>
          <w:lang w:eastAsia="zh-CN"/>
        </w:rPr>
        <w:t>月</w:t>
      </w:r>
      <w:r>
        <w:rPr>
          <w:rFonts w:hint="eastAsia" w:ascii="宋体" w:hAnsi="宋体" w:cs="宋体"/>
          <w:lang w:val="en-US" w:eastAsia="zh-CN"/>
        </w:rPr>
        <w:t>10</w:t>
      </w:r>
      <w:r>
        <w:rPr>
          <w:rFonts w:hint="eastAsia" w:ascii="宋体" w:hAnsi="宋体" w:cs="宋体"/>
        </w:rPr>
        <w:t>日 下午</w:t>
      </w:r>
      <w:r>
        <w:rPr>
          <w:rFonts w:hint="eastAsia" w:ascii="宋体" w:hAnsi="宋体" w:cs="宋体"/>
          <w:lang w:val="en-US" w:eastAsia="zh-CN"/>
        </w:rPr>
        <w:t>14</w:t>
      </w:r>
      <w:r>
        <w:rPr>
          <w:rFonts w:hint="eastAsia" w:ascii="宋体" w:hAnsi="宋体" w:cs="宋体"/>
        </w:rPr>
        <w:t>点30分</w:t>
      </w:r>
      <w:r>
        <w:rPr>
          <w:rFonts w:hint="eastAsia" w:ascii="宋体" w:hAnsi="宋体" w:cs="宋体"/>
          <w:bCs/>
        </w:rPr>
        <w:t>（北京时间）</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宋体" w:hAnsi="宋体" w:cs="宋体"/>
        </w:rPr>
      </w:pPr>
      <w:r>
        <w:rPr>
          <w:rFonts w:hint="eastAsia" w:ascii="宋体" w:hAnsi="宋体" w:cs="宋体"/>
        </w:rPr>
        <w:t>地点：江西久和招标服务有限公司</w:t>
      </w:r>
      <w:r>
        <w:rPr>
          <w:rFonts w:hint="eastAsia" w:ascii="宋体" w:hAnsi="宋体" w:cs="宋体"/>
          <w:lang w:eastAsia="zh-CN"/>
        </w:rPr>
        <w:t>（</w:t>
      </w:r>
      <w:r>
        <w:rPr>
          <w:rFonts w:hint="eastAsia" w:ascii="宋体" w:hAnsi="宋体" w:cs="宋体"/>
        </w:rPr>
        <w:t>赣州市章贡区信丰路中海凯旋门北门36栋703</w:t>
      </w:r>
      <w:r>
        <w:rPr>
          <w:rFonts w:hint="eastAsia" w:ascii="宋体" w:hAnsi="宋体" w:cs="宋体"/>
          <w:lang w:eastAsia="zh-CN"/>
        </w:rPr>
        <w:t>）</w:t>
      </w:r>
    </w:p>
    <w:p>
      <w:pPr>
        <w:keepNext w:val="0"/>
        <w:keepLines w:val="0"/>
        <w:pageBreakBefore w:val="0"/>
        <w:kinsoku/>
        <w:wordWrap/>
        <w:overflowPunct/>
        <w:topLinePunct w:val="0"/>
        <w:autoSpaceDE/>
        <w:autoSpaceDN/>
        <w:bidi w:val="0"/>
        <w:adjustRightInd/>
        <w:snapToGrid/>
        <w:spacing w:line="360" w:lineRule="auto"/>
        <w:textAlignment w:val="auto"/>
        <w:rPr>
          <w:rFonts w:ascii="宋体" w:hAnsi="宋体" w:cs="宋体"/>
          <w:b/>
          <w:bCs/>
        </w:rPr>
      </w:pPr>
      <w:bookmarkStart w:id="20" w:name="_Toc35393803"/>
      <w:bookmarkStart w:id="21" w:name="_Toc35393634"/>
      <w:bookmarkStart w:id="22" w:name="_Toc28359017"/>
      <w:bookmarkStart w:id="23" w:name="_Toc28359094"/>
      <w:r>
        <w:rPr>
          <w:rFonts w:hint="eastAsia" w:ascii="宋体" w:hAnsi="宋体" w:cs="宋体"/>
          <w:b/>
          <w:bCs/>
        </w:rPr>
        <w:t>六、公告期限</w:t>
      </w:r>
      <w:bookmarkEnd w:id="20"/>
      <w:bookmarkEnd w:id="21"/>
      <w:bookmarkEnd w:id="22"/>
      <w:bookmarkEnd w:id="23"/>
      <w:r>
        <w:rPr>
          <w:rFonts w:hint="eastAsia" w:ascii="宋体" w:hAnsi="宋体" w:cs="宋体"/>
          <w:b/>
          <w:bCs/>
        </w:rPr>
        <w:t>：</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宋体" w:hAnsi="宋体" w:cs="宋体"/>
          <w:kern w:val="0"/>
        </w:rPr>
      </w:pPr>
      <w:r>
        <w:rPr>
          <w:rFonts w:hint="eastAsia" w:ascii="宋体" w:hAnsi="宋体" w:cs="宋体"/>
          <w:kern w:val="0"/>
        </w:rPr>
        <w:t>自本公告发布之日起5个工作日。</w:t>
      </w:r>
    </w:p>
    <w:p>
      <w:pPr>
        <w:keepNext w:val="0"/>
        <w:keepLines w:val="0"/>
        <w:pageBreakBefore w:val="0"/>
        <w:kinsoku/>
        <w:wordWrap/>
        <w:overflowPunct/>
        <w:topLinePunct w:val="0"/>
        <w:autoSpaceDE/>
        <w:autoSpaceDN/>
        <w:bidi w:val="0"/>
        <w:adjustRightInd/>
        <w:snapToGrid/>
        <w:spacing w:line="360" w:lineRule="auto"/>
        <w:textAlignment w:val="auto"/>
        <w:rPr>
          <w:rFonts w:ascii="宋体" w:hAnsi="宋体" w:cs="宋体"/>
          <w:b/>
          <w:bCs/>
        </w:rPr>
      </w:pPr>
      <w:bookmarkStart w:id="24" w:name="_Toc35393635"/>
      <w:bookmarkStart w:id="25" w:name="_Toc35393804"/>
      <w:r>
        <w:rPr>
          <w:rFonts w:hint="eastAsia" w:ascii="宋体" w:hAnsi="宋体" w:cs="宋体"/>
          <w:b/>
          <w:bCs/>
        </w:rPr>
        <w:t>七、其他补充事宜</w:t>
      </w:r>
      <w:bookmarkEnd w:id="24"/>
      <w:bookmarkEnd w:id="25"/>
      <w:r>
        <w:rPr>
          <w:rFonts w:hint="eastAsia" w:ascii="宋体" w:hAnsi="宋体" w:cs="宋体"/>
          <w:b/>
          <w:bCs/>
        </w:rPr>
        <w:t>：</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宋体" w:hAnsi="宋体" w:cs="宋体"/>
        </w:rPr>
      </w:pPr>
      <w:r>
        <w:rPr>
          <w:rFonts w:hint="eastAsia" w:ascii="宋体" w:hAnsi="宋体" w:cs="宋体"/>
        </w:rPr>
        <w:t>1.特别提醒：</w:t>
      </w:r>
      <w:r>
        <w:rPr>
          <w:rFonts w:hint="eastAsia" w:ascii="宋体" w:hAnsi="宋体" w:cs="宋体"/>
          <w:lang w:eastAsia="zh-CN"/>
        </w:rPr>
        <w:t>供应商</w:t>
      </w:r>
      <w:r>
        <w:rPr>
          <w:rFonts w:hint="eastAsia" w:ascii="宋体" w:hAnsi="宋体" w:cs="宋体"/>
        </w:rPr>
        <w:t>须提供以下资质用于资格审查：</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宋体" w:hAnsi="宋体" w:cs="宋体"/>
        </w:rPr>
      </w:pPr>
      <w:r>
        <w:rPr>
          <w:rFonts w:hint="eastAsia" w:ascii="宋体" w:hAnsi="宋体" w:cs="宋体"/>
        </w:rPr>
        <w:t>①必须提供具有本项目相关制造或经营范围营业执照、税务登记证、组织机构代码或是三证合一的营业执照</w:t>
      </w:r>
      <w:r>
        <w:rPr>
          <w:rFonts w:hint="eastAsia" w:ascii="宋体" w:hAnsi="宋体" w:cs="宋体"/>
          <w:lang w:eastAsia="zh-CN"/>
        </w:rPr>
        <w:t>（</w:t>
      </w:r>
      <w:r>
        <w:rPr>
          <w:rFonts w:hint="eastAsia" w:ascii="宋体" w:hAnsi="宋体"/>
        </w:rPr>
        <w:t>复印件加盖投标人原色公章，原件备查）</w:t>
      </w:r>
      <w:r>
        <w:rPr>
          <w:rFonts w:hint="eastAsia" w:ascii="宋体" w:hAnsi="宋体" w:cs="宋体"/>
        </w:rPr>
        <w:t>；</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宋体" w:hAnsi="宋体" w:cs="宋体"/>
        </w:rPr>
      </w:pPr>
      <w:r>
        <w:rPr>
          <w:rFonts w:hint="eastAsia" w:ascii="宋体" w:hAnsi="宋体" w:cs="宋体"/>
        </w:rPr>
        <w:t>②须提供</w:t>
      </w:r>
      <w:r>
        <w:rPr>
          <w:rFonts w:ascii="宋体" w:hAnsi="宋体"/>
        </w:rPr>
        <w:t>上一年度经审计的财务报告或开标前两个月基本银行开具的资信证明</w:t>
      </w:r>
      <w:r>
        <w:rPr>
          <w:rFonts w:hint="eastAsia" w:ascii="宋体" w:hAnsi="宋体"/>
          <w:lang w:eastAsia="zh-CN"/>
        </w:rPr>
        <w:t>（</w:t>
      </w:r>
      <w:r>
        <w:rPr>
          <w:rFonts w:hint="eastAsia" w:ascii="宋体" w:hAnsi="宋体"/>
        </w:rPr>
        <w:t>复印件加盖投标人原色公章，原件备查）</w:t>
      </w:r>
      <w:r>
        <w:rPr>
          <w:rFonts w:hint="eastAsia" w:ascii="宋体" w:hAnsi="宋体" w:cs="宋体"/>
        </w:rPr>
        <w:t>；</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宋体" w:hAnsi="宋体" w:cs="宋体"/>
        </w:rPr>
      </w:pPr>
      <w:r>
        <w:rPr>
          <w:rFonts w:hint="eastAsia" w:ascii="宋体" w:hAnsi="宋体" w:cs="宋体"/>
        </w:rPr>
        <w:t>③须提供</w:t>
      </w:r>
      <w:r>
        <w:rPr>
          <w:rFonts w:ascii="宋体" w:hAnsi="宋体"/>
        </w:rPr>
        <w:t>开标前</w:t>
      </w:r>
      <w:r>
        <w:rPr>
          <w:rFonts w:hint="eastAsia" w:ascii="宋体" w:hAnsi="宋体"/>
        </w:rPr>
        <w:t>一年内</w:t>
      </w:r>
      <w:r>
        <w:rPr>
          <w:rFonts w:ascii="宋体" w:hAnsi="宋体"/>
        </w:rPr>
        <w:t>任意三个月的纳税证明材料和社保材料</w:t>
      </w:r>
      <w:r>
        <w:rPr>
          <w:rFonts w:hint="eastAsia" w:ascii="宋体" w:hAnsi="宋体"/>
          <w:lang w:eastAsia="zh-CN"/>
        </w:rPr>
        <w:t>（</w:t>
      </w:r>
      <w:r>
        <w:rPr>
          <w:rFonts w:hint="eastAsia" w:ascii="宋体" w:hAnsi="宋体"/>
        </w:rPr>
        <w:t>复印件加盖投标人原色公章，原件备查）</w:t>
      </w:r>
      <w:r>
        <w:rPr>
          <w:rFonts w:hint="eastAsia" w:ascii="宋体" w:hAnsi="宋体" w:cs="宋体"/>
        </w:rPr>
        <w:t>；</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宋体" w:hAnsi="宋体" w:cs="宋体"/>
        </w:rPr>
      </w:pPr>
      <w:r>
        <w:rPr>
          <w:rFonts w:hint="eastAsia" w:ascii="宋体" w:hAnsi="宋体" w:cs="宋体"/>
        </w:rPr>
        <w:t>④须提供</w:t>
      </w:r>
      <w:r>
        <w:rPr>
          <w:rFonts w:ascii="宋体" w:hAnsi="宋体"/>
        </w:rPr>
        <w:t>具有履行合同所必需的设备和专业技术能力</w:t>
      </w:r>
      <w:r>
        <w:rPr>
          <w:rFonts w:hint="eastAsia" w:ascii="宋体" w:hAnsi="宋体"/>
        </w:rPr>
        <w:t>承诺函加盖投标人原色公章；</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宋体" w:hAnsi="宋体" w:cs="宋体"/>
        </w:rPr>
      </w:pPr>
      <w:r>
        <w:rPr>
          <w:rFonts w:hint="eastAsia" w:ascii="宋体" w:hAnsi="宋体" w:cs="宋体"/>
        </w:rPr>
        <w:t>⑤</w:t>
      </w:r>
      <w:r>
        <w:rPr>
          <w:rFonts w:ascii="宋体" w:hAnsi="宋体"/>
        </w:rPr>
        <w:t>须</w:t>
      </w:r>
      <w:r>
        <w:rPr>
          <w:rFonts w:hint="eastAsia" w:ascii="宋体" w:hAnsi="宋体"/>
        </w:rPr>
        <w:t>提供“信用中国”和“中国政府采购网”网页清晰截图加盖投标人原色公章，查询记录截图必须体现时间，最早不超过报名时间前</w:t>
      </w:r>
      <w:r>
        <w:rPr>
          <w:rFonts w:ascii="宋体" w:hAnsi="宋体"/>
        </w:rPr>
        <w:t>7</w:t>
      </w:r>
      <w:r>
        <w:rPr>
          <w:rFonts w:hint="eastAsia" w:ascii="宋体" w:hAnsi="宋体"/>
        </w:rPr>
        <w:t>日为有效，</w:t>
      </w:r>
      <w:r>
        <w:rPr>
          <w:rFonts w:ascii="宋体" w:hAnsi="宋体"/>
        </w:rPr>
        <w:t>以及提供磋商单位无重大违法记录的声明函</w:t>
      </w:r>
      <w:r>
        <w:rPr>
          <w:rFonts w:hint="eastAsia" w:ascii="宋体" w:hAnsi="宋体"/>
        </w:rPr>
        <w:t>加盖投标人原色公章</w:t>
      </w:r>
      <w:r>
        <w:rPr>
          <w:rFonts w:hint="eastAsia" w:ascii="宋体" w:hAnsi="宋体" w:cs="宋体"/>
        </w:rPr>
        <w:t>；</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宋体" w:hAnsi="宋体" w:cs="宋体"/>
        </w:rPr>
      </w:pPr>
      <w:r>
        <w:rPr>
          <w:rFonts w:hint="eastAsia" w:ascii="宋体" w:hAnsi="宋体" w:cs="宋体"/>
        </w:rPr>
        <w:t>⑥法定代表人身份证原件（或法定代表人授权委托书、委托人身份证原件）；</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宋体" w:hAnsi="宋体"/>
          <w:szCs w:val="28"/>
        </w:rPr>
      </w:pPr>
      <w:r>
        <w:rPr>
          <w:rFonts w:hint="eastAsia" w:ascii="宋体" w:hAnsi="宋体" w:cs="宋体"/>
          <w:bCs/>
        </w:rPr>
        <w:t>⑦</w:t>
      </w:r>
      <w:r>
        <w:rPr>
          <w:rFonts w:hint="eastAsia" w:ascii="宋体" w:hAnsi="宋体"/>
          <w:szCs w:val="28"/>
        </w:rPr>
        <w:t>省级或以上质量技术监督部门颁发的在有效期内的《特种设备（电梯）</w:t>
      </w:r>
      <w:r>
        <w:rPr>
          <w:rFonts w:hint="eastAsia" w:ascii="宋体" w:hAnsi="宋体"/>
          <w:szCs w:val="28"/>
          <w:lang w:val="en-US" w:eastAsia="zh-CN"/>
        </w:rPr>
        <w:t>B</w:t>
      </w:r>
      <w:r>
        <w:rPr>
          <w:rFonts w:hint="eastAsia" w:ascii="宋体" w:hAnsi="宋体"/>
          <w:szCs w:val="28"/>
        </w:rPr>
        <w:t>级或以上安装改造维修许可证书》；</w:t>
      </w:r>
      <w:r>
        <w:rPr>
          <w:rFonts w:hint="eastAsia"/>
          <w:sz w:val="21"/>
          <w:szCs w:val="21"/>
          <w:lang w:eastAsia="zh-CN"/>
        </w:rPr>
        <w:t>（</w:t>
      </w:r>
      <w:r>
        <w:rPr>
          <w:rFonts w:hint="eastAsia" w:ascii="宋体" w:hAnsi="宋体"/>
        </w:rPr>
        <w:t>复印件加盖投标人原色公章，原件备查）。</w:t>
      </w:r>
    </w:p>
    <w:bookmarkEnd w:id="12"/>
    <w:bookmarkEnd w:id="13"/>
    <w:bookmarkEnd w:id="14"/>
    <w:bookmarkEnd w:id="15"/>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宋体" w:hAnsi="宋体" w:cs="宋体"/>
        </w:rPr>
      </w:pPr>
      <w:r>
        <w:rPr>
          <w:rFonts w:hint="eastAsia" w:ascii="宋体" w:hAnsi="宋体" w:cs="宋体"/>
        </w:rPr>
        <w:t>以上证明材料原件验后退回。</w:t>
      </w:r>
    </w:p>
    <w:p>
      <w:pPr>
        <w:keepNext w:val="0"/>
        <w:keepLines w:val="0"/>
        <w:pageBreakBefore w:val="0"/>
        <w:kinsoku/>
        <w:wordWrap/>
        <w:overflowPunct/>
        <w:topLinePunct w:val="0"/>
        <w:autoSpaceDE/>
        <w:autoSpaceDN/>
        <w:bidi w:val="0"/>
        <w:adjustRightInd/>
        <w:snapToGrid/>
        <w:spacing w:line="360" w:lineRule="auto"/>
        <w:textAlignment w:val="auto"/>
        <w:rPr>
          <w:rFonts w:ascii="宋体" w:hAnsi="宋体" w:cs="宋体"/>
        </w:rPr>
      </w:pPr>
      <w:r>
        <w:rPr>
          <w:rFonts w:hint="eastAsia"/>
        </w:rPr>
        <w:t xml:space="preserve">    </w:t>
      </w:r>
      <w:r>
        <w:rPr>
          <w:rFonts w:hint="eastAsia" w:ascii="宋体" w:hAnsi="宋体" w:cs="宋体"/>
        </w:rPr>
        <w:t>2.评标方法和原则：采用综合评分法(详见磋商文件)。</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宋体" w:hAnsi="宋体" w:cs="宋体"/>
        </w:rPr>
      </w:pPr>
      <w:r>
        <w:rPr>
          <w:rFonts w:hint="eastAsia" w:ascii="宋体" w:hAnsi="宋体" w:cs="宋体"/>
        </w:rPr>
        <w:t>3.磋商保证金：</w:t>
      </w:r>
      <w:r>
        <w:rPr>
          <w:rFonts w:hint="eastAsia" w:ascii="宋体" w:hAnsi="宋体" w:cs="宋体"/>
          <w:b w:val="0"/>
          <w:bCs w:val="0"/>
          <w:color w:val="000000" w:themeColor="text1"/>
          <w:u w:val="single"/>
          <w:lang w:val="en-US" w:eastAsia="zh-CN"/>
          <w14:textFill>
            <w14:solidFill>
              <w14:schemeClr w14:val="tx1"/>
            </w14:solidFill>
          </w14:textFill>
        </w:rPr>
        <w:t>17000</w:t>
      </w:r>
      <w:r>
        <w:rPr>
          <w:rFonts w:hint="eastAsia" w:ascii="宋体" w:hAnsi="宋体" w:cs="宋体"/>
        </w:rPr>
        <w:t>元整，</w:t>
      </w:r>
      <w:r>
        <w:rPr>
          <w:rFonts w:hint="eastAsia" w:ascii="宋体" w:hAnsi="宋体" w:cs="宋体"/>
          <w:lang w:eastAsia="zh-CN"/>
        </w:rPr>
        <w:t>供应商</w:t>
      </w:r>
      <w:r>
        <w:rPr>
          <w:rFonts w:hint="eastAsia" w:ascii="宋体" w:hAnsi="宋体" w:cs="宋体"/>
        </w:rPr>
        <w:t>须在2020年</w:t>
      </w:r>
      <w:r>
        <w:rPr>
          <w:rFonts w:hint="eastAsia" w:ascii="宋体" w:hAnsi="宋体" w:cs="宋体"/>
          <w:lang w:val="en-US" w:eastAsia="zh-CN"/>
        </w:rPr>
        <w:t>11</w:t>
      </w:r>
      <w:r>
        <w:rPr>
          <w:rFonts w:hint="eastAsia" w:ascii="宋体" w:hAnsi="宋体" w:cs="宋体"/>
        </w:rPr>
        <w:t>月</w:t>
      </w:r>
      <w:r>
        <w:rPr>
          <w:rFonts w:hint="eastAsia" w:ascii="宋体" w:hAnsi="宋体" w:cs="宋体"/>
          <w:lang w:val="en-US" w:eastAsia="zh-CN"/>
        </w:rPr>
        <w:t>10</w:t>
      </w:r>
      <w:r>
        <w:rPr>
          <w:rFonts w:hint="eastAsia" w:ascii="宋体" w:hAnsi="宋体" w:cs="宋体"/>
        </w:rPr>
        <w:t>日</w:t>
      </w:r>
      <w:r>
        <w:rPr>
          <w:rFonts w:hint="eastAsia" w:ascii="宋体" w:hAnsi="宋体" w:cs="宋体"/>
          <w:lang w:eastAsia="zh-CN"/>
        </w:rPr>
        <w:t>下午</w:t>
      </w:r>
      <w:r>
        <w:rPr>
          <w:rFonts w:hint="eastAsia" w:ascii="宋体" w:hAnsi="宋体" w:cs="宋体"/>
          <w:lang w:val="en-US" w:eastAsia="zh-CN"/>
        </w:rPr>
        <w:t xml:space="preserve"> 14:30</w:t>
      </w:r>
      <w:r>
        <w:rPr>
          <w:rFonts w:hint="eastAsia" w:ascii="宋体" w:hAnsi="宋体" w:cs="宋体"/>
        </w:rPr>
        <w:t>前从企业基本账户以银行转账方式向招标代理机构足额缴纳，以实际到账为准 （汇款时应注明项目名称、磋商供应商名称，且应与磋商响应文件一致）。</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宋体" w:hAnsi="宋体" w:cs="宋体"/>
        </w:rPr>
      </w:pPr>
      <w:r>
        <w:rPr>
          <w:rFonts w:hint="eastAsia" w:ascii="宋体" w:hAnsi="宋体" w:cs="宋体"/>
        </w:rPr>
        <w:t>账户名：江西久和招标服务有限公司</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宋体" w:hAnsi="宋体" w:cs="宋体"/>
        </w:rPr>
      </w:pPr>
      <w:r>
        <w:rPr>
          <w:rFonts w:hint="eastAsia" w:ascii="宋体" w:hAnsi="宋体" w:cs="宋体"/>
        </w:rPr>
        <w:t>账  号：2007 3290 1471</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宋体" w:hAnsi="宋体" w:cs="宋体"/>
        </w:rPr>
      </w:pPr>
      <w:r>
        <w:rPr>
          <w:rFonts w:hint="eastAsia" w:ascii="宋体" w:hAnsi="宋体" w:cs="宋体"/>
        </w:rPr>
        <w:t>开户行：中国银行宜春市宜阳支行</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宋体" w:hAnsi="宋体" w:cs="宋体"/>
          <w:shd w:val="clear" w:color="auto" w:fill="FFFFFF"/>
        </w:rPr>
      </w:pPr>
      <w:r>
        <w:rPr>
          <w:rFonts w:hint="eastAsia" w:ascii="宋体" w:hAnsi="宋体" w:cs="宋体"/>
        </w:rPr>
        <w:t>4.拟供应商将报名资料以扫描件形式发送至电子邮箱:15279566111@163.com(招标代理机构)进行报名登记，</w:t>
      </w:r>
      <w:r>
        <w:rPr>
          <w:rFonts w:hint="eastAsia" w:ascii="宋体" w:hAnsi="宋体" w:cs="宋体"/>
          <w:shd w:val="clear" w:color="auto" w:fill="FFFFFF"/>
        </w:rPr>
        <w:t>获取磋商文件须提供下列资料：</w:t>
      </w:r>
    </w:p>
    <w:p>
      <w:pPr>
        <w:keepNext w:val="0"/>
        <w:keepLines w:val="0"/>
        <w:pageBreakBefore w:val="0"/>
        <w:tabs>
          <w:tab w:val="left" w:pos="2730"/>
        </w:tabs>
        <w:kinsoku/>
        <w:wordWrap/>
        <w:overflowPunct/>
        <w:topLinePunct w:val="0"/>
        <w:autoSpaceDE/>
        <w:autoSpaceDN/>
        <w:bidi w:val="0"/>
        <w:adjustRightInd/>
        <w:snapToGrid/>
        <w:spacing w:line="360" w:lineRule="auto"/>
        <w:ind w:firstLine="420" w:firstLineChars="200"/>
        <w:textAlignment w:val="auto"/>
        <w:rPr>
          <w:rFonts w:ascii="宋体" w:hAnsi="宋体" w:cs="宋体"/>
        </w:rPr>
      </w:pPr>
      <w:r>
        <w:rPr>
          <w:rFonts w:hint="eastAsia" w:ascii="宋体" w:hAnsi="宋体" w:cs="宋体"/>
        </w:rPr>
        <w:t>1）</w:t>
      </w:r>
      <w:r>
        <w:rPr>
          <w:rFonts w:hint="eastAsia" w:ascii="宋体" w:hAnsi="宋体" w:cs="宋体"/>
          <w:kern w:val="0"/>
          <w:szCs w:val="21"/>
        </w:rPr>
        <w:t>具有本项目相关经营范围营业执照复印件加盖供应商原色公章</w:t>
      </w:r>
      <w:r>
        <w:rPr>
          <w:rFonts w:hint="eastAsia" w:ascii="宋体" w:hAnsi="宋体" w:cs="宋体"/>
        </w:rPr>
        <w:t>；</w:t>
      </w:r>
    </w:p>
    <w:p>
      <w:pPr>
        <w:keepNext w:val="0"/>
        <w:keepLines w:val="0"/>
        <w:pageBreakBefore w:val="0"/>
        <w:tabs>
          <w:tab w:val="left" w:pos="2730"/>
        </w:tabs>
        <w:kinsoku/>
        <w:wordWrap/>
        <w:overflowPunct/>
        <w:topLinePunct w:val="0"/>
        <w:autoSpaceDE/>
        <w:autoSpaceDN/>
        <w:bidi w:val="0"/>
        <w:adjustRightInd/>
        <w:snapToGrid/>
        <w:spacing w:line="360" w:lineRule="auto"/>
        <w:ind w:firstLine="420" w:firstLineChars="200"/>
        <w:textAlignment w:val="auto"/>
        <w:rPr>
          <w:rFonts w:ascii="宋体" w:hAnsi="宋体" w:cs="宋体"/>
        </w:rPr>
      </w:pPr>
      <w:r>
        <w:rPr>
          <w:rFonts w:hint="eastAsia" w:ascii="宋体" w:hAnsi="宋体" w:cs="宋体"/>
        </w:rPr>
        <w:t>2）法人授权委托书原件加盖供应商原色公章(须注明项目名称、编号及联系方式)；</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pPr>
      <w:r>
        <w:rPr>
          <w:rFonts w:hint="eastAsia" w:ascii="宋体" w:hAnsi="宋体" w:cs="宋体"/>
        </w:rPr>
        <w:t>3）法人身份证和授权代理人身份证原件加盖供应商原色公章。</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宋体" w:hAnsi="宋体" w:cs="宋体"/>
        </w:rPr>
      </w:pPr>
      <w:r>
        <w:rPr>
          <w:rFonts w:hint="eastAsia" w:ascii="宋体" w:hAnsi="宋体" w:cs="宋体"/>
        </w:rPr>
        <w:t>5.投标人须知：</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宋体" w:hAnsi="宋体" w:cs="宋体"/>
        </w:rPr>
      </w:pPr>
      <w:r>
        <w:rPr>
          <w:rFonts w:hint="eastAsia" w:ascii="宋体" w:hAnsi="宋体" w:cs="宋体"/>
        </w:rPr>
        <w:t>（1）招标代理服务费：由中标人支付招标代理服务费，详见磋商文件。</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宋体" w:hAnsi="宋体" w:cs="宋体"/>
        </w:rPr>
      </w:pPr>
      <w:r>
        <w:rPr>
          <w:rFonts w:hint="eastAsia" w:ascii="宋体" w:hAnsi="宋体" w:cs="宋体"/>
        </w:rPr>
        <w:t>（2）报名参加磋商的供应商，如不能参加此次磋商的，请在磋商截止时间二日前以书面形式通知招标代理</w:t>
      </w:r>
      <w:r>
        <w:rPr>
          <w:rFonts w:hint="eastAsia" w:ascii="宋体" w:hAnsi="宋体" w:cs="宋体"/>
          <w:lang w:eastAsia="zh-CN"/>
        </w:rPr>
        <w:t>机</w:t>
      </w:r>
      <w:r>
        <w:rPr>
          <w:rFonts w:hint="eastAsia" w:ascii="宋体" w:hAnsi="宋体" w:cs="宋体"/>
        </w:rPr>
        <w:t>构放弃磋商，否则，不得再参加该项目的采购活动。</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宋体" w:hAnsi="宋体" w:cs="宋体"/>
        </w:rPr>
      </w:pPr>
      <w:r>
        <w:rPr>
          <w:rFonts w:hint="eastAsia" w:ascii="宋体" w:hAnsi="宋体" w:cs="宋体"/>
        </w:rPr>
        <w:t>（3）供应商参加磋商时所提供的响应文件因资料证件不全、失效、达不到标准要求的，其响应文件均视同无效。</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宋体" w:hAnsi="宋体" w:cs="宋体"/>
        </w:rPr>
      </w:pPr>
      <w:r>
        <w:rPr>
          <w:rFonts w:hint="eastAsia" w:ascii="宋体" w:hAnsi="宋体" w:cs="宋体"/>
        </w:rPr>
        <w:t>（4）所有人员应当全程佩戴口罩，自觉接受体温测量。原则上各投标单位仅限派1名代表参加现场交易活动，并携带身份证。特别说明如下：</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宋体" w:hAnsi="宋体" w:cs="宋体"/>
        </w:rPr>
      </w:pPr>
      <w:r>
        <w:rPr>
          <w:rFonts w:hint="eastAsia" w:ascii="宋体" w:hAnsi="宋体" w:cs="宋体"/>
        </w:rPr>
        <w:t>①最近14天接触过新型冠状病毒感染的肺炎疑似或确诊患者的，不得进入开评标区；</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宋体" w:hAnsi="宋体" w:cs="宋体"/>
        </w:rPr>
      </w:pPr>
      <w:r>
        <w:rPr>
          <w:rFonts w:hint="eastAsia" w:ascii="宋体" w:hAnsi="宋体" w:cs="宋体"/>
        </w:rPr>
        <w:t>②近期有发热、乏力、干咳、气促等新型冠状病毒感染疑似症状的，不得进入开评标区；</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宋体" w:hAnsi="宋体" w:cs="宋体"/>
        </w:rPr>
      </w:pPr>
      <w:r>
        <w:rPr>
          <w:rFonts w:hint="eastAsia" w:ascii="宋体" w:hAnsi="宋体" w:cs="宋体"/>
        </w:rPr>
        <w:t>③未佩戴口罩的，不得进入开评标区；</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宋体" w:hAnsi="宋体" w:cs="宋体"/>
        </w:rPr>
      </w:pPr>
      <w:r>
        <w:rPr>
          <w:rFonts w:hint="eastAsia" w:ascii="宋体" w:hAnsi="宋体" w:cs="宋体"/>
        </w:rPr>
        <w:t>④现场测量体（额）温超过37.3℃的，不得进入开评标区。</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宋体" w:hAnsi="宋体" w:cs="宋体"/>
        </w:rPr>
      </w:pPr>
      <w:r>
        <w:rPr>
          <w:rFonts w:hint="eastAsia" w:ascii="宋体" w:hAnsi="宋体" w:cs="宋体"/>
        </w:rPr>
        <w:t>⑤到场人员需出示赣州市章贡区个人电子通行证二维码（绿色），未出示或出示非绿色二维码的人员不得进入开评标区。</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宋体" w:hAnsi="宋体" w:cs="宋体"/>
        </w:rPr>
      </w:pPr>
      <w:r>
        <w:rPr>
          <w:rFonts w:hint="eastAsia" w:ascii="宋体" w:hAnsi="宋体" w:cs="宋体"/>
        </w:rPr>
        <w:t>6.采购信息发布、补充、变更、修改平台：赣州银行官网http://www.bankgz.com/</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Ansi="宋体" w:cs="宋体"/>
          <w:szCs w:val="21"/>
        </w:rPr>
      </w:pPr>
      <w:bookmarkStart w:id="26" w:name="_Toc464464192"/>
      <w:r>
        <w:rPr>
          <w:rFonts w:hint="eastAsia" w:ascii="宋体" w:hAnsi="宋体" w:cs="宋体"/>
        </w:rPr>
        <w:t>7.本</w:t>
      </w:r>
      <w:r>
        <w:rPr>
          <w:rFonts w:hint="eastAsia" w:hAnsi="宋体" w:cs="宋体"/>
          <w:szCs w:val="21"/>
        </w:rPr>
        <w:t>项目采购公告澄清、变更、修改、补充等事宜均在以上网站发布，不再电话通知，请供应商密切关注。</w:t>
      </w:r>
    </w:p>
    <w:p>
      <w:pPr>
        <w:keepNext w:val="0"/>
        <w:keepLines w:val="0"/>
        <w:pageBreakBefore w:val="0"/>
        <w:kinsoku/>
        <w:wordWrap/>
        <w:overflowPunct/>
        <w:topLinePunct w:val="0"/>
        <w:autoSpaceDE/>
        <w:autoSpaceDN/>
        <w:bidi w:val="0"/>
        <w:adjustRightInd/>
        <w:snapToGrid/>
        <w:spacing w:line="360" w:lineRule="auto"/>
        <w:textAlignment w:val="auto"/>
        <w:rPr>
          <w:rFonts w:ascii="宋体" w:hAnsi="宋体" w:cs="宋体"/>
          <w:b/>
          <w:bCs/>
        </w:rPr>
      </w:pPr>
      <w:r>
        <w:rPr>
          <w:rFonts w:hint="eastAsia" w:ascii="宋体" w:hAnsi="宋体" w:cs="宋体"/>
          <w:b/>
          <w:bCs/>
        </w:rPr>
        <w:t>八、凡对本次采购提出询问，请按以下方式联系。</w:t>
      </w:r>
    </w:p>
    <w:p>
      <w:pPr>
        <w:keepNext w:val="0"/>
        <w:keepLines w:val="0"/>
        <w:pageBreakBefore w:val="0"/>
        <w:kinsoku/>
        <w:wordWrap/>
        <w:overflowPunct/>
        <w:topLinePunct w:val="0"/>
        <w:autoSpaceDE/>
        <w:autoSpaceDN/>
        <w:bidi w:val="0"/>
        <w:adjustRightInd/>
        <w:snapToGrid/>
        <w:spacing w:line="360" w:lineRule="auto"/>
        <w:ind w:firstLine="630" w:firstLineChars="300"/>
        <w:textAlignment w:val="auto"/>
        <w:rPr>
          <w:rFonts w:ascii="宋体" w:hAnsi="宋体" w:cs="宋体"/>
        </w:rPr>
      </w:pPr>
      <w:r>
        <w:rPr>
          <w:rFonts w:hint="eastAsia" w:ascii="宋体" w:hAnsi="宋体" w:cs="宋体"/>
        </w:rPr>
        <w:t>1.采购人信息</w:t>
      </w:r>
    </w:p>
    <w:p>
      <w:pPr>
        <w:keepNext w:val="0"/>
        <w:keepLines w:val="0"/>
        <w:pageBreakBefore w:val="0"/>
        <w:kinsoku/>
        <w:wordWrap/>
        <w:overflowPunct/>
        <w:topLinePunct w:val="0"/>
        <w:autoSpaceDE/>
        <w:autoSpaceDN/>
        <w:bidi w:val="0"/>
        <w:adjustRightInd/>
        <w:snapToGrid/>
        <w:spacing w:line="360" w:lineRule="auto"/>
        <w:ind w:firstLine="840" w:firstLineChars="400"/>
        <w:jc w:val="left"/>
        <w:textAlignment w:val="auto"/>
        <w:rPr>
          <w:rFonts w:ascii="宋体" w:hAnsi="宋体"/>
          <w:szCs w:val="21"/>
        </w:rPr>
      </w:pPr>
      <w:r>
        <w:rPr>
          <w:rFonts w:hint="eastAsia" w:ascii="宋体" w:hAnsi="宋体" w:cs="宋体"/>
        </w:rPr>
        <w:t>名称：</w:t>
      </w:r>
      <w:r>
        <w:rPr>
          <w:rFonts w:hint="eastAsia" w:asciiTheme="minorEastAsia" w:hAnsiTheme="minorEastAsia" w:cstheme="minorEastAsia"/>
          <w:szCs w:val="21"/>
        </w:rPr>
        <w:t>赣州银行股份有限公司</w:t>
      </w:r>
    </w:p>
    <w:p>
      <w:pPr>
        <w:keepNext w:val="0"/>
        <w:keepLines w:val="0"/>
        <w:pageBreakBefore w:val="0"/>
        <w:kinsoku/>
        <w:wordWrap/>
        <w:overflowPunct/>
        <w:topLinePunct w:val="0"/>
        <w:autoSpaceDE/>
        <w:autoSpaceDN/>
        <w:bidi w:val="0"/>
        <w:adjustRightInd/>
        <w:snapToGrid/>
        <w:spacing w:line="360" w:lineRule="auto"/>
        <w:ind w:firstLine="840" w:firstLineChars="400"/>
        <w:jc w:val="left"/>
        <w:textAlignment w:val="auto"/>
        <w:rPr>
          <w:rFonts w:ascii="宋体" w:hAnsi="宋体" w:cs="宋体"/>
        </w:rPr>
      </w:pPr>
      <w:r>
        <w:rPr>
          <w:rFonts w:hint="eastAsia" w:ascii="宋体" w:hAnsi="宋体" w:cs="宋体"/>
        </w:rPr>
        <w:t>地址：</w:t>
      </w:r>
      <w:r>
        <w:rPr>
          <w:rFonts w:hint="eastAsia" w:asciiTheme="minorEastAsia" w:hAnsiTheme="minorEastAsia" w:eastAsiaTheme="minorEastAsia" w:cstheme="minorEastAsia"/>
        </w:rPr>
        <w:t>赣州市赣江源大道26号</w:t>
      </w:r>
    </w:p>
    <w:p>
      <w:pPr>
        <w:keepNext w:val="0"/>
        <w:keepLines w:val="0"/>
        <w:pageBreakBefore w:val="0"/>
        <w:widowControl/>
        <w:kinsoku/>
        <w:wordWrap/>
        <w:overflowPunct/>
        <w:topLinePunct w:val="0"/>
        <w:autoSpaceDE/>
        <w:autoSpaceDN/>
        <w:bidi w:val="0"/>
        <w:adjustRightInd/>
        <w:snapToGrid/>
        <w:spacing w:line="360" w:lineRule="auto"/>
        <w:ind w:firstLine="840" w:firstLineChars="400"/>
        <w:jc w:val="left"/>
        <w:textAlignment w:val="auto"/>
        <w:rPr>
          <w:rFonts w:asciiTheme="minorEastAsia" w:hAnsiTheme="minorEastAsia" w:eastAsiaTheme="minorEastAsia" w:cstheme="minorEastAsia"/>
          <w:szCs w:val="21"/>
        </w:rPr>
      </w:pPr>
      <w:r>
        <w:rPr>
          <w:rFonts w:hint="eastAsia" w:ascii="宋体" w:hAnsi="宋体" w:cs="宋体"/>
        </w:rPr>
        <w:t>联系方式：</w:t>
      </w:r>
      <w:r>
        <w:rPr>
          <w:rFonts w:hint="eastAsia" w:asciiTheme="minorEastAsia" w:hAnsiTheme="minorEastAsia" w:cstheme="minorEastAsia"/>
          <w:szCs w:val="21"/>
        </w:rPr>
        <w:t>李先生 0797-8100953</w:t>
      </w:r>
    </w:p>
    <w:p>
      <w:pPr>
        <w:keepNext w:val="0"/>
        <w:keepLines w:val="0"/>
        <w:pageBreakBefore w:val="0"/>
        <w:kinsoku/>
        <w:wordWrap/>
        <w:overflowPunct/>
        <w:topLinePunct w:val="0"/>
        <w:autoSpaceDE/>
        <w:autoSpaceDN/>
        <w:bidi w:val="0"/>
        <w:adjustRightInd/>
        <w:snapToGrid/>
        <w:spacing w:line="360" w:lineRule="auto"/>
        <w:ind w:firstLine="630" w:firstLineChars="300"/>
        <w:textAlignment w:val="auto"/>
        <w:rPr>
          <w:rFonts w:ascii="宋体" w:hAnsi="宋体" w:cs="宋体"/>
        </w:rPr>
      </w:pPr>
      <w:bookmarkStart w:id="27" w:name="_Toc35393807"/>
      <w:bookmarkStart w:id="28" w:name="_Toc28359097"/>
      <w:bookmarkStart w:id="29" w:name="_Toc28359020"/>
      <w:bookmarkStart w:id="30" w:name="_Toc35393638"/>
      <w:r>
        <w:rPr>
          <w:rFonts w:hint="eastAsia" w:ascii="宋体" w:hAnsi="宋体" w:cs="宋体"/>
        </w:rPr>
        <w:t>2.采购代理机构信息</w:t>
      </w:r>
      <w:bookmarkEnd w:id="27"/>
      <w:bookmarkEnd w:id="28"/>
      <w:bookmarkEnd w:id="29"/>
      <w:bookmarkEnd w:id="30"/>
    </w:p>
    <w:p>
      <w:pPr>
        <w:keepNext w:val="0"/>
        <w:keepLines w:val="0"/>
        <w:pageBreakBefore w:val="0"/>
        <w:kinsoku/>
        <w:wordWrap/>
        <w:overflowPunct/>
        <w:topLinePunct w:val="0"/>
        <w:autoSpaceDE/>
        <w:autoSpaceDN/>
        <w:bidi w:val="0"/>
        <w:adjustRightInd/>
        <w:snapToGrid/>
        <w:spacing w:line="360" w:lineRule="auto"/>
        <w:ind w:firstLine="840" w:firstLineChars="400"/>
        <w:textAlignment w:val="auto"/>
        <w:rPr>
          <w:rFonts w:ascii="宋体" w:hAnsi="宋体" w:cs="宋体"/>
        </w:rPr>
      </w:pPr>
      <w:r>
        <w:rPr>
          <w:rFonts w:hint="eastAsia" w:ascii="宋体" w:hAnsi="宋体" w:cs="宋体"/>
        </w:rPr>
        <w:t>名称：江西久和招标服务有限公司</w:t>
      </w:r>
    </w:p>
    <w:p>
      <w:pPr>
        <w:keepNext w:val="0"/>
        <w:keepLines w:val="0"/>
        <w:pageBreakBefore w:val="0"/>
        <w:kinsoku/>
        <w:wordWrap/>
        <w:overflowPunct/>
        <w:topLinePunct w:val="0"/>
        <w:autoSpaceDE/>
        <w:autoSpaceDN/>
        <w:bidi w:val="0"/>
        <w:adjustRightInd/>
        <w:snapToGrid/>
        <w:spacing w:line="360" w:lineRule="auto"/>
        <w:ind w:firstLine="840" w:firstLineChars="400"/>
        <w:textAlignment w:val="auto"/>
        <w:rPr>
          <w:rFonts w:ascii="宋体" w:hAnsi="宋体" w:cs="宋体"/>
        </w:rPr>
      </w:pPr>
      <w:r>
        <w:rPr>
          <w:rFonts w:hint="eastAsia" w:ascii="宋体" w:hAnsi="宋体" w:cs="宋体"/>
        </w:rPr>
        <w:t>地址：</w:t>
      </w:r>
      <w:r>
        <w:rPr>
          <w:rFonts w:hint="eastAsia"/>
          <w:szCs w:val="21"/>
        </w:rPr>
        <w:t>赣州市章贡区信丰路中海凯旋门（北门</w:t>
      </w:r>
      <w:r>
        <w:rPr>
          <w:rFonts w:hint="eastAsia" w:asciiTheme="minorEastAsia" w:hAnsiTheme="minorEastAsia" w:eastAsiaTheme="minorEastAsia" w:cstheme="minorEastAsia"/>
          <w:szCs w:val="21"/>
        </w:rPr>
        <w:t>）36栋703</w:t>
      </w:r>
    </w:p>
    <w:p>
      <w:pPr>
        <w:keepNext w:val="0"/>
        <w:keepLines w:val="0"/>
        <w:pageBreakBefore w:val="0"/>
        <w:kinsoku/>
        <w:wordWrap/>
        <w:overflowPunct/>
        <w:topLinePunct w:val="0"/>
        <w:autoSpaceDE/>
        <w:autoSpaceDN/>
        <w:bidi w:val="0"/>
        <w:adjustRightInd/>
        <w:snapToGrid/>
        <w:spacing w:line="360" w:lineRule="auto"/>
        <w:ind w:firstLine="840" w:firstLineChars="400"/>
        <w:textAlignment w:val="auto"/>
        <w:rPr>
          <w:rFonts w:ascii="宋体" w:hAnsi="宋体" w:cs="宋体"/>
          <w:u w:val="single"/>
        </w:rPr>
      </w:pPr>
      <w:r>
        <w:rPr>
          <w:rFonts w:hint="eastAsia" w:ascii="宋体" w:hAnsi="宋体" w:cs="宋体"/>
        </w:rPr>
        <w:t>联系方式：</w:t>
      </w:r>
      <w:r>
        <w:rPr>
          <w:rFonts w:hint="eastAsia"/>
          <w:szCs w:val="21"/>
        </w:rPr>
        <w:t xml:space="preserve">谢粤丽 </w:t>
      </w:r>
      <w:r>
        <w:rPr>
          <w:rFonts w:hint="eastAsia" w:asciiTheme="majorEastAsia" w:hAnsiTheme="majorEastAsia" w:cstheme="majorEastAsia"/>
          <w:szCs w:val="21"/>
        </w:rPr>
        <w:t xml:space="preserve"> 0797-8089611 </w:t>
      </w:r>
      <w:r>
        <w:rPr>
          <w:rFonts w:hint="eastAsia"/>
          <w:szCs w:val="21"/>
        </w:rPr>
        <w:t xml:space="preserve"> </w:t>
      </w:r>
    </w:p>
    <w:p>
      <w:pPr>
        <w:keepNext w:val="0"/>
        <w:keepLines w:val="0"/>
        <w:pageBreakBefore w:val="0"/>
        <w:kinsoku/>
        <w:wordWrap/>
        <w:overflowPunct/>
        <w:topLinePunct w:val="0"/>
        <w:autoSpaceDE/>
        <w:autoSpaceDN/>
        <w:bidi w:val="0"/>
        <w:adjustRightInd/>
        <w:snapToGrid/>
        <w:spacing w:line="360" w:lineRule="auto"/>
        <w:ind w:firstLine="630" w:firstLineChars="300"/>
        <w:textAlignment w:val="auto"/>
        <w:rPr>
          <w:rFonts w:ascii="宋体" w:hAnsi="宋体" w:cs="宋体"/>
        </w:rPr>
      </w:pPr>
      <w:bookmarkStart w:id="31" w:name="_Toc35393639"/>
      <w:bookmarkStart w:id="32" w:name="_Toc28359021"/>
      <w:bookmarkStart w:id="33" w:name="_Toc35393808"/>
      <w:bookmarkStart w:id="34" w:name="_Toc28359098"/>
      <w:r>
        <w:rPr>
          <w:rFonts w:hint="eastAsia" w:ascii="宋体" w:hAnsi="宋体" w:cs="宋体"/>
        </w:rPr>
        <w:t>3.项目联系方式</w:t>
      </w:r>
      <w:bookmarkEnd w:id="31"/>
      <w:bookmarkEnd w:id="32"/>
      <w:bookmarkEnd w:id="33"/>
      <w:bookmarkEnd w:id="34"/>
    </w:p>
    <w:p>
      <w:pPr>
        <w:pStyle w:val="2"/>
        <w:keepNext w:val="0"/>
        <w:keepLines w:val="0"/>
        <w:pageBreakBefore w:val="0"/>
        <w:kinsoku/>
        <w:wordWrap/>
        <w:overflowPunct/>
        <w:topLinePunct w:val="0"/>
        <w:autoSpaceDE/>
        <w:autoSpaceDN/>
        <w:bidi w:val="0"/>
        <w:adjustRightInd/>
        <w:snapToGrid/>
        <w:spacing w:line="360" w:lineRule="auto"/>
        <w:ind w:firstLine="840" w:firstLineChars="400"/>
        <w:textAlignment w:val="auto"/>
        <w:rPr>
          <w:rFonts w:hAnsi="宋体" w:cs="宋体"/>
          <w:szCs w:val="21"/>
        </w:rPr>
      </w:pPr>
      <w:r>
        <w:rPr>
          <w:rFonts w:hint="eastAsia" w:hAnsi="宋体" w:cs="宋体"/>
          <w:szCs w:val="21"/>
        </w:rPr>
        <w:t>项目联系人：</w:t>
      </w:r>
      <w:r>
        <w:rPr>
          <w:rFonts w:hint="eastAsia" w:hAnsi="宋体"/>
          <w:szCs w:val="21"/>
        </w:rPr>
        <w:t xml:space="preserve">李忠强   </w:t>
      </w:r>
    </w:p>
    <w:p>
      <w:pPr>
        <w:keepNext w:val="0"/>
        <w:keepLines w:val="0"/>
        <w:pageBreakBefore w:val="0"/>
        <w:kinsoku/>
        <w:wordWrap/>
        <w:overflowPunct/>
        <w:topLinePunct w:val="0"/>
        <w:autoSpaceDE/>
        <w:autoSpaceDN/>
        <w:bidi w:val="0"/>
        <w:adjustRightInd/>
        <w:snapToGrid/>
        <w:spacing w:line="360" w:lineRule="auto"/>
        <w:ind w:firstLine="840" w:firstLineChars="400"/>
        <w:textAlignment w:val="auto"/>
        <w:rPr>
          <w:rFonts w:hint="eastAsia" w:ascii="宋体" w:hAnsi="宋体"/>
          <w:szCs w:val="21"/>
        </w:rPr>
      </w:pPr>
      <w:r>
        <w:rPr>
          <w:rFonts w:hint="eastAsia" w:ascii="宋体" w:hAnsi="宋体" w:cs="宋体"/>
        </w:rPr>
        <w:t>电话：</w:t>
      </w:r>
      <w:r>
        <w:rPr>
          <w:rFonts w:hint="eastAsia" w:ascii="宋体" w:hAnsi="宋体"/>
          <w:szCs w:val="21"/>
        </w:rPr>
        <w:t>18007074948</w:t>
      </w:r>
    </w:p>
    <w:p>
      <w:pPr>
        <w:pStyle w:val="2"/>
        <w:keepNext w:val="0"/>
        <w:keepLines w:val="0"/>
        <w:pageBreakBefore w:val="0"/>
        <w:kinsoku/>
        <w:wordWrap/>
        <w:overflowPunct/>
        <w:topLinePunct w:val="0"/>
        <w:autoSpaceDE/>
        <w:autoSpaceDN/>
        <w:bidi w:val="0"/>
        <w:adjustRightInd/>
        <w:snapToGrid/>
        <w:spacing w:line="360" w:lineRule="auto"/>
        <w:textAlignment w:val="auto"/>
      </w:pPr>
    </w:p>
    <w:p>
      <w:pPr>
        <w:pStyle w:val="4"/>
        <w:keepNext w:val="0"/>
        <w:keepLines w:val="0"/>
        <w:pageBreakBefore w:val="0"/>
        <w:tabs>
          <w:tab w:val="left" w:pos="2707"/>
        </w:tabs>
        <w:kinsoku/>
        <w:wordWrap/>
        <w:overflowPunct/>
        <w:topLinePunct w:val="0"/>
        <w:autoSpaceDE/>
        <w:autoSpaceDN/>
        <w:bidi w:val="0"/>
        <w:adjustRightInd/>
        <w:snapToGrid/>
        <w:spacing w:line="360" w:lineRule="auto"/>
        <w:ind w:firstLine="2650" w:firstLineChars="600"/>
        <w:textAlignment w:val="auto"/>
        <w:rPr>
          <w:rFonts w:hint="eastAsia"/>
        </w:rPr>
      </w:pPr>
    </w:p>
    <w:p>
      <w:pPr>
        <w:pStyle w:val="23"/>
        <w:spacing w:line="460" w:lineRule="exact"/>
        <w:ind w:right="600"/>
        <w:jc w:val="center"/>
        <w:rPr>
          <w:sz w:val="21"/>
          <w:szCs w:val="21"/>
        </w:rPr>
      </w:pPr>
      <w:r>
        <w:rPr>
          <w:rFonts w:hint="eastAsia"/>
          <w:sz w:val="21"/>
          <w:szCs w:val="21"/>
          <w:lang w:val="en-US" w:eastAsia="zh-CN"/>
        </w:rPr>
        <w:t xml:space="preserve">                                                        </w:t>
      </w:r>
      <w:r>
        <w:rPr>
          <w:rFonts w:hint="eastAsia"/>
          <w:sz w:val="21"/>
          <w:szCs w:val="21"/>
        </w:rPr>
        <w:t>江西久和招标服务有限公司</w:t>
      </w:r>
    </w:p>
    <w:p>
      <w:pPr>
        <w:pStyle w:val="23"/>
        <w:spacing w:line="460" w:lineRule="exact"/>
        <w:ind w:left="0" w:leftChars="0" w:right="119" w:firstLine="210" w:firstLineChars="100"/>
        <w:jc w:val="center"/>
        <w:rPr>
          <w:rFonts w:ascii="宋体" w:hAnsi="宋体" w:cs="宋体"/>
          <w:color w:val="000000" w:themeColor="text1"/>
          <w:kern w:val="0"/>
          <w:sz w:val="21"/>
          <w:szCs w:val="21"/>
          <w14:textFill>
            <w14:solidFill>
              <w14:schemeClr w14:val="tx1"/>
            </w14:solidFill>
          </w14:textFill>
        </w:rPr>
      </w:pPr>
      <w:r>
        <w:rPr>
          <w:rFonts w:hint="eastAsia" w:ascii="宋体" w:hAnsi="宋体" w:cs="宋体"/>
          <w:kern w:val="0"/>
          <w:sz w:val="21"/>
          <w:szCs w:val="21"/>
        </w:rPr>
        <w:t xml:space="preserve">                                                 </w:t>
      </w:r>
      <w:r>
        <w:rPr>
          <w:rFonts w:hint="eastAsia" w:ascii="宋体" w:hAnsi="宋体" w:cs="宋体"/>
          <w:color w:val="000000" w:themeColor="text1"/>
          <w:kern w:val="0"/>
          <w:sz w:val="21"/>
          <w:szCs w:val="21"/>
          <w14:textFill>
            <w14:solidFill>
              <w14:schemeClr w14:val="tx1"/>
            </w14:solidFill>
          </w14:textFill>
        </w:rPr>
        <w:t xml:space="preserve">      2020年</w:t>
      </w:r>
      <w:r>
        <w:rPr>
          <w:rFonts w:hint="eastAsia" w:ascii="宋体" w:hAnsi="宋体" w:cs="宋体"/>
          <w:color w:val="000000" w:themeColor="text1"/>
          <w:kern w:val="0"/>
          <w:sz w:val="21"/>
          <w:szCs w:val="21"/>
          <w:lang w:val="en-US" w:eastAsia="zh-CN"/>
          <w14:textFill>
            <w14:solidFill>
              <w14:schemeClr w14:val="tx1"/>
            </w14:solidFill>
          </w14:textFill>
        </w:rPr>
        <w:t xml:space="preserve">10 </w:t>
      </w:r>
      <w:r>
        <w:rPr>
          <w:rFonts w:hint="eastAsia" w:ascii="宋体" w:hAnsi="宋体" w:cs="宋体"/>
          <w:color w:val="000000" w:themeColor="text1"/>
          <w:kern w:val="0"/>
          <w:sz w:val="21"/>
          <w:szCs w:val="21"/>
          <w14:textFill>
            <w14:solidFill>
              <w14:schemeClr w14:val="tx1"/>
            </w14:solidFill>
          </w14:textFill>
        </w:rPr>
        <w:t>月</w:t>
      </w:r>
      <w:r>
        <w:rPr>
          <w:rFonts w:hint="eastAsia" w:ascii="宋体" w:hAnsi="宋体" w:cs="宋体"/>
          <w:color w:val="000000" w:themeColor="text1"/>
          <w:kern w:val="0"/>
          <w:sz w:val="21"/>
          <w:szCs w:val="21"/>
          <w:lang w:val="en-US" w:eastAsia="zh-CN"/>
          <w14:textFill>
            <w14:solidFill>
              <w14:schemeClr w14:val="tx1"/>
            </w14:solidFill>
          </w14:textFill>
        </w:rPr>
        <w:t xml:space="preserve"> 29 </w:t>
      </w:r>
      <w:r>
        <w:rPr>
          <w:rFonts w:hint="eastAsia" w:ascii="宋体" w:hAnsi="宋体" w:cs="宋体"/>
          <w:color w:val="000000" w:themeColor="text1"/>
          <w:kern w:val="0"/>
          <w:sz w:val="21"/>
          <w:szCs w:val="21"/>
          <w14:textFill>
            <w14:solidFill>
              <w14:schemeClr w14:val="tx1"/>
            </w14:solidFill>
          </w14:textFill>
        </w:rPr>
        <w:t>日</w:t>
      </w:r>
    </w:p>
    <w:p>
      <w:pPr>
        <w:pStyle w:val="4"/>
        <w:tabs>
          <w:tab w:val="left" w:pos="2707"/>
        </w:tabs>
        <w:spacing w:line="480" w:lineRule="exact"/>
        <w:rPr>
          <w:rFonts w:hint="eastAsia"/>
        </w:rPr>
      </w:pPr>
    </w:p>
    <w:p>
      <w:pPr>
        <w:pStyle w:val="4"/>
        <w:tabs>
          <w:tab w:val="left" w:pos="2707"/>
        </w:tabs>
        <w:spacing w:line="480" w:lineRule="exact"/>
        <w:ind w:firstLine="2650" w:firstLineChars="600"/>
        <w:rPr>
          <w:rFonts w:hint="eastAsia"/>
        </w:rPr>
      </w:pPr>
    </w:p>
    <w:p>
      <w:pPr>
        <w:pStyle w:val="4"/>
        <w:tabs>
          <w:tab w:val="left" w:pos="2707"/>
        </w:tabs>
        <w:spacing w:line="480" w:lineRule="exact"/>
        <w:ind w:firstLine="2650" w:firstLineChars="600"/>
        <w:rPr>
          <w:rFonts w:hint="eastAsia"/>
        </w:rPr>
      </w:pPr>
    </w:p>
    <w:p>
      <w:pPr>
        <w:pStyle w:val="4"/>
        <w:tabs>
          <w:tab w:val="left" w:pos="2707"/>
        </w:tabs>
        <w:spacing w:line="480" w:lineRule="exact"/>
        <w:ind w:firstLine="3534" w:firstLineChars="1100"/>
        <w:rPr>
          <w:rFonts w:hint="eastAsia"/>
          <w:sz w:val="32"/>
          <w:szCs w:val="32"/>
        </w:rPr>
      </w:pPr>
    </w:p>
    <w:p>
      <w:pPr>
        <w:pStyle w:val="4"/>
        <w:tabs>
          <w:tab w:val="left" w:pos="2707"/>
        </w:tabs>
        <w:spacing w:line="480" w:lineRule="exact"/>
        <w:ind w:firstLine="3534" w:firstLineChars="1100"/>
        <w:rPr>
          <w:sz w:val="32"/>
          <w:szCs w:val="32"/>
        </w:rPr>
      </w:pPr>
      <w:r>
        <w:rPr>
          <w:rFonts w:hint="eastAsia"/>
          <w:sz w:val="32"/>
          <w:szCs w:val="32"/>
        </w:rPr>
        <w:t>第二章 供应商须知</w:t>
      </w:r>
      <w:bookmarkEnd w:id="1"/>
      <w:bookmarkEnd w:id="26"/>
      <w:bookmarkStart w:id="35" w:name="_Toc520356143"/>
      <w:bookmarkStart w:id="36" w:name="_Toc335421052"/>
      <w:bookmarkStart w:id="37" w:name="_Toc464464193"/>
    </w:p>
    <w:p>
      <w:pPr>
        <w:pStyle w:val="4"/>
        <w:tabs>
          <w:tab w:val="left" w:pos="2707"/>
        </w:tabs>
        <w:spacing w:line="320" w:lineRule="exact"/>
        <w:ind w:firstLine="5080" w:firstLineChars="1150"/>
      </w:pPr>
    </w:p>
    <w:p>
      <w:pPr>
        <w:pStyle w:val="4"/>
        <w:tabs>
          <w:tab w:val="left" w:pos="2707"/>
        </w:tabs>
        <w:spacing w:line="320" w:lineRule="exact"/>
        <w:jc w:val="center"/>
        <w:rPr>
          <w:rFonts w:hAnsi="宋体"/>
          <w:sz w:val="32"/>
          <w:szCs w:val="32"/>
        </w:rPr>
      </w:pPr>
      <w:r>
        <w:rPr>
          <w:rFonts w:hint="eastAsia" w:ascii="宋体"/>
          <w:sz w:val="21"/>
          <w:szCs w:val="21"/>
        </w:rPr>
        <w:t>（一）   说  明</w:t>
      </w:r>
      <w:bookmarkEnd w:id="35"/>
      <w:bookmarkEnd w:id="36"/>
      <w:bookmarkEnd w:id="37"/>
    </w:p>
    <w:p>
      <w:pPr>
        <w:pStyle w:val="6"/>
        <w:spacing w:line="320" w:lineRule="exact"/>
        <w:rPr>
          <w:rFonts w:hAnsi="宋体"/>
          <w:bCs/>
          <w:sz w:val="21"/>
          <w:szCs w:val="21"/>
        </w:rPr>
      </w:pPr>
      <w:bookmarkStart w:id="38" w:name="_Toc464464194"/>
      <w:bookmarkStart w:id="39" w:name="_Toc335421053"/>
      <w:r>
        <w:rPr>
          <w:rFonts w:hint="eastAsia" w:hAnsi="宋体"/>
          <w:bCs/>
          <w:sz w:val="21"/>
          <w:szCs w:val="21"/>
        </w:rPr>
        <w:t>1.  招标采购单位</w:t>
      </w:r>
      <w:bookmarkEnd w:id="38"/>
      <w:bookmarkEnd w:id="39"/>
    </w:p>
    <w:p>
      <w:pPr>
        <w:spacing w:before="33" w:beforeLines="10" w:after="33" w:afterLines="10" w:line="320" w:lineRule="exact"/>
        <w:ind w:left="427" w:firstLine="105" w:firstLineChars="50"/>
        <w:rPr>
          <w:rFonts w:ascii="宋体" w:hAnsi="宋体"/>
          <w:szCs w:val="21"/>
        </w:rPr>
      </w:pPr>
      <w:r>
        <w:rPr>
          <w:rFonts w:hint="eastAsia" w:ascii="宋体" w:hAnsi="宋体"/>
          <w:szCs w:val="21"/>
        </w:rPr>
        <w:t>1.1招标采购单位：赣州银行股份有限公司。</w:t>
      </w:r>
    </w:p>
    <w:p>
      <w:pPr>
        <w:spacing w:before="33" w:beforeLines="10" w:after="33" w:afterLines="10" w:line="320" w:lineRule="exact"/>
        <w:ind w:firstLine="525" w:firstLineChars="250"/>
        <w:rPr>
          <w:rFonts w:ascii="宋体" w:hAnsi="宋体"/>
          <w:szCs w:val="21"/>
        </w:rPr>
      </w:pPr>
      <w:r>
        <w:rPr>
          <w:rFonts w:hint="eastAsia" w:ascii="宋体" w:hAnsi="宋体"/>
          <w:szCs w:val="21"/>
        </w:rPr>
        <w:t>1.2本项目采购人：系指采购人及其委托的采购代理机构。</w:t>
      </w:r>
    </w:p>
    <w:p>
      <w:pPr>
        <w:spacing w:before="33" w:beforeLines="10" w:after="33" w:afterLines="10" w:line="320" w:lineRule="exact"/>
        <w:ind w:firstLine="525" w:firstLineChars="250"/>
        <w:rPr>
          <w:rFonts w:ascii="宋体" w:hAnsi="宋体"/>
          <w:szCs w:val="21"/>
        </w:rPr>
      </w:pPr>
      <w:r>
        <w:rPr>
          <w:rFonts w:hint="eastAsia" w:ascii="宋体" w:hAnsi="宋体"/>
          <w:szCs w:val="21"/>
        </w:rPr>
        <w:t>1.3本项目采购代理机构：江西久和招标服务有限公司</w:t>
      </w:r>
    </w:p>
    <w:p>
      <w:pPr>
        <w:pStyle w:val="6"/>
        <w:spacing w:line="320" w:lineRule="exact"/>
        <w:rPr>
          <w:rFonts w:hAnsi="宋体"/>
          <w:bCs/>
          <w:sz w:val="21"/>
          <w:szCs w:val="21"/>
        </w:rPr>
      </w:pPr>
      <w:bookmarkStart w:id="40" w:name="_Toc335421054"/>
      <w:bookmarkStart w:id="41" w:name="_Toc464464195"/>
      <w:r>
        <w:rPr>
          <w:rFonts w:hint="eastAsia" w:hAnsi="宋体"/>
          <w:bCs/>
          <w:sz w:val="21"/>
          <w:szCs w:val="21"/>
        </w:rPr>
        <w:t>2.  合格供应商</w:t>
      </w:r>
      <w:bookmarkEnd w:id="40"/>
      <w:bookmarkEnd w:id="41"/>
    </w:p>
    <w:p>
      <w:pPr>
        <w:spacing w:before="33" w:beforeLines="10" w:after="33" w:afterLines="10" w:line="320" w:lineRule="exact"/>
        <w:ind w:left="840" w:hanging="840" w:hangingChars="400"/>
        <w:rPr>
          <w:rFonts w:ascii="宋体" w:hAnsi="宋体"/>
          <w:szCs w:val="21"/>
        </w:rPr>
      </w:pPr>
      <w:r>
        <w:rPr>
          <w:rFonts w:hint="eastAsia" w:ascii="宋体" w:hAnsi="宋体"/>
          <w:szCs w:val="21"/>
        </w:rPr>
        <w:t xml:space="preserve">     2.1供应商在磋商过程中不得向采购人提供、给予任何有价值的物品，影响其正常决策行为。一经发现，其供应商资格将被取消。</w:t>
      </w:r>
    </w:p>
    <w:p>
      <w:pPr>
        <w:spacing w:before="33" w:beforeLines="10" w:after="33" w:afterLines="10" w:line="320" w:lineRule="exact"/>
        <w:ind w:left="525" w:leftChars="50" w:hanging="420" w:hangingChars="200"/>
        <w:rPr>
          <w:rFonts w:ascii="宋体" w:hAnsi="宋体"/>
          <w:szCs w:val="21"/>
        </w:rPr>
      </w:pPr>
      <w:r>
        <w:rPr>
          <w:rFonts w:hint="eastAsia" w:ascii="宋体" w:hAnsi="宋体"/>
          <w:szCs w:val="21"/>
        </w:rPr>
        <w:t xml:space="preserve">    2.2采购人在任何时候发现供应商提交的响应文件内容有下列情形之一时，有权依法追究供应商的责任：</w:t>
      </w:r>
    </w:p>
    <w:p>
      <w:pPr>
        <w:spacing w:before="33" w:beforeLines="10" w:after="33" w:afterLines="10" w:line="320" w:lineRule="exact"/>
        <w:ind w:left="898" w:leftChars="300" w:hanging="268" w:hangingChars="128"/>
        <w:rPr>
          <w:rFonts w:ascii="宋体" w:hAnsi="宋体"/>
          <w:szCs w:val="21"/>
        </w:rPr>
      </w:pPr>
      <w:r>
        <w:rPr>
          <w:rFonts w:hint="eastAsia" w:ascii="宋体" w:hAnsi="宋体"/>
          <w:szCs w:val="21"/>
        </w:rPr>
        <w:t>2.2.1提供虚假的资料。</w:t>
      </w:r>
    </w:p>
    <w:p>
      <w:pPr>
        <w:spacing w:before="33" w:beforeLines="10" w:after="33" w:afterLines="10" w:line="320" w:lineRule="exact"/>
        <w:ind w:left="898" w:leftChars="300" w:hanging="268" w:hangingChars="128"/>
        <w:rPr>
          <w:rFonts w:ascii="宋体" w:hAnsi="宋体"/>
          <w:szCs w:val="21"/>
        </w:rPr>
      </w:pPr>
      <w:r>
        <w:rPr>
          <w:rFonts w:hint="eastAsia" w:ascii="宋体" w:hAnsi="宋体"/>
          <w:szCs w:val="21"/>
        </w:rPr>
        <w:t>2.2.2在实质性方面失实。</w:t>
      </w:r>
    </w:p>
    <w:p>
      <w:pPr>
        <w:spacing w:before="33" w:beforeLines="10" w:after="33" w:afterLines="10" w:line="320" w:lineRule="exact"/>
        <w:ind w:left="898" w:leftChars="300" w:hanging="268" w:hangingChars="128"/>
        <w:rPr>
          <w:rFonts w:ascii="宋体" w:hAnsi="宋体"/>
          <w:szCs w:val="21"/>
        </w:rPr>
      </w:pPr>
      <w:r>
        <w:rPr>
          <w:rFonts w:hint="eastAsia" w:ascii="宋体" w:hAnsi="宋体"/>
          <w:szCs w:val="21"/>
        </w:rPr>
        <w:t>2.2.3采购当事人之间相互串通。</w:t>
      </w:r>
      <w:bookmarkStart w:id="42" w:name="_Toc520356145"/>
    </w:p>
    <w:p>
      <w:pPr>
        <w:pStyle w:val="6"/>
        <w:spacing w:line="320" w:lineRule="exact"/>
        <w:rPr>
          <w:rFonts w:hAnsi="宋体"/>
          <w:bCs/>
          <w:sz w:val="21"/>
          <w:szCs w:val="21"/>
        </w:rPr>
      </w:pPr>
      <w:bookmarkStart w:id="43" w:name="_Toc464464196"/>
      <w:bookmarkStart w:id="44" w:name="_Toc335421055"/>
      <w:r>
        <w:rPr>
          <w:rFonts w:hint="eastAsia" w:hAnsi="宋体"/>
          <w:bCs/>
          <w:sz w:val="21"/>
          <w:szCs w:val="21"/>
        </w:rPr>
        <w:t>3． 磋商费用</w:t>
      </w:r>
      <w:bookmarkEnd w:id="42"/>
      <w:bookmarkEnd w:id="43"/>
      <w:bookmarkEnd w:id="44"/>
    </w:p>
    <w:p>
      <w:pPr>
        <w:spacing w:before="10" w:after="10" w:line="320" w:lineRule="exact"/>
        <w:ind w:left="785" w:hanging="783"/>
        <w:rPr>
          <w:rFonts w:ascii="宋体" w:hAnsi="宋体"/>
          <w:szCs w:val="21"/>
        </w:rPr>
      </w:pPr>
      <w:r>
        <w:rPr>
          <w:rFonts w:hint="eastAsia" w:ascii="宋体" w:hAnsi="宋体"/>
          <w:szCs w:val="21"/>
        </w:rPr>
        <w:t>3.1</w:t>
      </w:r>
      <w:r>
        <w:rPr>
          <w:rFonts w:hint="eastAsia" w:ascii="宋体" w:hAnsi="宋体"/>
          <w:szCs w:val="21"/>
        </w:rPr>
        <w:tab/>
      </w:r>
      <w:r>
        <w:rPr>
          <w:rFonts w:hint="eastAsia" w:ascii="宋体" w:hAnsi="宋体"/>
          <w:szCs w:val="21"/>
        </w:rPr>
        <w:t>供应商应承担所有与准备和参加磋商有关的费用，不论磋商的结果如何，采购人均无承担的义务和责任。</w:t>
      </w:r>
    </w:p>
    <w:p>
      <w:pPr>
        <w:spacing w:before="10" w:after="10" w:line="320" w:lineRule="exact"/>
        <w:ind w:left="785" w:hanging="783"/>
        <w:rPr>
          <w:rFonts w:ascii="宋体" w:hAnsi="宋体"/>
          <w:szCs w:val="21"/>
        </w:rPr>
      </w:pPr>
    </w:p>
    <w:p>
      <w:pPr>
        <w:pStyle w:val="5"/>
        <w:spacing w:before="10" w:after="10" w:line="320" w:lineRule="exact"/>
        <w:jc w:val="center"/>
        <w:rPr>
          <w:rFonts w:ascii="宋体" w:hAnsi="宋体"/>
          <w:sz w:val="21"/>
          <w:szCs w:val="21"/>
        </w:rPr>
      </w:pPr>
      <w:bookmarkStart w:id="45" w:name="_Toc520356146"/>
      <w:bookmarkStart w:id="46" w:name="_Toc464464197"/>
      <w:bookmarkStart w:id="47" w:name="_Toc335421056"/>
      <w:r>
        <w:rPr>
          <w:rFonts w:hint="eastAsia" w:ascii="宋体" w:hAnsi="宋体"/>
          <w:sz w:val="21"/>
          <w:szCs w:val="21"/>
        </w:rPr>
        <w:t>（二）   磋商</w:t>
      </w:r>
      <w:bookmarkEnd w:id="45"/>
      <w:bookmarkEnd w:id="46"/>
      <w:bookmarkEnd w:id="47"/>
      <w:r>
        <w:rPr>
          <w:rFonts w:hint="eastAsia" w:ascii="宋体" w:hAnsi="宋体"/>
          <w:sz w:val="21"/>
          <w:szCs w:val="21"/>
        </w:rPr>
        <w:t>文件</w:t>
      </w:r>
    </w:p>
    <w:p>
      <w:pPr>
        <w:pStyle w:val="6"/>
        <w:spacing w:before="10" w:after="10" w:line="320" w:lineRule="exact"/>
        <w:ind w:left="899" w:hanging="899"/>
        <w:rPr>
          <w:rFonts w:hAnsi="宋体"/>
          <w:sz w:val="21"/>
          <w:szCs w:val="21"/>
        </w:rPr>
      </w:pPr>
      <w:bookmarkStart w:id="48" w:name="_Toc335421057"/>
      <w:bookmarkStart w:id="49" w:name="_Toc520356147"/>
      <w:bookmarkStart w:id="50" w:name="_Toc464464198"/>
      <w:r>
        <w:rPr>
          <w:rFonts w:hint="eastAsia" w:hAnsi="宋体"/>
          <w:sz w:val="21"/>
          <w:szCs w:val="21"/>
        </w:rPr>
        <w:t>4.</w:t>
      </w:r>
      <w:r>
        <w:rPr>
          <w:rFonts w:hint="eastAsia" w:hAnsi="宋体"/>
          <w:sz w:val="21"/>
          <w:szCs w:val="21"/>
        </w:rPr>
        <w:tab/>
      </w:r>
      <w:r>
        <w:rPr>
          <w:rFonts w:hint="eastAsia" w:hAnsi="宋体"/>
          <w:sz w:val="21"/>
          <w:szCs w:val="21"/>
        </w:rPr>
        <w:t>磋商文件构成</w:t>
      </w:r>
      <w:bookmarkEnd w:id="48"/>
      <w:bookmarkEnd w:id="49"/>
      <w:bookmarkEnd w:id="50"/>
    </w:p>
    <w:p>
      <w:pPr>
        <w:tabs>
          <w:tab w:val="left" w:pos="900"/>
        </w:tabs>
        <w:spacing w:before="10" w:after="10" w:line="320" w:lineRule="exact"/>
        <w:ind w:left="895" w:hanging="895"/>
        <w:rPr>
          <w:rFonts w:ascii="宋体" w:hAnsi="宋体"/>
          <w:szCs w:val="21"/>
        </w:rPr>
      </w:pPr>
      <w:r>
        <w:rPr>
          <w:rFonts w:hint="eastAsia" w:ascii="宋体" w:hAnsi="宋体"/>
          <w:szCs w:val="21"/>
        </w:rPr>
        <w:t>4.1</w:t>
      </w:r>
      <w:r>
        <w:rPr>
          <w:rFonts w:hint="eastAsia" w:ascii="宋体" w:hAnsi="宋体"/>
          <w:szCs w:val="21"/>
        </w:rPr>
        <w:tab/>
      </w:r>
      <w:r>
        <w:rPr>
          <w:rFonts w:hint="eastAsia" w:ascii="宋体" w:hAnsi="宋体"/>
          <w:szCs w:val="21"/>
        </w:rPr>
        <w:t>要求提供服务的内容及详细技术需求、磋商须知和合同条件等在磋商文件中均有说明。</w:t>
      </w:r>
    </w:p>
    <w:p>
      <w:pPr>
        <w:spacing w:before="10" w:after="10" w:line="320" w:lineRule="exact"/>
        <w:ind w:left="895" w:firstLine="5"/>
        <w:rPr>
          <w:rFonts w:ascii="宋体" w:hAnsi="宋体"/>
          <w:szCs w:val="21"/>
        </w:rPr>
      </w:pPr>
      <w:r>
        <w:rPr>
          <w:rFonts w:hint="eastAsia" w:ascii="宋体" w:hAnsi="宋体"/>
          <w:szCs w:val="21"/>
        </w:rPr>
        <w:t>磋商文件分为五章，内容如下：</w:t>
      </w:r>
    </w:p>
    <w:p>
      <w:pPr>
        <w:numPr>
          <w:ilvl w:val="0"/>
          <w:numId w:val="2"/>
        </w:numPr>
        <w:spacing w:before="10" w:after="10" w:line="320" w:lineRule="exact"/>
        <w:ind w:left="895" w:firstLine="5"/>
        <w:rPr>
          <w:rFonts w:ascii="宋体" w:hAnsi="宋体"/>
          <w:szCs w:val="21"/>
        </w:rPr>
      </w:pPr>
      <w:r>
        <w:rPr>
          <w:rFonts w:hint="eastAsia" w:ascii="宋体" w:hAnsi="宋体"/>
          <w:szCs w:val="21"/>
        </w:rPr>
        <w:t>　磋商邀请函</w:t>
      </w:r>
    </w:p>
    <w:p>
      <w:pPr>
        <w:numPr>
          <w:ilvl w:val="0"/>
          <w:numId w:val="2"/>
        </w:numPr>
        <w:tabs>
          <w:tab w:val="left" w:pos="6496"/>
        </w:tabs>
        <w:spacing w:before="10" w:after="10" w:line="320" w:lineRule="exact"/>
        <w:ind w:left="895" w:firstLine="5"/>
        <w:rPr>
          <w:rFonts w:ascii="宋体" w:hAnsi="宋体"/>
          <w:szCs w:val="21"/>
        </w:rPr>
      </w:pPr>
      <w:r>
        <w:rPr>
          <w:rFonts w:hint="eastAsia" w:ascii="宋体" w:hAnsi="宋体"/>
          <w:szCs w:val="21"/>
        </w:rPr>
        <w:t xml:space="preserve">  供应商须知</w:t>
      </w:r>
    </w:p>
    <w:p>
      <w:pPr>
        <w:numPr>
          <w:ilvl w:val="0"/>
          <w:numId w:val="2"/>
        </w:numPr>
        <w:spacing w:before="10" w:after="10" w:line="320" w:lineRule="exact"/>
        <w:ind w:left="895" w:firstLine="5"/>
        <w:rPr>
          <w:rFonts w:ascii="宋体" w:hAnsi="宋体"/>
          <w:szCs w:val="21"/>
        </w:rPr>
      </w:pPr>
      <w:r>
        <w:rPr>
          <w:rFonts w:hint="eastAsia" w:ascii="宋体" w:hAnsi="宋体"/>
          <w:szCs w:val="21"/>
        </w:rPr>
        <w:t>　响应文件格式</w:t>
      </w:r>
    </w:p>
    <w:p>
      <w:pPr>
        <w:numPr>
          <w:ilvl w:val="0"/>
          <w:numId w:val="2"/>
        </w:numPr>
        <w:spacing w:before="10" w:after="10" w:line="320" w:lineRule="exact"/>
        <w:ind w:left="895" w:firstLine="5"/>
        <w:rPr>
          <w:rFonts w:ascii="宋体" w:hAnsi="宋体"/>
          <w:szCs w:val="21"/>
        </w:rPr>
      </w:pPr>
      <w:r>
        <w:rPr>
          <w:rFonts w:hint="eastAsia" w:ascii="宋体" w:hAnsi="宋体"/>
          <w:szCs w:val="21"/>
        </w:rPr>
        <w:t xml:space="preserve"> </w:t>
      </w:r>
      <w:r>
        <w:rPr>
          <w:rFonts w:hint="eastAsia" w:ascii="宋体" w:hAnsi="宋体"/>
          <w:szCs w:val="21"/>
          <w:lang w:val="en-US" w:eastAsia="zh-CN"/>
        </w:rPr>
        <w:t xml:space="preserve"> </w:t>
      </w:r>
      <w:r>
        <w:rPr>
          <w:rFonts w:hint="eastAsia" w:ascii="宋体" w:hAnsi="宋体"/>
          <w:szCs w:val="21"/>
        </w:rPr>
        <w:t>采购合同（主要格式）</w:t>
      </w:r>
    </w:p>
    <w:p>
      <w:pPr>
        <w:numPr>
          <w:ilvl w:val="0"/>
          <w:numId w:val="3"/>
        </w:numPr>
        <w:spacing w:before="10" w:after="10" w:line="320" w:lineRule="exact"/>
        <w:ind w:left="895"/>
        <w:rPr>
          <w:rFonts w:ascii="宋体" w:hAnsi="宋体"/>
          <w:szCs w:val="21"/>
        </w:rPr>
      </w:pPr>
      <w:r>
        <w:rPr>
          <w:rFonts w:hint="eastAsia" w:ascii="宋体" w:hAnsi="宋体"/>
          <w:szCs w:val="21"/>
        </w:rPr>
        <w:t xml:space="preserve">  </w:t>
      </w:r>
      <w:r>
        <w:rPr>
          <w:rFonts w:hint="eastAsia" w:ascii="宋体" w:hAnsi="宋体"/>
          <w:szCs w:val="21"/>
          <w:lang w:val="en-US" w:eastAsia="zh-CN"/>
        </w:rPr>
        <w:t xml:space="preserve"> </w:t>
      </w:r>
      <w:r>
        <w:rPr>
          <w:rFonts w:hint="eastAsia" w:ascii="宋体" w:hAnsi="宋体"/>
          <w:szCs w:val="21"/>
        </w:rPr>
        <w:t>采购需求、技术规格及商务要求</w:t>
      </w:r>
    </w:p>
    <w:p>
      <w:pPr>
        <w:tabs>
          <w:tab w:val="left" w:pos="900"/>
        </w:tabs>
        <w:spacing w:before="10" w:after="10" w:line="320" w:lineRule="exact"/>
        <w:ind w:left="893" w:hanging="893"/>
        <w:rPr>
          <w:rFonts w:ascii="宋体" w:hAnsi="宋体"/>
          <w:szCs w:val="21"/>
        </w:rPr>
      </w:pPr>
      <w:r>
        <w:rPr>
          <w:rFonts w:hint="eastAsia" w:ascii="宋体" w:hAnsi="宋体"/>
          <w:szCs w:val="21"/>
        </w:rPr>
        <w:t>4.2</w:t>
      </w:r>
      <w:r>
        <w:rPr>
          <w:rFonts w:hint="eastAsia" w:ascii="宋体" w:hAnsi="宋体"/>
          <w:szCs w:val="21"/>
        </w:rPr>
        <w:tab/>
      </w:r>
      <w:r>
        <w:rPr>
          <w:rFonts w:hint="eastAsia" w:ascii="宋体" w:hAnsi="宋体"/>
          <w:szCs w:val="21"/>
        </w:rPr>
        <w:t>供应商应认真阅读磋商文件所有的事项、格式、条款和技术规范等。如供应商没有按照磋商文件要求提交全部资料，或者响应文件没有对磋商文件在各方面都做出实质性响应是供应商的风险，并可能导致其响应文件被拒绝。</w:t>
      </w:r>
    </w:p>
    <w:p>
      <w:pPr>
        <w:pStyle w:val="6"/>
        <w:spacing w:before="10" w:after="10" w:line="320" w:lineRule="exact"/>
        <w:ind w:left="899" w:hanging="899"/>
        <w:rPr>
          <w:rFonts w:hAnsi="宋体"/>
          <w:sz w:val="21"/>
          <w:szCs w:val="21"/>
        </w:rPr>
      </w:pPr>
      <w:bookmarkStart w:id="51" w:name="_Toc520356148"/>
      <w:bookmarkStart w:id="52" w:name="_Toc335421058"/>
      <w:bookmarkStart w:id="53" w:name="_Toc464464199"/>
      <w:r>
        <w:rPr>
          <w:rFonts w:hint="eastAsia" w:hAnsi="宋体"/>
          <w:sz w:val="21"/>
          <w:szCs w:val="21"/>
        </w:rPr>
        <w:t>5.</w:t>
      </w:r>
      <w:r>
        <w:rPr>
          <w:rFonts w:hint="eastAsia" w:hAnsi="宋体"/>
          <w:sz w:val="21"/>
          <w:szCs w:val="21"/>
        </w:rPr>
        <w:tab/>
      </w:r>
      <w:r>
        <w:rPr>
          <w:rFonts w:hint="eastAsia" w:hAnsi="宋体"/>
          <w:sz w:val="21"/>
          <w:szCs w:val="21"/>
        </w:rPr>
        <w:t>磋商文件的澄清</w:t>
      </w:r>
      <w:bookmarkEnd w:id="51"/>
      <w:bookmarkEnd w:id="52"/>
      <w:bookmarkEnd w:id="53"/>
    </w:p>
    <w:p>
      <w:pPr>
        <w:tabs>
          <w:tab w:val="left" w:pos="900"/>
        </w:tabs>
        <w:spacing w:before="10" w:after="10" w:line="320" w:lineRule="exact"/>
        <w:ind w:left="893" w:hanging="893"/>
        <w:rPr>
          <w:rFonts w:ascii="宋体" w:hAnsi="宋体"/>
          <w:szCs w:val="21"/>
        </w:rPr>
      </w:pPr>
      <w:r>
        <w:rPr>
          <w:rFonts w:hint="eastAsia" w:ascii="宋体" w:hAnsi="宋体"/>
          <w:szCs w:val="21"/>
        </w:rPr>
        <w:t>5.1</w:t>
      </w:r>
      <w:r>
        <w:rPr>
          <w:rFonts w:hint="eastAsia" w:ascii="宋体" w:hAnsi="宋体"/>
          <w:szCs w:val="21"/>
        </w:rPr>
        <w:tab/>
      </w:r>
      <w:r>
        <w:rPr>
          <w:rFonts w:hint="eastAsia" w:ascii="宋体" w:hAnsi="宋体"/>
          <w:szCs w:val="21"/>
        </w:rPr>
        <w:t>提交首次响应文件截止之日前，采购人、采购代理机构或者磋商小组可以对已发出的磋商文件进行必要的澄清或者修改，澄清或者修改的内容作为磋商文件的组成部分。澄清或者修改的内容可能影响响应文件编制的，采购人、采购代理机构应当在提交首次响应文件截止时间至少五日前，以书面形式通知所有获取磋商文件的供应商；不足五日的采购人、采购代理机构应当顺延提交首次响应文件截止时间。</w:t>
      </w:r>
    </w:p>
    <w:p>
      <w:pPr>
        <w:tabs>
          <w:tab w:val="left" w:pos="900"/>
        </w:tabs>
        <w:spacing w:before="10" w:after="10" w:line="320" w:lineRule="exact"/>
        <w:ind w:left="893" w:hanging="893"/>
        <w:rPr>
          <w:rFonts w:ascii="宋体" w:hAnsi="宋体"/>
          <w:szCs w:val="21"/>
        </w:rPr>
      </w:pPr>
      <w:r>
        <w:rPr>
          <w:rFonts w:hint="eastAsia" w:ascii="宋体" w:hAnsi="宋体"/>
          <w:szCs w:val="21"/>
        </w:rPr>
        <w:t>5.2     任何要求对磋商文件进行澄清的供应商，均应以书面形式通知采购人。采购人对在磋商截止期五日以前收到的澄清要求应以书面形式予以答复，并将书面答复发给每个获取磋商文件的供应商（答复中不包括问题的来源）。</w:t>
      </w:r>
    </w:p>
    <w:p>
      <w:pPr>
        <w:pStyle w:val="6"/>
        <w:tabs>
          <w:tab w:val="left" w:pos="900"/>
        </w:tabs>
        <w:spacing w:before="10" w:after="10" w:line="320" w:lineRule="exact"/>
        <w:ind w:left="899" w:hanging="899"/>
        <w:rPr>
          <w:rFonts w:ascii="宋体" w:hAnsi="宋体"/>
          <w:b w:val="0"/>
          <w:sz w:val="21"/>
          <w:szCs w:val="21"/>
        </w:rPr>
      </w:pPr>
      <w:bookmarkStart w:id="54" w:name="_Toc464464200"/>
      <w:bookmarkStart w:id="55" w:name="_Toc520356149"/>
      <w:bookmarkStart w:id="56" w:name="_Ref467378678"/>
      <w:bookmarkStart w:id="57" w:name="_Toc335421059"/>
      <w:r>
        <w:rPr>
          <w:rFonts w:hint="eastAsia" w:ascii="宋体" w:hAnsi="宋体"/>
          <w:sz w:val="21"/>
          <w:szCs w:val="21"/>
        </w:rPr>
        <w:t>6.</w:t>
      </w:r>
      <w:r>
        <w:rPr>
          <w:rFonts w:hint="eastAsia" w:ascii="宋体" w:hAnsi="宋体"/>
          <w:b w:val="0"/>
          <w:sz w:val="21"/>
          <w:szCs w:val="21"/>
        </w:rPr>
        <w:tab/>
      </w:r>
      <w:r>
        <w:rPr>
          <w:rFonts w:hint="eastAsia" w:ascii="宋体" w:hAnsi="宋体"/>
          <w:b w:val="0"/>
          <w:sz w:val="21"/>
          <w:szCs w:val="21"/>
        </w:rPr>
        <w:t>磋商文件的修改</w:t>
      </w:r>
      <w:bookmarkEnd w:id="54"/>
      <w:bookmarkEnd w:id="55"/>
      <w:bookmarkEnd w:id="56"/>
      <w:bookmarkEnd w:id="57"/>
    </w:p>
    <w:p>
      <w:pPr>
        <w:pStyle w:val="11"/>
        <w:tabs>
          <w:tab w:val="left" w:pos="900"/>
        </w:tabs>
        <w:spacing w:before="10" w:after="10" w:line="320" w:lineRule="exact"/>
        <w:ind w:left="895" w:hanging="895"/>
        <w:jc w:val="both"/>
        <w:rPr>
          <w:rFonts w:ascii="宋体" w:hAnsi="宋体" w:eastAsia="宋体"/>
          <w:sz w:val="21"/>
          <w:szCs w:val="21"/>
        </w:rPr>
      </w:pPr>
      <w:r>
        <w:rPr>
          <w:rFonts w:hint="eastAsia" w:ascii="宋体" w:hAnsi="宋体" w:eastAsia="宋体"/>
          <w:sz w:val="21"/>
          <w:szCs w:val="21"/>
        </w:rPr>
        <w:t>6.1</w:t>
      </w:r>
      <w:r>
        <w:rPr>
          <w:rFonts w:hint="eastAsia" w:ascii="宋体" w:hAnsi="宋体" w:eastAsia="宋体"/>
          <w:sz w:val="21"/>
          <w:szCs w:val="21"/>
        </w:rPr>
        <w:tab/>
      </w:r>
      <w:r>
        <w:rPr>
          <w:rFonts w:hint="eastAsia" w:ascii="宋体" w:hAnsi="宋体" w:eastAsia="宋体"/>
          <w:sz w:val="21"/>
          <w:szCs w:val="21"/>
        </w:rPr>
        <w:t>磋商文件的修改应以书面形式通知所有获取磋商文件的供应商，并对其具有约束力。供应商在收到上述通知后，应立即向采购人回函确认。</w:t>
      </w:r>
    </w:p>
    <w:p>
      <w:pPr>
        <w:tabs>
          <w:tab w:val="left" w:pos="900"/>
        </w:tabs>
        <w:spacing w:before="10" w:after="10" w:line="320" w:lineRule="exact"/>
        <w:ind w:left="900" w:hanging="900"/>
        <w:rPr>
          <w:rFonts w:ascii="宋体" w:hAnsi="宋体"/>
          <w:szCs w:val="21"/>
        </w:rPr>
      </w:pPr>
      <w:r>
        <w:rPr>
          <w:rFonts w:hint="eastAsia" w:ascii="宋体" w:hAnsi="宋体"/>
          <w:szCs w:val="21"/>
        </w:rPr>
        <w:t>6.2</w:t>
      </w:r>
      <w:r>
        <w:rPr>
          <w:rFonts w:hint="eastAsia" w:ascii="宋体" w:hAnsi="宋体"/>
          <w:szCs w:val="21"/>
        </w:rPr>
        <w:tab/>
      </w:r>
      <w:r>
        <w:rPr>
          <w:rFonts w:hint="eastAsia" w:ascii="宋体" w:hAnsi="宋体"/>
          <w:szCs w:val="21"/>
        </w:rPr>
        <w:t>为使供应商有足够的时间对磋商文件的修改部分进行研究，采购人有权决定是否延长磋商截止期。</w:t>
      </w:r>
    </w:p>
    <w:p>
      <w:pPr>
        <w:spacing w:line="320" w:lineRule="exact"/>
        <w:rPr>
          <w:rFonts w:ascii="宋体" w:hAnsi="宋体"/>
          <w:bCs/>
          <w:szCs w:val="21"/>
        </w:rPr>
      </w:pPr>
      <w:r>
        <w:rPr>
          <w:rFonts w:hint="eastAsia" w:ascii="宋体" w:hAnsi="宋体"/>
          <w:b/>
          <w:bCs/>
          <w:szCs w:val="21"/>
        </w:rPr>
        <w:t>7.</w:t>
      </w:r>
      <w:r>
        <w:rPr>
          <w:rFonts w:hint="eastAsia" w:ascii="宋体" w:hAnsi="宋体"/>
          <w:bCs/>
          <w:szCs w:val="21"/>
        </w:rPr>
        <w:t xml:space="preserve">  　　 供应商在规定的时间内未对本项目澄清或提出疑问的，招标代理机构将视其为同意。</w:t>
      </w:r>
    </w:p>
    <w:p>
      <w:pPr>
        <w:spacing w:line="320" w:lineRule="exact"/>
        <w:rPr>
          <w:rFonts w:ascii="宋体" w:hAnsi="宋体"/>
          <w:bCs/>
          <w:szCs w:val="21"/>
        </w:rPr>
      </w:pPr>
      <w:bookmarkStart w:id="58" w:name="_Toc516367020"/>
      <w:bookmarkStart w:id="59" w:name="_Toc335421060"/>
      <w:bookmarkStart w:id="60" w:name="_Toc520356150"/>
      <w:bookmarkStart w:id="61" w:name="_Toc464464201"/>
      <w:r>
        <w:rPr>
          <w:rFonts w:hint="eastAsia" w:ascii="宋体" w:hAnsi="宋体"/>
          <w:b/>
          <w:bCs/>
          <w:szCs w:val="21"/>
        </w:rPr>
        <w:t>8．</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 xml:space="preserve"> 询问和质疑：</w:t>
      </w:r>
    </w:p>
    <w:p>
      <w:pPr>
        <w:spacing w:line="440" w:lineRule="exact"/>
        <w:ind w:firstLine="420" w:firstLineChars="200"/>
        <w:rPr>
          <w:rFonts w:ascii="宋体" w:hAnsi="宋体"/>
          <w:szCs w:val="21"/>
        </w:rPr>
      </w:pPr>
      <w:r>
        <w:rPr>
          <w:rFonts w:hint="eastAsia" w:ascii="宋体" w:hAnsi="宋体"/>
          <w:szCs w:val="21"/>
        </w:rPr>
        <w:t>询问：供应商对采购活动事项有疑问的，可以向采购人或者采购代理机构提出询问，采购代理机构应当在3个工作日内对供应商依法提出的询问做出答复。</w:t>
      </w:r>
    </w:p>
    <w:p>
      <w:pPr>
        <w:spacing w:line="440" w:lineRule="exact"/>
        <w:ind w:firstLine="377" w:firstLineChars="179"/>
        <w:rPr>
          <w:rFonts w:ascii="宋体" w:hAnsi="宋体"/>
          <w:b/>
          <w:bCs/>
          <w:szCs w:val="21"/>
        </w:rPr>
      </w:pPr>
      <w:r>
        <w:rPr>
          <w:rFonts w:hint="eastAsia" w:ascii="宋体" w:hAnsi="宋体"/>
          <w:b/>
          <w:bCs/>
          <w:szCs w:val="21"/>
        </w:rPr>
        <w:t>质疑：</w:t>
      </w:r>
    </w:p>
    <w:p>
      <w:pPr>
        <w:spacing w:line="440" w:lineRule="exact"/>
        <w:ind w:left="840" w:hanging="840" w:hangingChars="400"/>
      </w:pPr>
      <w:r>
        <w:rPr>
          <w:rFonts w:hint="eastAsia" w:ascii="宋体" w:hAnsi="宋体"/>
          <w:szCs w:val="21"/>
        </w:rPr>
        <w:t>8.1     供应商认为磋商文件、磋商过程、成交结果使自己的权益受到损害的，可以在知道或者应知其权益受到损害之日起7个工作日内，以书面形式向采购人、采购代理机构提出质疑。</w:t>
      </w:r>
    </w:p>
    <w:p>
      <w:pPr>
        <w:spacing w:line="440" w:lineRule="exact"/>
        <w:ind w:firstLine="420" w:firstLineChars="200"/>
      </w:pPr>
      <w:r>
        <w:rPr>
          <w:rFonts w:hint="eastAsia" w:ascii="宋体" w:hAnsi="宋体"/>
          <w:szCs w:val="21"/>
        </w:rPr>
        <w:t>1）对可以质疑的磋商文件提出质疑的，为收到磋商文件之日或者磋商文件公告期限届满之日起7个工作日内；</w:t>
      </w:r>
    </w:p>
    <w:p>
      <w:pPr>
        <w:spacing w:line="440" w:lineRule="exact"/>
        <w:ind w:firstLine="420" w:firstLineChars="200"/>
      </w:pPr>
      <w:r>
        <w:rPr>
          <w:rFonts w:hint="eastAsia"/>
        </w:rPr>
        <w:t>2）对磋商过程提出质疑的，为各磋商程序环节结束之日起7个工作日内；</w:t>
      </w:r>
    </w:p>
    <w:p>
      <w:pPr>
        <w:spacing w:line="440" w:lineRule="exact"/>
        <w:ind w:firstLine="420" w:firstLineChars="200"/>
      </w:pPr>
      <w:r>
        <w:rPr>
          <w:rFonts w:hint="eastAsia"/>
        </w:rPr>
        <w:t>3）对成交结果提出质疑的，为成交结果公告期限届满之日起7个工作日内；</w:t>
      </w:r>
    </w:p>
    <w:p>
      <w:pPr>
        <w:spacing w:line="440" w:lineRule="exact"/>
        <w:ind w:left="840" w:hanging="840" w:hangingChars="400"/>
        <w:rPr>
          <w:rFonts w:ascii="宋体" w:hAnsi="宋体"/>
          <w:szCs w:val="21"/>
        </w:rPr>
      </w:pPr>
      <w:r>
        <w:rPr>
          <w:rFonts w:hint="eastAsia" w:ascii="宋体" w:hAnsi="宋体"/>
          <w:szCs w:val="21"/>
        </w:rPr>
        <w:t>8.2    供应商应在法定质疑期内一次性提出针对同一采购程序环节的质疑。</w:t>
      </w:r>
    </w:p>
    <w:p>
      <w:pPr>
        <w:spacing w:line="440" w:lineRule="exact"/>
        <w:ind w:left="840" w:hanging="840" w:hangingChars="400"/>
        <w:rPr>
          <w:rFonts w:ascii="宋体" w:hAnsi="宋体"/>
          <w:szCs w:val="21"/>
        </w:rPr>
      </w:pPr>
      <w:r>
        <w:rPr>
          <w:rFonts w:hint="eastAsia" w:ascii="宋体" w:hAnsi="宋体"/>
          <w:szCs w:val="21"/>
        </w:rPr>
        <w:t>8.3    提出质疑的供应商应当是参与所质疑项目采购活动的供应商。</w:t>
      </w:r>
    </w:p>
    <w:p>
      <w:pPr>
        <w:spacing w:line="440" w:lineRule="exact"/>
        <w:ind w:left="840" w:hanging="840" w:hangingChars="400"/>
        <w:rPr>
          <w:rFonts w:ascii="宋体" w:hAnsi="宋体"/>
          <w:szCs w:val="21"/>
        </w:rPr>
      </w:pPr>
      <w:r>
        <w:rPr>
          <w:rFonts w:hint="eastAsia" w:ascii="宋体" w:hAnsi="宋体"/>
          <w:szCs w:val="21"/>
        </w:rPr>
        <w:t>8.4    潜在供应商已依法获取其可质疑的磋商文件的，可以对该文件提出质疑。</w:t>
      </w:r>
    </w:p>
    <w:p>
      <w:pPr>
        <w:spacing w:line="440" w:lineRule="exact"/>
        <w:ind w:left="840" w:hanging="840" w:hangingChars="400"/>
        <w:rPr>
          <w:rFonts w:ascii="宋体" w:hAnsi="宋体"/>
          <w:szCs w:val="21"/>
        </w:rPr>
      </w:pPr>
      <w:r>
        <w:rPr>
          <w:rFonts w:hint="eastAsia" w:ascii="宋体" w:hAnsi="宋体"/>
          <w:szCs w:val="21"/>
        </w:rPr>
        <w:t>8.5    供应商提出质疑应当提交质疑函和必要的证明材料。</w:t>
      </w:r>
    </w:p>
    <w:p>
      <w:pPr>
        <w:spacing w:line="440" w:lineRule="exact"/>
        <w:ind w:firstLine="630" w:firstLineChars="300"/>
        <w:rPr>
          <w:rFonts w:ascii="宋体" w:hAnsi="宋体"/>
          <w:szCs w:val="21"/>
        </w:rPr>
      </w:pPr>
      <w:r>
        <w:rPr>
          <w:rFonts w:hint="eastAsia" w:ascii="宋体" w:hAnsi="宋体"/>
          <w:szCs w:val="21"/>
        </w:rPr>
        <w:t>供应商为自然人的，应当由本人签字；供应商为法人或者其他组织的，应当由法定代表人、主要负责人，或者其授权代表签字或者盖章，并加盖公章。</w:t>
      </w:r>
    </w:p>
    <w:p>
      <w:pPr>
        <w:spacing w:line="440" w:lineRule="exact"/>
        <w:ind w:firstLine="630" w:firstLineChars="300"/>
        <w:rPr>
          <w:rFonts w:ascii="宋体" w:hAnsi="宋体"/>
          <w:szCs w:val="21"/>
        </w:rPr>
      </w:pPr>
      <w:r>
        <w:rPr>
          <w:rFonts w:hint="eastAsia" w:ascii="宋体" w:hAnsi="宋体"/>
          <w:szCs w:val="21"/>
        </w:rPr>
        <w:t>对不在采购代理机构现场获取的磋商文件质疑的，须同时提供合法取得磋商文件的凭证。</w:t>
      </w:r>
    </w:p>
    <w:p>
      <w:pPr>
        <w:pStyle w:val="5"/>
        <w:tabs>
          <w:tab w:val="left" w:pos="900"/>
        </w:tabs>
        <w:spacing w:line="320" w:lineRule="exact"/>
        <w:jc w:val="center"/>
        <w:rPr>
          <w:rFonts w:ascii="宋体" w:hAnsi="宋体"/>
          <w:sz w:val="21"/>
          <w:szCs w:val="21"/>
        </w:rPr>
      </w:pPr>
      <w:r>
        <w:rPr>
          <w:rFonts w:hint="eastAsia" w:ascii="宋体" w:hAnsi="宋体"/>
          <w:sz w:val="21"/>
          <w:szCs w:val="21"/>
        </w:rPr>
        <w:t xml:space="preserve">（三）   </w:t>
      </w:r>
      <w:bookmarkEnd w:id="58"/>
      <w:r>
        <w:rPr>
          <w:rFonts w:hint="eastAsia" w:ascii="宋体" w:hAnsi="宋体"/>
          <w:sz w:val="21"/>
          <w:szCs w:val="21"/>
        </w:rPr>
        <w:t>响应文件的编制</w:t>
      </w:r>
      <w:bookmarkEnd w:id="59"/>
      <w:bookmarkEnd w:id="60"/>
      <w:bookmarkEnd w:id="61"/>
    </w:p>
    <w:p>
      <w:pPr>
        <w:pStyle w:val="6"/>
        <w:tabs>
          <w:tab w:val="left" w:pos="900"/>
        </w:tabs>
        <w:spacing w:before="33" w:beforeLines="10" w:after="33" w:afterLines="10" w:line="320" w:lineRule="exact"/>
        <w:rPr>
          <w:rFonts w:hAnsi="宋体"/>
          <w:sz w:val="21"/>
          <w:szCs w:val="21"/>
        </w:rPr>
      </w:pPr>
      <w:bookmarkStart w:id="62" w:name="_Toc464464202"/>
      <w:bookmarkStart w:id="63" w:name="_Toc516367021"/>
      <w:bookmarkStart w:id="64" w:name="_Toc335421061"/>
      <w:bookmarkStart w:id="65" w:name="_Toc520356151"/>
      <w:r>
        <w:rPr>
          <w:rFonts w:hint="eastAsia" w:hAnsi="宋体"/>
          <w:sz w:val="21"/>
          <w:szCs w:val="21"/>
        </w:rPr>
        <w:t>9.  磋商范围及响应文件中计量单位的使用</w:t>
      </w:r>
      <w:bookmarkEnd w:id="62"/>
      <w:bookmarkEnd w:id="63"/>
      <w:bookmarkEnd w:id="64"/>
      <w:bookmarkEnd w:id="65"/>
    </w:p>
    <w:p>
      <w:pPr>
        <w:tabs>
          <w:tab w:val="left" w:pos="900"/>
        </w:tabs>
        <w:spacing w:before="33" w:beforeLines="10" w:after="33" w:afterLines="10" w:line="320" w:lineRule="exact"/>
        <w:ind w:left="900" w:hanging="900"/>
        <w:rPr>
          <w:rFonts w:ascii="宋体" w:hAnsi="宋体"/>
          <w:szCs w:val="21"/>
        </w:rPr>
      </w:pPr>
      <w:r>
        <w:rPr>
          <w:rFonts w:hint="eastAsia" w:ascii="宋体" w:hAnsi="宋体"/>
          <w:szCs w:val="21"/>
        </w:rPr>
        <w:t>9.1     供应商须对磋商文件中“第五章采购需求、技术规格及商务要求”所列的内容进行响应。</w:t>
      </w:r>
    </w:p>
    <w:p>
      <w:pPr>
        <w:adjustRightInd w:val="0"/>
        <w:snapToGrid w:val="0"/>
        <w:spacing w:line="320" w:lineRule="exact"/>
        <w:ind w:left="735" w:hanging="735" w:hangingChars="350"/>
        <w:rPr>
          <w:rFonts w:ascii="宋体" w:hAnsi="宋体"/>
          <w:szCs w:val="21"/>
        </w:rPr>
      </w:pPr>
      <w:r>
        <w:rPr>
          <w:rFonts w:hint="eastAsia" w:ascii="宋体" w:hAnsi="宋体"/>
          <w:szCs w:val="21"/>
        </w:rPr>
        <w:t>9.2</w:t>
      </w:r>
      <w:r>
        <w:rPr>
          <w:rFonts w:hint="eastAsia" w:ascii="宋体" w:hAnsi="宋体"/>
          <w:szCs w:val="21"/>
        </w:rPr>
        <w:tab/>
      </w:r>
      <w:r>
        <w:rPr>
          <w:rFonts w:hint="eastAsia" w:ascii="宋体" w:hAnsi="宋体"/>
          <w:szCs w:val="21"/>
        </w:rPr>
        <w:t xml:space="preserve"> 响应文件中所使用的计量单位，除磋商文件中有特殊要求外，应采用中华人民共和国法定计量单位或国际单位。</w:t>
      </w:r>
    </w:p>
    <w:p>
      <w:pPr>
        <w:adjustRightInd w:val="0"/>
        <w:snapToGrid w:val="0"/>
        <w:spacing w:line="320" w:lineRule="exact"/>
        <w:rPr>
          <w:rFonts w:ascii="宋体" w:hAnsi="宋体"/>
          <w:b/>
          <w:szCs w:val="21"/>
        </w:rPr>
      </w:pPr>
      <w:r>
        <w:rPr>
          <w:rFonts w:hint="eastAsia" w:ascii="宋体" w:hAnsi="宋体"/>
          <w:b/>
          <w:szCs w:val="21"/>
        </w:rPr>
        <w:t>10.响应文件的编写要求</w:t>
      </w:r>
    </w:p>
    <w:p>
      <w:pPr>
        <w:adjustRightInd w:val="0"/>
        <w:snapToGrid w:val="0"/>
        <w:spacing w:line="320" w:lineRule="exact"/>
        <w:ind w:left="840" w:hanging="840" w:hangingChars="400"/>
        <w:rPr>
          <w:rFonts w:ascii="宋体" w:hAnsi="宋体"/>
          <w:szCs w:val="21"/>
        </w:rPr>
      </w:pPr>
      <w:r>
        <w:rPr>
          <w:rFonts w:hint="eastAsia" w:ascii="宋体" w:hAnsi="宋体"/>
          <w:szCs w:val="21"/>
        </w:rPr>
        <w:t>10.1    供应商应仔细阅读磋商文件的所有的内容,按磋商文件的要求提供书面的响应文件，并保证所提供全部资料的真实性，以使其对磋商文件作出实质性响应，否则，其响应文件可能被拒绝。</w:t>
      </w:r>
    </w:p>
    <w:p>
      <w:pPr>
        <w:adjustRightInd w:val="0"/>
        <w:snapToGrid w:val="0"/>
        <w:spacing w:line="320" w:lineRule="exact"/>
        <w:rPr>
          <w:rFonts w:ascii="宋体" w:hAnsi="宋体"/>
          <w:szCs w:val="21"/>
        </w:rPr>
      </w:pPr>
      <w:r>
        <w:rPr>
          <w:rFonts w:hint="eastAsia" w:ascii="宋体" w:hAnsi="宋体"/>
          <w:szCs w:val="21"/>
        </w:rPr>
        <w:t>10.2    以电报、电话、传真形式代替响应文件的概不接受。</w:t>
      </w:r>
    </w:p>
    <w:p>
      <w:pPr>
        <w:adjustRightInd w:val="0"/>
        <w:snapToGrid w:val="0"/>
        <w:spacing w:line="320" w:lineRule="exact"/>
        <w:rPr>
          <w:rFonts w:ascii="宋体" w:hAnsi="宋体"/>
          <w:b/>
          <w:szCs w:val="21"/>
        </w:rPr>
      </w:pPr>
      <w:r>
        <w:rPr>
          <w:rFonts w:hint="eastAsia" w:ascii="宋体" w:hAnsi="宋体"/>
          <w:b/>
          <w:szCs w:val="21"/>
        </w:rPr>
        <w:t>11.语言及计量单位</w:t>
      </w:r>
    </w:p>
    <w:p>
      <w:pPr>
        <w:adjustRightInd w:val="0"/>
        <w:snapToGrid w:val="0"/>
        <w:spacing w:line="320" w:lineRule="exact"/>
        <w:rPr>
          <w:rFonts w:ascii="宋体" w:hAnsi="宋体"/>
          <w:szCs w:val="21"/>
        </w:rPr>
      </w:pPr>
      <w:r>
        <w:rPr>
          <w:rFonts w:hint="eastAsia" w:ascii="宋体" w:hAnsi="宋体"/>
          <w:szCs w:val="21"/>
        </w:rPr>
        <w:t>11.1    响应文件及供应商和采购人就磋商交换的文件和来往信件，应以中文书写。</w:t>
      </w:r>
    </w:p>
    <w:p>
      <w:pPr>
        <w:adjustRightInd w:val="0"/>
        <w:snapToGrid w:val="0"/>
        <w:spacing w:line="320" w:lineRule="exact"/>
        <w:rPr>
          <w:rFonts w:ascii="宋体" w:hAnsi="宋体"/>
          <w:szCs w:val="21"/>
        </w:rPr>
      </w:pPr>
      <w:r>
        <w:rPr>
          <w:rFonts w:hint="eastAsia" w:ascii="宋体" w:hAnsi="宋体"/>
          <w:szCs w:val="21"/>
        </w:rPr>
        <w:t>11.2    除磋商文件中另有约定外，响应文件对日期的约定一律指日历日。</w:t>
      </w:r>
    </w:p>
    <w:p>
      <w:pPr>
        <w:adjustRightInd w:val="0"/>
        <w:snapToGrid w:val="0"/>
        <w:spacing w:line="320" w:lineRule="exact"/>
        <w:rPr>
          <w:rFonts w:ascii="宋体" w:hAnsi="宋体"/>
          <w:b/>
          <w:szCs w:val="21"/>
        </w:rPr>
      </w:pPr>
      <w:r>
        <w:rPr>
          <w:rFonts w:hint="eastAsia" w:ascii="宋体" w:hAnsi="宋体"/>
          <w:b/>
          <w:szCs w:val="21"/>
        </w:rPr>
        <w:t>12.货币单位</w:t>
      </w:r>
    </w:p>
    <w:p>
      <w:pPr>
        <w:adjustRightInd w:val="0"/>
        <w:snapToGrid w:val="0"/>
        <w:spacing w:line="320" w:lineRule="exact"/>
        <w:rPr>
          <w:rFonts w:ascii="宋体" w:hAnsi="宋体"/>
          <w:szCs w:val="21"/>
        </w:rPr>
      </w:pPr>
      <w:r>
        <w:rPr>
          <w:rFonts w:hint="eastAsia" w:ascii="宋体" w:hAnsi="宋体"/>
          <w:szCs w:val="21"/>
        </w:rPr>
        <w:t>12.1    响应文件涉及到的价格、金额一律使用人民币元为单位。</w:t>
      </w:r>
    </w:p>
    <w:p>
      <w:pPr>
        <w:adjustRightInd w:val="0"/>
        <w:snapToGrid w:val="0"/>
        <w:spacing w:line="320" w:lineRule="exact"/>
        <w:rPr>
          <w:rFonts w:ascii="宋体" w:hAnsi="宋体"/>
          <w:b/>
          <w:szCs w:val="21"/>
        </w:rPr>
      </w:pPr>
      <w:r>
        <w:rPr>
          <w:rFonts w:hint="eastAsia" w:ascii="宋体" w:hAnsi="宋体"/>
          <w:b/>
          <w:szCs w:val="21"/>
        </w:rPr>
        <w:t>13.响应文件的组成</w:t>
      </w:r>
    </w:p>
    <w:p>
      <w:pPr>
        <w:adjustRightInd w:val="0"/>
        <w:snapToGrid w:val="0"/>
        <w:spacing w:line="320" w:lineRule="exact"/>
        <w:ind w:firstLine="840" w:firstLineChars="400"/>
        <w:rPr>
          <w:rFonts w:ascii="宋体" w:hAnsi="宋体"/>
          <w:szCs w:val="21"/>
        </w:rPr>
      </w:pPr>
      <w:r>
        <w:rPr>
          <w:rFonts w:hint="eastAsia" w:ascii="宋体" w:hAnsi="宋体"/>
          <w:szCs w:val="21"/>
        </w:rPr>
        <w:t>响应文件由资格文件、技术及商务文件、报价文件三部分组成。</w:t>
      </w:r>
    </w:p>
    <w:p>
      <w:pPr>
        <w:adjustRightInd w:val="0"/>
        <w:snapToGrid w:val="0"/>
        <w:spacing w:line="320" w:lineRule="exact"/>
        <w:rPr>
          <w:rFonts w:ascii="宋体" w:hAnsi="宋体"/>
          <w:b/>
          <w:szCs w:val="21"/>
        </w:rPr>
      </w:pPr>
      <w:r>
        <w:rPr>
          <w:rFonts w:ascii="宋体" w:hAnsi="宋体"/>
          <w:szCs w:val="21"/>
        </w:rPr>
        <w:t>1</w:t>
      </w:r>
      <w:r>
        <w:rPr>
          <w:rFonts w:hint="eastAsia" w:ascii="宋体" w:hAnsi="宋体"/>
          <w:szCs w:val="21"/>
        </w:rPr>
        <w:t>3.1</w:t>
      </w:r>
      <w:r>
        <w:rPr>
          <w:rFonts w:hint="eastAsia" w:ascii="宋体" w:hAnsi="宋体"/>
          <w:b/>
          <w:szCs w:val="21"/>
        </w:rPr>
        <w:t xml:space="preserve">  </w:t>
      </w:r>
      <w:r>
        <w:rPr>
          <w:rFonts w:ascii="宋体" w:hAnsi="宋体"/>
          <w:b/>
          <w:szCs w:val="21"/>
        </w:rPr>
        <w:t>资</w:t>
      </w:r>
      <w:r>
        <w:rPr>
          <w:rFonts w:hint="eastAsia" w:ascii="宋体" w:hAnsi="宋体"/>
          <w:b/>
          <w:szCs w:val="21"/>
        </w:rPr>
        <w:t>格文件</w:t>
      </w:r>
      <w:r>
        <w:rPr>
          <w:rFonts w:ascii="宋体" w:hAnsi="宋体"/>
          <w:b/>
          <w:szCs w:val="21"/>
        </w:rPr>
        <w:t>：</w:t>
      </w:r>
    </w:p>
    <w:p>
      <w:pPr>
        <w:adjustRightInd w:val="0"/>
        <w:snapToGrid w:val="0"/>
        <w:spacing w:line="320" w:lineRule="exact"/>
        <w:ind w:firstLine="420" w:firstLineChars="200"/>
        <w:rPr>
          <w:rFonts w:ascii="宋体" w:hAnsi="宋体"/>
          <w:szCs w:val="21"/>
        </w:rPr>
      </w:pPr>
      <w:r>
        <w:rPr>
          <w:rFonts w:ascii="宋体" w:hAnsi="宋体"/>
          <w:szCs w:val="21"/>
        </w:rPr>
        <w:t>（1）</w:t>
      </w:r>
      <w:r>
        <w:rPr>
          <w:rFonts w:hint="eastAsia" w:ascii="宋体" w:hAnsi="宋体"/>
          <w:szCs w:val="21"/>
        </w:rPr>
        <w:t>供应商有效的《营业执照》、组织机构代码、税务登记证或三证合一营业执照</w:t>
      </w:r>
      <w:r>
        <w:rPr>
          <w:rFonts w:ascii="宋体" w:hAnsi="宋体"/>
          <w:szCs w:val="21"/>
        </w:rPr>
        <w:t>；</w:t>
      </w:r>
    </w:p>
    <w:p>
      <w:pPr>
        <w:adjustRightInd w:val="0"/>
        <w:snapToGrid w:val="0"/>
        <w:spacing w:line="320" w:lineRule="exact"/>
        <w:ind w:firstLine="420" w:firstLineChars="200"/>
        <w:rPr>
          <w:rFonts w:ascii="宋体" w:hAnsi="宋体"/>
          <w:szCs w:val="21"/>
        </w:rPr>
      </w:pPr>
      <w:r>
        <w:rPr>
          <w:rFonts w:ascii="宋体" w:hAnsi="宋体"/>
          <w:szCs w:val="21"/>
        </w:rPr>
        <w:t xml:space="preserve">（2）法定代表人授权委托书； </w:t>
      </w:r>
    </w:p>
    <w:p>
      <w:pPr>
        <w:adjustRightInd w:val="0"/>
        <w:snapToGrid w:val="0"/>
        <w:spacing w:line="320" w:lineRule="exact"/>
        <w:ind w:left="840" w:leftChars="200" w:hanging="420" w:hangingChars="200"/>
        <w:rPr>
          <w:rFonts w:ascii="宋体" w:hAnsi="宋体"/>
          <w:szCs w:val="21"/>
        </w:rPr>
      </w:pPr>
      <w:r>
        <w:rPr>
          <w:rFonts w:ascii="宋体" w:hAnsi="宋体"/>
          <w:szCs w:val="21"/>
        </w:rPr>
        <w:t>（</w:t>
      </w:r>
      <w:r>
        <w:rPr>
          <w:rFonts w:hint="eastAsia" w:ascii="宋体" w:hAnsi="宋体"/>
          <w:szCs w:val="21"/>
        </w:rPr>
        <w:t>3</w:t>
      </w:r>
      <w:r>
        <w:rPr>
          <w:rFonts w:ascii="宋体" w:hAnsi="宋体"/>
          <w:szCs w:val="21"/>
        </w:rPr>
        <w:t>）供应商的基本情况介绍及合格供应商资格证明</w:t>
      </w:r>
      <w:r>
        <w:rPr>
          <w:rFonts w:hint="eastAsia" w:ascii="宋体" w:hAnsi="宋体"/>
          <w:szCs w:val="21"/>
        </w:rPr>
        <w:t>文件及评分标准中要求提供的各项证明资料（内容及要求见评分标准）</w:t>
      </w:r>
      <w:r>
        <w:rPr>
          <w:rFonts w:ascii="宋体" w:hAnsi="宋体"/>
          <w:szCs w:val="21"/>
        </w:rPr>
        <w:t>；</w:t>
      </w:r>
    </w:p>
    <w:p>
      <w:pPr>
        <w:adjustRightInd w:val="0"/>
        <w:snapToGrid w:val="0"/>
        <w:spacing w:line="320" w:lineRule="exact"/>
        <w:rPr>
          <w:rFonts w:ascii="宋体" w:hAnsi="宋体"/>
          <w:b/>
          <w:szCs w:val="21"/>
        </w:rPr>
      </w:pPr>
      <w:r>
        <w:rPr>
          <w:rFonts w:hint="eastAsia" w:ascii="宋体" w:hAnsi="宋体"/>
          <w:szCs w:val="21"/>
        </w:rPr>
        <w:t>13.2</w:t>
      </w:r>
      <w:r>
        <w:rPr>
          <w:rFonts w:hint="eastAsia" w:ascii="宋体" w:hAnsi="宋体"/>
          <w:b/>
          <w:szCs w:val="21"/>
        </w:rPr>
        <w:t xml:space="preserve">  技术及商务文件</w:t>
      </w:r>
    </w:p>
    <w:p>
      <w:pPr>
        <w:adjustRightInd w:val="0"/>
        <w:snapToGrid w:val="0"/>
        <w:spacing w:line="320" w:lineRule="exact"/>
        <w:ind w:firstLine="420" w:firstLineChars="200"/>
        <w:rPr>
          <w:rFonts w:ascii="宋体" w:hAnsi="宋体"/>
          <w:szCs w:val="21"/>
        </w:rPr>
      </w:pPr>
      <w:r>
        <w:rPr>
          <w:rFonts w:ascii="宋体" w:hAnsi="宋体"/>
          <w:szCs w:val="21"/>
        </w:rPr>
        <w:t>（</w:t>
      </w:r>
      <w:r>
        <w:rPr>
          <w:rFonts w:hint="eastAsia" w:ascii="宋体" w:hAnsi="宋体"/>
          <w:szCs w:val="21"/>
        </w:rPr>
        <w:t>1</w:t>
      </w:r>
      <w:r>
        <w:rPr>
          <w:rFonts w:ascii="宋体" w:hAnsi="宋体"/>
          <w:szCs w:val="21"/>
        </w:rPr>
        <w:t>）</w:t>
      </w:r>
      <w:r>
        <w:rPr>
          <w:rFonts w:hint="eastAsia" w:ascii="宋体" w:hAnsi="宋体"/>
          <w:szCs w:val="21"/>
        </w:rPr>
        <w:t>保证本项目服务质量和工期的技术力量、组织方案；保证本项目完成的人力资源解决方案。</w:t>
      </w:r>
    </w:p>
    <w:p>
      <w:pPr>
        <w:adjustRightInd w:val="0"/>
        <w:snapToGrid w:val="0"/>
        <w:spacing w:line="320" w:lineRule="exact"/>
        <w:ind w:firstLine="420" w:firstLineChars="200"/>
        <w:rPr>
          <w:rFonts w:ascii="宋体" w:hAnsi="宋体"/>
          <w:szCs w:val="21"/>
        </w:rPr>
      </w:pPr>
      <w:r>
        <w:rPr>
          <w:rFonts w:hint="eastAsia" w:ascii="宋体" w:hAnsi="宋体"/>
          <w:szCs w:val="21"/>
        </w:rPr>
        <w:t>（2）技术条款对照表（统一格式）</w:t>
      </w:r>
    </w:p>
    <w:p>
      <w:pPr>
        <w:adjustRightInd w:val="0"/>
        <w:snapToGrid w:val="0"/>
        <w:spacing w:line="320" w:lineRule="exact"/>
        <w:ind w:firstLine="420" w:firstLineChars="200"/>
        <w:rPr>
          <w:rFonts w:ascii="宋体" w:hAnsi="宋体"/>
          <w:szCs w:val="21"/>
        </w:rPr>
      </w:pPr>
      <w:r>
        <w:rPr>
          <w:rFonts w:ascii="宋体" w:hAnsi="宋体"/>
          <w:szCs w:val="21"/>
        </w:rPr>
        <w:t>（</w:t>
      </w:r>
      <w:r>
        <w:rPr>
          <w:rFonts w:hint="eastAsia" w:ascii="宋体" w:hAnsi="宋体"/>
          <w:szCs w:val="21"/>
        </w:rPr>
        <w:t>3</w:t>
      </w:r>
      <w:r>
        <w:rPr>
          <w:rFonts w:ascii="宋体" w:hAnsi="宋体"/>
          <w:szCs w:val="21"/>
        </w:rPr>
        <w:t>）供应商需要说明的其他</w:t>
      </w:r>
      <w:r>
        <w:rPr>
          <w:rFonts w:hint="eastAsia" w:ascii="宋体" w:hAnsi="宋体"/>
          <w:szCs w:val="21"/>
        </w:rPr>
        <w:t>文件</w:t>
      </w:r>
      <w:r>
        <w:rPr>
          <w:rFonts w:ascii="宋体" w:hAnsi="宋体"/>
          <w:szCs w:val="21"/>
        </w:rPr>
        <w:t>等。</w:t>
      </w:r>
    </w:p>
    <w:p>
      <w:pPr>
        <w:adjustRightInd w:val="0"/>
        <w:snapToGrid w:val="0"/>
        <w:spacing w:line="320" w:lineRule="exact"/>
        <w:rPr>
          <w:rFonts w:ascii="宋体" w:hAnsi="宋体"/>
          <w:b/>
          <w:szCs w:val="21"/>
        </w:rPr>
      </w:pPr>
      <w:r>
        <w:rPr>
          <w:rFonts w:hint="eastAsia" w:ascii="宋体" w:hAnsi="宋体"/>
          <w:szCs w:val="21"/>
        </w:rPr>
        <w:t>13.3</w:t>
      </w:r>
      <w:r>
        <w:rPr>
          <w:rFonts w:hint="eastAsia" w:ascii="宋体" w:hAnsi="宋体"/>
          <w:b/>
          <w:szCs w:val="21"/>
        </w:rPr>
        <w:t xml:space="preserve">  </w:t>
      </w:r>
      <w:r>
        <w:rPr>
          <w:rFonts w:ascii="宋体" w:hAnsi="宋体"/>
          <w:b/>
          <w:szCs w:val="21"/>
        </w:rPr>
        <w:t>报价</w:t>
      </w:r>
      <w:r>
        <w:rPr>
          <w:rFonts w:hint="eastAsia" w:ascii="宋体" w:hAnsi="宋体"/>
          <w:b/>
          <w:szCs w:val="21"/>
        </w:rPr>
        <w:t>文件</w:t>
      </w:r>
      <w:r>
        <w:rPr>
          <w:rFonts w:ascii="宋体" w:hAnsi="宋体"/>
          <w:b/>
          <w:szCs w:val="21"/>
        </w:rPr>
        <w:t>：</w:t>
      </w:r>
    </w:p>
    <w:p>
      <w:pPr>
        <w:adjustRightInd w:val="0"/>
        <w:snapToGrid w:val="0"/>
        <w:spacing w:line="320" w:lineRule="exact"/>
        <w:ind w:firstLine="420" w:firstLineChars="200"/>
        <w:rPr>
          <w:rFonts w:ascii="宋体" w:hAnsi="宋体"/>
          <w:szCs w:val="21"/>
        </w:rPr>
      </w:pPr>
      <w:r>
        <w:rPr>
          <w:rFonts w:ascii="宋体" w:hAnsi="宋体"/>
          <w:szCs w:val="21"/>
        </w:rPr>
        <w:t>（1）</w:t>
      </w:r>
      <w:r>
        <w:rPr>
          <w:rFonts w:hint="eastAsia" w:ascii="宋体" w:hAnsi="宋体"/>
          <w:szCs w:val="21"/>
        </w:rPr>
        <w:t>磋商</w:t>
      </w:r>
      <w:r>
        <w:rPr>
          <w:rFonts w:ascii="宋体" w:hAnsi="宋体"/>
          <w:szCs w:val="21"/>
        </w:rPr>
        <w:t>函（</w:t>
      </w:r>
      <w:r>
        <w:rPr>
          <w:rFonts w:hint="eastAsia" w:ascii="宋体" w:hAnsi="宋体"/>
          <w:szCs w:val="21"/>
        </w:rPr>
        <w:t>统一格式</w:t>
      </w:r>
      <w:r>
        <w:rPr>
          <w:rFonts w:ascii="宋体" w:hAnsi="宋体"/>
          <w:szCs w:val="21"/>
        </w:rPr>
        <w:t xml:space="preserve">）。 </w:t>
      </w:r>
    </w:p>
    <w:p>
      <w:pPr>
        <w:adjustRightInd w:val="0"/>
        <w:snapToGrid w:val="0"/>
        <w:spacing w:line="320" w:lineRule="exact"/>
        <w:ind w:firstLine="420" w:firstLineChars="200"/>
        <w:rPr>
          <w:rFonts w:ascii="宋体" w:hAnsi="宋体"/>
          <w:szCs w:val="21"/>
        </w:rPr>
      </w:pPr>
      <w:r>
        <w:rPr>
          <w:rFonts w:ascii="宋体" w:hAnsi="宋体"/>
          <w:szCs w:val="21"/>
        </w:rPr>
        <w:t>（2）</w:t>
      </w:r>
      <w:r>
        <w:rPr>
          <w:rFonts w:hint="eastAsia" w:ascii="宋体" w:hAnsi="宋体"/>
          <w:szCs w:val="21"/>
        </w:rPr>
        <w:t>磋商</w:t>
      </w:r>
      <w:r>
        <w:rPr>
          <w:rFonts w:ascii="宋体" w:hAnsi="宋体"/>
          <w:szCs w:val="21"/>
        </w:rPr>
        <w:t>一览表（</w:t>
      </w:r>
      <w:r>
        <w:rPr>
          <w:rFonts w:hint="eastAsia" w:ascii="宋体" w:hAnsi="宋体"/>
          <w:szCs w:val="21"/>
        </w:rPr>
        <w:t>统一格式</w:t>
      </w:r>
      <w:r>
        <w:rPr>
          <w:rFonts w:ascii="宋体" w:hAnsi="宋体"/>
          <w:szCs w:val="21"/>
        </w:rPr>
        <w:t>）。</w:t>
      </w:r>
    </w:p>
    <w:p>
      <w:pPr>
        <w:adjustRightInd w:val="0"/>
        <w:snapToGrid w:val="0"/>
        <w:spacing w:line="320" w:lineRule="exact"/>
        <w:ind w:firstLine="422" w:firstLineChars="200"/>
        <w:rPr>
          <w:rFonts w:ascii="宋体" w:hAnsi="宋体"/>
          <w:szCs w:val="21"/>
        </w:rPr>
      </w:pPr>
      <w:r>
        <w:rPr>
          <w:rFonts w:hint="eastAsia" w:ascii="宋体" w:hAnsi="宋体"/>
          <w:b/>
          <w:szCs w:val="21"/>
        </w:rPr>
        <w:t>注：供应商在磋商时必须提供合格供应商资格证明文件，提供不全或无效的将以无效响应处理。</w:t>
      </w:r>
    </w:p>
    <w:p>
      <w:pPr>
        <w:adjustRightInd w:val="0"/>
        <w:snapToGrid w:val="0"/>
        <w:spacing w:line="320" w:lineRule="exact"/>
        <w:ind w:left="420" w:leftChars="200"/>
        <w:rPr>
          <w:rFonts w:ascii="宋体" w:hAnsi="宋体"/>
          <w:b/>
          <w:szCs w:val="21"/>
        </w:rPr>
      </w:pPr>
      <w:r>
        <w:rPr>
          <w:rFonts w:hint="eastAsia" w:ascii="宋体" w:hAnsi="宋体"/>
          <w:b/>
          <w:szCs w:val="21"/>
        </w:rPr>
        <w:t>重要提醒：潜在供应商应及时关注本项目的答疑、补充、修改等通知，供应商因自身疏忽而导致磋商响应文件不能实质响应或其他损失，其产生的后果由供应商自身承担。</w:t>
      </w:r>
    </w:p>
    <w:p>
      <w:pPr>
        <w:adjustRightInd w:val="0"/>
        <w:snapToGrid w:val="0"/>
        <w:spacing w:line="320" w:lineRule="exact"/>
        <w:rPr>
          <w:rFonts w:ascii="宋体" w:hAnsi="宋体"/>
          <w:b/>
          <w:szCs w:val="21"/>
        </w:rPr>
      </w:pPr>
      <w:r>
        <w:rPr>
          <w:rFonts w:hint="eastAsia" w:ascii="宋体" w:hAnsi="宋体"/>
          <w:b/>
          <w:szCs w:val="21"/>
        </w:rPr>
        <w:t>14.响应文件格式</w:t>
      </w:r>
    </w:p>
    <w:p>
      <w:pPr>
        <w:adjustRightInd w:val="0"/>
        <w:snapToGrid w:val="0"/>
        <w:spacing w:line="320" w:lineRule="exact"/>
        <w:rPr>
          <w:rFonts w:ascii="宋体" w:hAnsi="宋体"/>
          <w:szCs w:val="21"/>
        </w:rPr>
      </w:pPr>
      <w:r>
        <w:rPr>
          <w:rFonts w:hint="eastAsia" w:ascii="宋体" w:hAnsi="宋体"/>
          <w:szCs w:val="21"/>
        </w:rPr>
        <w:t>14.1    供应商应尽量按磋商文件中提供的第三章响应文件格式填写磋商资料。</w:t>
      </w:r>
    </w:p>
    <w:p>
      <w:pPr>
        <w:adjustRightInd w:val="0"/>
        <w:snapToGrid w:val="0"/>
        <w:spacing w:line="320" w:lineRule="exact"/>
        <w:rPr>
          <w:rFonts w:ascii="宋体" w:hAnsi="宋体"/>
          <w:b/>
          <w:szCs w:val="21"/>
        </w:rPr>
      </w:pPr>
      <w:r>
        <w:rPr>
          <w:rFonts w:hint="eastAsia" w:ascii="宋体" w:hAnsi="宋体"/>
          <w:b/>
          <w:szCs w:val="21"/>
        </w:rPr>
        <w:t>15.磋商报价</w:t>
      </w:r>
    </w:p>
    <w:p>
      <w:pPr>
        <w:adjustRightInd w:val="0"/>
        <w:snapToGrid w:val="0"/>
        <w:spacing w:line="320" w:lineRule="exact"/>
        <w:ind w:left="840" w:hanging="840" w:hangingChars="400"/>
        <w:rPr>
          <w:rFonts w:ascii="宋体" w:hAnsi="宋体"/>
          <w:szCs w:val="21"/>
        </w:rPr>
      </w:pPr>
      <w:r>
        <w:rPr>
          <w:rFonts w:hint="eastAsia" w:ascii="宋体" w:hAnsi="宋体"/>
          <w:szCs w:val="21"/>
        </w:rPr>
        <w:t>15.1    供应商的磋商报价应在综合考虑项目公司根据磋商文件和项目合同可能获得的相关收益后，覆盖本项目的建设、运营和移交阶段的全部成本、</w:t>
      </w:r>
      <w:r>
        <w:rPr>
          <w:rFonts w:ascii="宋体" w:hAnsi="宋体"/>
          <w:szCs w:val="21"/>
        </w:rPr>
        <w:t>费用</w:t>
      </w:r>
      <w:r>
        <w:rPr>
          <w:rFonts w:hint="eastAsia" w:ascii="宋体" w:hAnsi="宋体"/>
          <w:szCs w:val="21"/>
        </w:rPr>
        <w:t>和项目公司的合理收益。</w:t>
      </w:r>
    </w:p>
    <w:p>
      <w:pPr>
        <w:pStyle w:val="24"/>
        <w:spacing w:before="0" w:beforeAutospacing="0" w:after="0" w:afterAutospacing="0" w:line="360" w:lineRule="auto"/>
        <w:rPr>
          <w:color w:val="000000" w:themeColor="text1"/>
          <w:kern w:val="2"/>
          <w:sz w:val="21"/>
          <w:szCs w:val="21"/>
          <w14:textFill>
            <w14:solidFill>
              <w14:schemeClr w14:val="tx1"/>
            </w14:solidFill>
          </w14:textFill>
        </w:rPr>
      </w:pPr>
      <w:r>
        <w:rPr>
          <w:rFonts w:hint="eastAsia"/>
          <w:color w:val="000000" w:themeColor="text1"/>
          <w:kern w:val="2"/>
          <w:sz w:val="21"/>
          <w:szCs w:val="21"/>
          <w14:textFill>
            <w14:solidFill>
              <w14:schemeClr w14:val="tx1"/>
            </w14:solidFill>
          </w14:textFill>
        </w:rPr>
        <w:t>15.2    除采购人有特别要求外，供应商不得再要求追加任何费用。投标报价应包括以下费用：</w:t>
      </w:r>
    </w:p>
    <w:p>
      <w:pPr>
        <w:adjustRightInd w:val="0"/>
        <w:snapToGrid w:val="0"/>
        <w:spacing w:line="320" w:lineRule="exact"/>
        <w:ind w:left="840" w:leftChars="4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①出厂单价，包括招标文件要求的供货范围内的主机和辅件、出厂装箱所列易损件、备品备件、五方通话电缆线、三相五线制电缆线（不含采购人的配电柜到电梯控制柜的电缆线）及专用工具等；投标报价包含因现场环境不足需拆除电梯井内非承重部位的所有费用。</w:t>
      </w:r>
    </w:p>
    <w:p>
      <w:pPr>
        <w:adjustRightInd w:val="0"/>
        <w:snapToGrid w:val="0"/>
        <w:spacing w:line="320" w:lineRule="exact"/>
        <w:ind w:left="840" w:leftChars="4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②运保费、装卸费、仓储费；</w:t>
      </w:r>
    </w:p>
    <w:p>
      <w:pPr>
        <w:adjustRightInd w:val="0"/>
        <w:snapToGrid w:val="0"/>
        <w:spacing w:line="320" w:lineRule="exact"/>
        <w:ind w:left="840" w:leftChars="4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③安装调试费［包括临时设施费、电梯井内脚手架（脚手架钢管由电梯成交供应商自供）、安装及调试水电费、起重设备进场费等］；</w:t>
      </w:r>
    </w:p>
    <w:p>
      <w:pPr>
        <w:adjustRightInd w:val="0"/>
        <w:snapToGrid w:val="0"/>
        <w:spacing w:line="320" w:lineRule="exact"/>
        <w:ind w:left="840" w:leftChars="4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④质量技术监督部门的申报和电梯检验费、注册登记费；技术培训费、预验收费；</w:t>
      </w:r>
    </w:p>
    <w:p>
      <w:pPr>
        <w:adjustRightInd w:val="0"/>
        <w:snapToGrid w:val="0"/>
        <w:spacing w:line="320" w:lineRule="exact"/>
        <w:ind w:left="840" w:leftChars="4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⑤安装人员的工资、保险、旅差费、食宿费及企业的利润、管理费等；</w:t>
      </w:r>
    </w:p>
    <w:p>
      <w:pPr>
        <w:adjustRightInd w:val="0"/>
        <w:snapToGrid w:val="0"/>
        <w:spacing w:line="320" w:lineRule="exact"/>
        <w:ind w:left="840" w:leftChars="4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⑥向政府及行业主管部门交纳各种税费、规费（成交供应商可分别与采购人签订电梯销售合同及电梯安装合同）；</w:t>
      </w:r>
    </w:p>
    <w:p>
      <w:pPr>
        <w:adjustRightInd w:val="0"/>
        <w:snapToGrid w:val="0"/>
        <w:spacing w:line="320" w:lineRule="exact"/>
        <w:ind w:left="840" w:leftChars="4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⑦质保期内的维修保养费；</w:t>
      </w:r>
    </w:p>
    <w:p>
      <w:pPr>
        <w:adjustRightInd w:val="0"/>
        <w:snapToGrid w:val="0"/>
        <w:spacing w:line="320" w:lineRule="exact"/>
        <w:ind w:left="840" w:leftChars="4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⑧向装修总承包人支付成交供应商投标总报价2%的总承包管理及配合费[该费用是成交供应商使用土建总承包单位现有的脚手架（不含电梯井内脚手架）、垂直运输工具、施工道路、设备材料临时堆放场地、临时水电接驳、临时施工便道、围墙、卫生设施或其他临时设施及协调管理的费用，成交供应商安装、调试电梯所需水电费不含在总承包服务费中，但含在投标报价中；</w:t>
      </w:r>
    </w:p>
    <w:p>
      <w:pPr>
        <w:adjustRightInd w:val="0"/>
        <w:snapToGrid w:val="0"/>
        <w:spacing w:line="320" w:lineRule="exact"/>
        <w:ind w:left="840" w:leftChars="4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⑨由成交供应商承担的土建相关工作及其费用：机房吊钩、电梯井内脚手架、井道内的预埋件及安装、电梯机房开孔开槽及修补；由成交供应商原因造成的土建返工费用，电梯施工和试运行的电费，施工期间仓库及办公室的用电费等；</w:t>
      </w:r>
    </w:p>
    <w:p>
      <w:pPr>
        <w:adjustRightInd w:val="0"/>
        <w:snapToGrid w:val="0"/>
        <w:spacing w:line="320" w:lineRule="exact"/>
        <w:ind w:left="840" w:leftChars="4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⑩设备进场到交付采购人使用期间，所有设备的保管工作均由成交供应商负责，所发生的费用由成交供应商承担，设备提前到货所需的临时存放场地由成交供应商自行考虑、费用自理；</w:t>
      </w:r>
    </w:p>
    <w:p>
      <w:pPr>
        <w:adjustRightInd w:val="0"/>
        <w:snapToGrid w:val="0"/>
        <w:spacing w:line="320" w:lineRule="exact"/>
        <w:ind w:left="840" w:leftChars="400"/>
        <w:rPr>
          <w:rFonts w:ascii="宋体" w:hAnsi="宋体"/>
          <w:color w:val="FF0000"/>
          <w:szCs w:val="21"/>
        </w:rPr>
      </w:pPr>
      <w:r>
        <w:rPr>
          <w:rFonts w:hint="eastAsia" w:ascii="宋体" w:hAnsi="宋体"/>
          <w:color w:val="000000" w:themeColor="text1"/>
          <w:szCs w:val="21"/>
          <w14:textFill>
            <w14:solidFill>
              <w14:schemeClr w14:val="tx1"/>
            </w14:solidFill>
          </w14:textFill>
        </w:rPr>
        <w:t>其他供应商认为需计入投标报价中的费用。</w:t>
      </w:r>
    </w:p>
    <w:p>
      <w:pPr>
        <w:adjustRightInd w:val="0"/>
        <w:snapToGrid w:val="0"/>
        <w:spacing w:line="320" w:lineRule="exact"/>
        <w:ind w:left="840" w:hanging="840" w:hangingChars="400"/>
        <w:jc w:val="left"/>
        <w:rPr>
          <w:rFonts w:ascii="宋体" w:hAnsi="宋体"/>
          <w:szCs w:val="21"/>
        </w:rPr>
      </w:pPr>
      <w:r>
        <w:rPr>
          <w:rFonts w:hint="eastAsia" w:ascii="宋体" w:hAnsi="宋体"/>
          <w:szCs w:val="21"/>
        </w:rPr>
        <w:t xml:space="preserve">15.3    </w:t>
      </w:r>
      <w:r>
        <w:rPr>
          <w:rFonts w:hint="eastAsia" w:ascii="宋体" w:hAnsi="宋体"/>
          <w:b/>
          <w:szCs w:val="21"/>
          <w:u w:val="single"/>
        </w:rPr>
        <w:t>采购人不接受任何选择性的报价；采购人也不接受等于或小于零的报价；否则为无效响应。</w:t>
      </w:r>
      <w:r>
        <w:rPr>
          <w:rFonts w:hint="eastAsia" w:ascii="宋体" w:hAnsi="宋体"/>
          <w:szCs w:val="21"/>
        </w:rPr>
        <w:t>磋商时，响应文件中磋商一览表价格与响应文件中明细表价格不一致的，以磋商一览表为准。响应文件的大写金额和小写金额不一致的，以大写金额为准；总价金额与按单价汇总金额不一致的，以单价金额计算结果为准；单价金额小数点有明显错位的，应以总价为准，并修改单价；对不同文字文本响应文件的解释发生异议的，以中文文本为准。</w:t>
      </w:r>
    </w:p>
    <w:p>
      <w:pPr>
        <w:snapToGrid w:val="0"/>
        <w:spacing w:line="320" w:lineRule="exact"/>
        <w:ind w:left="840" w:hanging="840" w:hangingChars="400"/>
        <w:rPr>
          <w:rFonts w:ascii="宋体" w:hAnsi="宋体"/>
          <w:szCs w:val="21"/>
        </w:rPr>
      </w:pPr>
      <w:r>
        <w:rPr>
          <w:rFonts w:hint="eastAsia" w:ascii="宋体" w:hAnsi="宋体"/>
          <w:szCs w:val="21"/>
        </w:rPr>
        <w:t>15.4    供应商按上述条款要求填写报价是因为供采购人定标方便的缘故，但不限制采购人以其他方式签订合同的权力。</w:t>
      </w:r>
    </w:p>
    <w:p>
      <w:pPr>
        <w:pStyle w:val="2"/>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15.5    采购人不接受供应商对任何未办理正常进口手续的非中华人民共和国境内生产的货物的投标报价；</w:t>
      </w:r>
    </w:p>
    <w:p>
      <w:pPr>
        <w:adjustRightInd w:val="0"/>
        <w:snapToGrid w:val="0"/>
        <w:spacing w:line="320" w:lineRule="exact"/>
        <w:rPr>
          <w:rFonts w:ascii="宋体" w:hAnsi="宋体"/>
          <w:b/>
          <w:szCs w:val="21"/>
        </w:rPr>
      </w:pPr>
      <w:r>
        <w:rPr>
          <w:rFonts w:hint="eastAsia" w:ascii="宋体" w:hAnsi="宋体"/>
          <w:b/>
          <w:szCs w:val="21"/>
        </w:rPr>
        <w:t>16.磋商货物符合磋商文件规定的证明文件</w:t>
      </w:r>
    </w:p>
    <w:p>
      <w:pPr>
        <w:adjustRightInd w:val="0"/>
        <w:snapToGrid w:val="0"/>
        <w:spacing w:line="320" w:lineRule="exact"/>
        <w:rPr>
          <w:rFonts w:ascii="宋体" w:hAnsi="宋体"/>
          <w:szCs w:val="21"/>
        </w:rPr>
      </w:pPr>
      <w:r>
        <w:rPr>
          <w:rFonts w:ascii="宋体" w:hAnsi="宋体"/>
          <w:szCs w:val="21"/>
        </w:rPr>
        <w:t>1</w:t>
      </w:r>
      <w:r>
        <w:rPr>
          <w:rFonts w:hint="eastAsia" w:ascii="宋体" w:hAnsi="宋体"/>
          <w:szCs w:val="21"/>
        </w:rPr>
        <w:t>6.1    供应商须提供证明其拟供货物和服务符合磋商文件规定的技术响应文件。</w:t>
      </w:r>
    </w:p>
    <w:p>
      <w:pPr>
        <w:adjustRightInd w:val="0"/>
        <w:snapToGrid w:val="0"/>
        <w:spacing w:line="320" w:lineRule="exact"/>
        <w:rPr>
          <w:rFonts w:ascii="宋体" w:hAnsi="宋体"/>
          <w:szCs w:val="21"/>
        </w:rPr>
      </w:pPr>
      <w:r>
        <w:rPr>
          <w:rFonts w:hint="eastAsia" w:ascii="宋体" w:hAnsi="宋体"/>
          <w:szCs w:val="21"/>
        </w:rPr>
        <w:t>16.2    上述文件可以是文字资料、图纸和数据。</w:t>
      </w:r>
    </w:p>
    <w:p>
      <w:pPr>
        <w:adjustRightInd w:val="0"/>
        <w:snapToGrid w:val="0"/>
        <w:spacing w:line="320" w:lineRule="exact"/>
        <w:rPr>
          <w:rFonts w:hint="eastAsia" w:ascii="宋体" w:hAnsi="宋体" w:eastAsia="宋体"/>
          <w:szCs w:val="21"/>
          <w:lang w:eastAsia="zh-CN"/>
        </w:rPr>
      </w:pPr>
      <w:r>
        <w:rPr>
          <w:rFonts w:hint="eastAsia" w:ascii="宋体" w:hAnsi="宋体"/>
          <w:b/>
          <w:szCs w:val="21"/>
        </w:rPr>
        <w:t>17.供应商资格的证明文件（下述证明文件必须提供且均应加盖供应商公章，否则评委有权认定为无效响应）</w:t>
      </w:r>
      <w:r>
        <w:rPr>
          <w:rFonts w:hint="eastAsia" w:ascii="宋体" w:hAnsi="宋体"/>
          <w:szCs w:val="21"/>
        </w:rPr>
        <w:t>17.1    供应商代表的身份证正、反面复印件</w:t>
      </w:r>
      <w:r>
        <w:rPr>
          <w:rFonts w:hint="eastAsia" w:ascii="宋体" w:hAnsi="宋体"/>
          <w:szCs w:val="21"/>
          <w:lang w:eastAsia="zh-CN"/>
        </w:rPr>
        <w:t>；</w:t>
      </w:r>
    </w:p>
    <w:p>
      <w:pPr>
        <w:adjustRightInd w:val="0"/>
        <w:snapToGrid w:val="0"/>
        <w:spacing w:line="320" w:lineRule="exact"/>
        <w:jc w:val="left"/>
        <w:rPr>
          <w:rFonts w:ascii="宋体" w:hAnsi="宋体"/>
          <w:szCs w:val="21"/>
        </w:rPr>
      </w:pPr>
      <w:r>
        <w:rPr>
          <w:rFonts w:hint="eastAsia" w:ascii="宋体" w:hAnsi="宋体"/>
          <w:szCs w:val="21"/>
        </w:rPr>
        <w:t>17.2    公司法定代表人的身份证正、反面复印件；</w:t>
      </w:r>
    </w:p>
    <w:p>
      <w:pPr>
        <w:snapToGrid w:val="0"/>
        <w:spacing w:line="320" w:lineRule="exact"/>
        <w:jc w:val="left"/>
        <w:rPr>
          <w:rFonts w:ascii="宋体" w:hAnsi="宋体"/>
          <w:szCs w:val="21"/>
        </w:rPr>
      </w:pPr>
      <w:r>
        <w:rPr>
          <w:rFonts w:hint="eastAsia" w:ascii="宋体" w:hAnsi="宋体"/>
          <w:szCs w:val="21"/>
        </w:rPr>
        <w:t>17.3    供应商有效的《营业执照》、组织机构代码、税务登记证复印件或三证合一营业执照；</w:t>
      </w:r>
    </w:p>
    <w:p>
      <w:pPr>
        <w:adjustRightInd w:val="0"/>
        <w:snapToGrid w:val="0"/>
        <w:spacing w:line="320" w:lineRule="exact"/>
        <w:jc w:val="left"/>
        <w:rPr>
          <w:rFonts w:ascii="宋体" w:hAnsi="宋体"/>
          <w:szCs w:val="21"/>
        </w:rPr>
      </w:pPr>
      <w:r>
        <w:rPr>
          <w:rFonts w:hint="eastAsia" w:ascii="宋体" w:hAnsi="宋体"/>
          <w:szCs w:val="21"/>
        </w:rPr>
        <w:t>17.4    法人授权委托书</w:t>
      </w:r>
      <w:r>
        <w:rPr>
          <w:rFonts w:hint="eastAsia" w:ascii="宋体" w:hAnsi="宋体"/>
          <w:bCs/>
          <w:szCs w:val="21"/>
        </w:rPr>
        <w:t>(非法定代表人为供应商代表参加磋商时需提供)</w:t>
      </w:r>
      <w:r>
        <w:rPr>
          <w:rFonts w:hint="eastAsia" w:ascii="宋体" w:hAnsi="宋体"/>
          <w:szCs w:val="21"/>
        </w:rPr>
        <w:t>；</w:t>
      </w:r>
    </w:p>
    <w:p>
      <w:pPr>
        <w:adjustRightInd w:val="0"/>
        <w:snapToGrid w:val="0"/>
        <w:spacing w:line="320" w:lineRule="exact"/>
        <w:jc w:val="left"/>
        <w:rPr>
          <w:rFonts w:ascii="宋体" w:hAnsi="宋体"/>
          <w:bCs/>
          <w:szCs w:val="21"/>
        </w:rPr>
      </w:pPr>
      <w:r>
        <w:rPr>
          <w:rFonts w:hint="eastAsia" w:ascii="宋体" w:hAnsi="宋体"/>
          <w:bCs/>
          <w:szCs w:val="21"/>
        </w:rPr>
        <w:t>17.5    参加此次磋商活动前三年内，在经营活动中没有重大违法记录；</w:t>
      </w:r>
    </w:p>
    <w:p>
      <w:pPr>
        <w:adjustRightInd w:val="0"/>
        <w:snapToGrid w:val="0"/>
        <w:spacing w:line="320" w:lineRule="exact"/>
        <w:jc w:val="left"/>
        <w:rPr>
          <w:rFonts w:ascii="宋体" w:hAnsi="宋体"/>
          <w:szCs w:val="21"/>
        </w:rPr>
      </w:pPr>
      <w:r>
        <w:rPr>
          <w:rFonts w:hint="eastAsia" w:ascii="宋体" w:hAnsi="宋体"/>
          <w:szCs w:val="21"/>
        </w:rPr>
        <w:t xml:space="preserve">17.6    </w:t>
      </w:r>
      <w:r>
        <w:rPr>
          <w:rFonts w:hint="eastAsia" w:ascii="宋体" w:hAnsi="宋体"/>
          <w:bCs/>
          <w:szCs w:val="21"/>
        </w:rPr>
        <w:t>供应商的资格声明（格式附后）；</w:t>
      </w:r>
    </w:p>
    <w:p>
      <w:pPr>
        <w:adjustRightInd w:val="0"/>
        <w:snapToGrid w:val="0"/>
        <w:spacing w:line="320" w:lineRule="exact"/>
        <w:jc w:val="left"/>
        <w:rPr>
          <w:rFonts w:ascii="宋体" w:hAnsi="宋体"/>
          <w:b/>
          <w:bCs/>
          <w:szCs w:val="21"/>
        </w:rPr>
      </w:pPr>
      <w:r>
        <w:rPr>
          <w:rFonts w:hint="eastAsia" w:ascii="宋体" w:hAnsi="宋体"/>
          <w:b/>
          <w:bCs/>
          <w:szCs w:val="21"/>
        </w:rPr>
        <w:t>18.磋商保证金</w:t>
      </w:r>
    </w:p>
    <w:p>
      <w:pPr>
        <w:spacing w:line="320" w:lineRule="exact"/>
        <w:ind w:left="840" w:hanging="840" w:hangingChars="400"/>
        <w:rPr>
          <w:rFonts w:ascii="宋体" w:hAnsi="宋体"/>
          <w:szCs w:val="21"/>
        </w:rPr>
      </w:pPr>
      <w:r>
        <w:rPr>
          <w:rFonts w:hint="eastAsia" w:ascii="宋体" w:hAnsi="宋体"/>
          <w:bCs/>
          <w:szCs w:val="21"/>
        </w:rPr>
        <w:t xml:space="preserve">18.1    </w:t>
      </w:r>
      <w:r>
        <w:rPr>
          <w:rFonts w:hint="eastAsia" w:ascii="宋体" w:hAnsi="宋体"/>
          <w:b/>
          <w:bCs/>
          <w:szCs w:val="21"/>
        </w:rPr>
        <w:t>磋商保证金：</w:t>
      </w:r>
      <w:r>
        <w:rPr>
          <w:rFonts w:hint="eastAsia" w:ascii="宋体" w:hAnsi="宋体"/>
          <w:b/>
          <w:bCs/>
          <w:color w:val="181717" w:themeColor="background2" w:themeShade="1A"/>
          <w:szCs w:val="21"/>
          <w:u w:val="single"/>
          <w:lang w:val="en-US" w:eastAsia="zh-CN"/>
        </w:rPr>
        <w:t>17000</w:t>
      </w:r>
      <w:r>
        <w:rPr>
          <w:rFonts w:hint="eastAsia" w:ascii="宋体" w:hAnsi="宋体"/>
          <w:b/>
          <w:bCs/>
          <w:color w:val="181717" w:themeColor="background2" w:themeShade="1A"/>
          <w:szCs w:val="21"/>
          <w:u w:val="single"/>
        </w:rPr>
        <w:t>元整</w:t>
      </w:r>
      <w:r>
        <w:rPr>
          <w:rFonts w:hint="eastAsia" w:ascii="宋体" w:hAnsi="宋体"/>
          <w:szCs w:val="21"/>
        </w:rPr>
        <w:t>，</w:t>
      </w:r>
      <w:r>
        <w:rPr>
          <w:rFonts w:hint="eastAsia" w:ascii="宋体" w:hAnsi="宋体" w:cs="宋体"/>
          <w:kern w:val="0"/>
          <w:szCs w:val="21"/>
        </w:rPr>
        <w:t>供应商须在2020年</w:t>
      </w:r>
      <w:r>
        <w:rPr>
          <w:rFonts w:hint="eastAsia" w:ascii="宋体" w:hAnsi="宋体" w:cs="宋体"/>
          <w:kern w:val="0"/>
          <w:szCs w:val="21"/>
          <w:lang w:val="en-US" w:eastAsia="zh-CN"/>
        </w:rPr>
        <w:t>11</w:t>
      </w:r>
      <w:r>
        <w:rPr>
          <w:rFonts w:hint="eastAsia" w:ascii="宋体" w:hAnsi="宋体" w:cs="宋体"/>
          <w:kern w:val="0"/>
          <w:szCs w:val="21"/>
        </w:rPr>
        <w:t>月</w:t>
      </w:r>
      <w:r>
        <w:rPr>
          <w:rFonts w:hint="eastAsia" w:ascii="宋体" w:hAnsi="宋体" w:cs="宋体"/>
          <w:kern w:val="0"/>
          <w:szCs w:val="21"/>
          <w:lang w:val="en-US" w:eastAsia="zh-CN"/>
        </w:rPr>
        <w:t>10</w:t>
      </w:r>
      <w:r>
        <w:rPr>
          <w:rFonts w:hint="eastAsia" w:ascii="宋体" w:hAnsi="宋体" w:cs="宋体"/>
          <w:kern w:val="0"/>
          <w:szCs w:val="21"/>
        </w:rPr>
        <w:t>日</w:t>
      </w:r>
      <w:r>
        <w:rPr>
          <w:rFonts w:hint="eastAsia" w:ascii="宋体" w:hAnsi="宋体" w:cs="宋体"/>
          <w:kern w:val="0"/>
          <w:szCs w:val="21"/>
          <w:lang w:eastAsia="zh-CN"/>
        </w:rPr>
        <w:t>下午</w:t>
      </w:r>
      <w:r>
        <w:rPr>
          <w:rFonts w:hint="eastAsia" w:ascii="宋体" w:hAnsi="宋体" w:cs="宋体"/>
          <w:kern w:val="0"/>
          <w:szCs w:val="21"/>
          <w:lang w:val="en-US" w:eastAsia="zh-CN"/>
        </w:rPr>
        <w:t>14:30</w:t>
      </w:r>
      <w:r>
        <w:rPr>
          <w:rFonts w:hint="eastAsia" w:ascii="宋体" w:hAnsi="宋体" w:cs="宋体"/>
          <w:kern w:val="0"/>
          <w:szCs w:val="21"/>
        </w:rPr>
        <w:t>前从企业基本账户</w:t>
      </w:r>
      <w:r>
        <w:rPr>
          <w:rFonts w:hint="eastAsia" w:ascii="宋体" w:hAnsi="宋体"/>
          <w:szCs w:val="21"/>
        </w:rPr>
        <w:t>以</w:t>
      </w:r>
      <w:r>
        <w:rPr>
          <w:rFonts w:ascii="宋体" w:hAnsi="宋体"/>
          <w:szCs w:val="21"/>
        </w:rPr>
        <w:t>银行转</w:t>
      </w:r>
      <w:r>
        <w:rPr>
          <w:rFonts w:hint="eastAsia" w:ascii="宋体" w:hAnsi="宋体"/>
          <w:szCs w:val="21"/>
        </w:rPr>
        <w:t>账</w:t>
      </w:r>
      <w:r>
        <w:rPr>
          <w:rFonts w:ascii="宋体" w:hAnsi="宋体"/>
          <w:szCs w:val="21"/>
        </w:rPr>
        <w:t>方式</w:t>
      </w:r>
      <w:r>
        <w:rPr>
          <w:rFonts w:hint="eastAsia" w:ascii="宋体" w:hAnsi="宋体" w:cs="宋体"/>
          <w:kern w:val="0"/>
          <w:szCs w:val="21"/>
        </w:rPr>
        <w:t>向招标代理机构足额缴纳，</w:t>
      </w:r>
      <w:r>
        <w:rPr>
          <w:rFonts w:hint="eastAsia" w:ascii="宋体" w:hAnsi="宋体"/>
          <w:szCs w:val="21"/>
        </w:rPr>
        <w:t>以实际到</w:t>
      </w:r>
      <w:r>
        <w:rPr>
          <w:rFonts w:hint="eastAsia" w:ascii="宋体" w:hAnsi="宋体" w:cs="宋体"/>
          <w:kern w:val="0"/>
          <w:szCs w:val="21"/>
        </w:rPr>
        <w:t>账</w:t>
      </w:r>
      <w:r>
        <w:rPr>
          <w:rFonts w:hint="eastAsia" w:ascii="宋体" w:hAnsi="宋体"/>
          <w:szCs w:val="21"/>
        </w:rPr>
        <w:t>为准 （</w:t>
      </w:r>
      <w:r>
        <w:rPr>
          <w:rFonts w:ascii="宋体" w:hAnsi="宋体"/>
          <w:szCs w:val="21"/>
        </w:rPr>
        <w:t>汇款时应注明项目名称、</w:t>
      </w:r>
      <w:r>
        <w:rPr>
          <w:rFonts w:hint="eastAsia" w:ascii="宋体" w:hAnsi="宋体"/>
          <w:szCs w:val="21"/>
        </w:rPr>
        <w:t>磋商</w:t>
      </w:r>
      <w:r>
        <w:rPr>
          <w:rFonts w:ascii="宋体" w:hAnsi="宋体"/>
          <w:szCs w:val="21"/>
        </w:rPr>
        <w:t>供应商名称</w:t>
      </w:r>
      <w:r>
        <w:rPr>
          <w:rFonts w:hint="eastAsia" w:ascii="宋体" w:hAnsi="宋体"/>
          <w:szCs w:val="21"/>
        </w:rPr>
        <w:t>，且应</w:t>
      </w:r>
      <w:r>
        <w:rPr>
          <w:rFonts w:ascii="宋体" w:hAnsi="宋体"/>
          <w:szCs w:val="21"/>
        </w:rPr>
        <w:t>与</w:t>
      </w:r>
      <w:r>
        <w:rPr>
          <w:rFonts w:hint="eastAsia" w:ascii="宋体" w:hAnsi="宋体"/>
          <w:szCs w:val="21"/>
        </w:rPr>
        <w:t>响应文件</w:t>
      </w:r>
      <w:r>
        <w:rPr>
          <w:rFonts w:ascii="宋体" w:hAnsi="宋体"/>
          <w:szCs w:val="21"/>
        </w:rPr>
        <w:t>一致</w:t>
      </w:r>
      <w:r>
        <w:rPr>
          <w:rFonts w:hint="eastAsia" w:ascii="宋体" w:hAnsi="宋体"/>
          <w:szCs w:val="21"/>
        </w:rPr>
        <w:t>）。</w:t>
      </w:r>
    </w:p>
    <w:p>
      <w:pPr>
        <w:adjustRightInd w:val="0"/>
        <w:snapToGrid w:val="0"/>
        <w:spacing w:line="320" w:lineRule="exact"/>
        <w:rPr>
          <w:rFonts w:ascii="宋体" w:hAnsi="宋体"/>
          <w:bCs/>
          <w:szCs w:val="21"/>
        </w:rPr>
      </w:pPr>
      <w:r>
        <w:rPr>
          <w:rFonts w:hint="eastAsia" w:ascii="宋体" w:hAnsi="宋体"/>
          <w:bCs/>
          <w:szCs w:val="21"/>
        </w:rPr>
        <w:t>18.2    磋商保证金是为了保护采购人免遭因供应商的行为蒙受损失而要求的。</w:t>
      </w:r>
    </w:p>
    <w:p>
      <w:pPr>
        <w:adjustRightInd w:val="0"/>
        <w:snapToGrid w:val="0"/>
        <w:spacing w:line="320" w:lineRule="exact"/>
        <w:ind w:firstLine="840" w:firstLineChars="400"/>
        <w:rPr>
          <w:rFonts w:ascii="宋体" w:hAnsi="宋体"/>
          <w:bCs/>
          <w:szCs w:val="21"/>
        </w:rPr>
      </w:pPr>
      <w:r>
        <w:rPr>
          <w:rFonts w:hint="eastAsia" w:ascii="宋体" w:hAnsi="宋体"/>
          <w:bCs/>
          <w:szCs w:val="21"/>
        </w:rPr>
        <w:t>下列任何情况发生，磋商保证金将不予退回：</w:t>
      </w:r>
    </w:p>
    <w:p>
      <w:pPr>
        <w:adjustRightInd w:val="0"/>
        <w:snapToGrid w:val="0"/>
        <w:spacing w:line="320" w:lineRule="exact"/>
        <w:ind w:firstLine="840" w:firstLineChars="400"/>
        <w:rPr>
          <w:rFonts w:ascii="宋体" w:hAnsi="宋体"/>
          <w:bCs/>
          <w:szCs w:val="21"/>
        </w:rPr>
      </w:pPr>
      <w:r>
        <w:rPr>
          <w:rFonts w:hint="eastAsia" w:ascii="宋体" w:hAnsi="宋体"/>
          <w:bCs/>
          <w:szCs w:val="21"/>
        </w:rPr>
        <w:t>（1）在磋商有效期满前，供应商擅自撤回响应文件的；</w:t>
      </w:r>
    </w:p>
    <w:p>
      <w:pPr>
        <w:adjustRightInd w:val="0"/>
        <w:snapToGrid w:val="0"/>
        <w:spacing w:line="320" w:lineRule="exact"/>
        <w:ind w:firstLine="840" w:firstLineChars="400"/>
        <w:rPr>
          <w:rFonts w:ascii="宋体" w:hAnsi="宋体"/>
          <w:bCs/>
          <w:szCs w:val="21"/>
        </w:rPr>
      </w:pPr>
      <w:r>
        <w:rPr>
          <w:rFonts w:hint="eastAsia" w:ascii="宋体" w:hAnsi="宋体"/>
          <w:bCs/>
          <w:szCs w:val="21"/>
        </w:rPr>
        <w:t>（2）成交供应商不按本须知第35条的规定与买方签订合同的；</w:t>
      </w:r>
    </w:p>
    <w:p>
      <w:pPr>
        <w:adjustRightInd w:val="0"/>
        <w:snapToGrid w:val="0"/>
        <w:spacing w:line="320" w:lineRule="exact"/>
        <w:ind w:firstLine="840" w:firstLineChars="400"/>
        <w:rPr>
          <w:rFonts w:ascii="宋体" w:hAnsi="宋体"/>
          <w:bCs/>
          <w:szCs w:val="21"/>
        </w:rPr>
      </w:pPr>
      <w:r>
        <w:rPr>
          <w:rFonts w:hint="eastAsia" w:ascii="宋体" w:hAnsi="宋体"/>
          <w:bCs/>
          <w:szCs w:val="21"/>
        </w:rPr>
        <w:t>（3）成交供应商不按本须知第36条的规定支付中标服务费的；</w:t>
      </w:r>
    </w:p>
    <w:p>
      <w:pPr>
        <w:adjustRightInd w:val="0"/>
        <w:snapToGrid w:val="0"/>
        <w:spacing w:line="320" w:lineRule="exact"/>
        <w:ind w:left="840" w:hanging="840" w:hangingChars="400"/>
        <w:rPr>
          <w:rFonts w:ascii="宋体" w:hAnsi="宋体"/>
          <w:bCs/>
          <w:szCs w:val="21"/>
        </w:rPr>
      </w:pPr>
      <w:r>
        <w:rPr>
          <w:rFonts w:hint="eastAsia" w:ascii="宋体" w:hAnsi="宋体"/>
          <w:bCs/>
          <w:szCs w:val="21"/>
        </w:rPr>
        <w:t>18.3    磋商保证金：供应商在规定的磋商时间递交的磋商保证金银行凭证应及时以传真、电子邮件、信函等方式告知招标代理机构，以便确认银行是否入账。未在规定的时间递交磋商保证金，招标代理机构有权拒绝。</w:t>
      </w:r>
    </w:p>
    <w:p>
      <w:pPr>
        <w:adjustRightInd w:val="0"/>
        <w:snapToGrid w:val="0"/>
        <w:spacing w:line="320" w:lineRule="exact"/>
        <w:ind w:left="840" w:hanging="840" w:hangingChars="400"/>
        <w:rPr>
          <w:rFonts w:ascii="宋体" w:hAnsi="宋体"/>
          <w:bCs/>
          <w:szCs w:val="21"/>
        </w:rPr>
      </w:pPr>
      <w:r>
        <w:rPr>
          <w:rFonts w:hint="eastAsia" w:ascii="宋体" w:hAnsi="宋体"/>
          <w:bCs/>
          <w:szCs w:val="21"/>
        </w:rPr>
        <w:t>18.4    凡没有根据本须知18.1和第18.3条的规定，随附磋商保证金，将被视为非响应性磋商而予以拒绝。</w:t>
      </w:r>
    </w:p>
    <w:p>
      <w:pPr>
        <w:adjustRightInd w:val="0"/>
        <w:snapToGrid w:val="0"/>
        <w:spacing w:line="320" w:lineRule="exact"/>
        <w:ind w:left="840" w:hanging="840" w:hangingChars="400"/>
        <w:rPr>
          <w:rFonts w:ascii="宋体" w:hAnsi="宋体"/>
          <w:bCs/>
          <w:szCs w:val="21"/>
        </w:rPr>
      </w:pPr>
      <w:r>
        <w:rPr>
          <w:rFonts w:hint="eastAsia" w:ascii="宋体" w:hAnsi="宋体"/>
          <w:bCs/>
          <w:szCs w:val="21"/>
        </w:rPr>
        <w:t>18.5    成交供应商的磋商保证金，</w:t>
      </w:r>
      <w:r>
        <w:rPr>
          <w:rFonts w:hint="eastAsia" w:ascii="宋体" w:hAnsi="宋体"/>
          <w:szCs w:val="21"/>
        </w:rPr>
        <w:t>成交供应商的磋商保证金在采购合同签订后</w:t>
      </w:r>
      <w:r>
        <w:rPr>
          <w:rFonts w:hint="eastAsia" w:ascii="宋体" w:hAnsi="宋体"/>
          <w:bCs/>
          <w:szCs w:val="21"/>
        </w:rPr>
        <w:t>在五个工作日内无息退回。未中标的供应商的磋商保证金将于中标通知书发出之日后5个工作日内退还供应商。</w:t>
      </w:r>
    </w:p>
    <w:p>
      <w:pPr>
        <w:adjustRightInd w:val="0"/>
        <w:snapToGrid w:val="0"/>
        <w:spacing w:line="320" w:lineRule="exact"/>
        <w:rPr>
          <w:rFonts w:ascii="宋体" w:hAnsi="宋体"/>
          <w:b/>
          <w:bCs/>
          <w:szCs w:val="21"/>
        </w:rPr>
      </w:pPr>
      <w:r>
        <w:rPr>
          <w:rFonts w:hint="eastAsia" w:ascii="宋体" w:hAnsi="宋体"/>
          <w:b/>
          <w:bCs/>
          <w:szCs w:val="21"/>
        </w:rPr>
        <w:t>19.磋商有效期</w:t>
      </w:r>
    </w:p>
    <w:p>
      <w:pPr>
        <w:adjustRightInd w:val="0"/>
        <w:snapToGrid w:val="0"/>
        <w:spacing w:line="320" w:lineRule="exact"/>
        <w:ind w:left="840" w:hanging="840" w:hangingChars="400"/>
        <w:rPr>
          <w:rFonts w:ascii="宋体" w:hAnsi="宋体"/>
          <w:bCs/>
          <w:szCs w:val="21"/>
        </w:rPr>
      </w:pPr>
      <w:r>
        <w:rPr>
          <w:rFonts w:hint="eastAsia" w:ascii="宋体" w:hAnsi="宋体"/>
          <w:bCs/>
          <w:szCs w:val="21"/>
        </w:rPr>
        <w:t>19.1    磋商应在规定的磋商日后的90 天内保持有效，磋商有效期不满足要求的磋商将被视为非响应性磋商而予以拒绝。</w:t>
      </w:r>
    </w:p>
    <w:p>
      <w:pPr>
        <w:adjustRightInd w:val="0"/>
        <w:snapToGrid w:val="0"/>
        <w:spacing w:line="320" w:lineRule="exact"/>
        <w:ind w:left="840" w:hanging="840" w:hangingChars="400"/>
        <w:rPr>
          <w:rFonts w:ascii="宋体" w:hAnsi="宋体"/>
          <w:bCs/>
          <w:szCs w:val="21"/>
        </w:rPr>
      </w:pPr>
      <w:r>
        <w:rPr>
          <w:rFonts w:hint="eastAsia" w:ascii="宋体" w:hAnsi="宋体"/>
          <w:bCs/>
          <w:szCs w:val="21"/>
        </w:rPr>
        <w:t>19.2    采购人可根据实际情况，在原磋商有效期截止之前，要求供应商同意延长响应文件的有效期。接受该要求的供应商将不会被要求和允许修正其响应文件，且本须知中有关磋商保证金的要求将在延长了的有效期内继续有效。供应商也可以拒绝采购人的这种要求，其磋商保证金将不会被不予退回。上述要求和答复都应以书面形式提交。</w:t>
      </w:r>
    </w:p>
    <w:p>
      <w:pPr>
        <w:adjustRightInd w:val="0"/>
        <w:snapToGrid w:val="0"/>
        <w:spacing w:line="320" w:lineRule="exact"/>
        <w:rPr>
          <w:rFonts w:ascii="宋体" w:hAnsi="宋体"/>
          <w:b/>
          <w:szCs w:val="21"/>
        </w:rPr>
      </w:pPr>
      <w:r>
        <w:rPr>
          <w:rFonts w:hint="eastAsia" w:ascii="宋体" w:hAnsi="宋体"/>
          <w:b/>
          <w:szCs w:val="21"/>
        </w:rPr>
        <w:t>20.响应文件的制作、签署及规定</w:t>
      </w:r>
    </w:p>
    <w:p>
      <w:pPr>
        <w:snapToGrid w:val="0"/>
        <w:spacing w:line="320" w:lineRule="exact"/>
        <w:jc w:val="left"/>
        <w:rPr>
          <w:rFonts w:ascii="宋体" w:hAnsi="宋体"/>
          <w:b/>
          <w:szCs w:val="21"/>
        </w:rPr>
      </w:pPr>
      <w:r>
        <w:rPr>
          <w:rFonts w:hint="eastAsia" w:ascii="宋体" w:hAnsi="宋体"/>
          <w:szCs w:val="21"/>
        </w:rPr>
        <w:t>★</w:t>
      </w:r>
      <w:r>
        <w:rPr>
          <w:rFonts w:hint="eastAsia" w:ascii="宋体" w:hAnsi="宋体"/>
          <w:b/>
          <w:szCs w:val="21"/>
        </w:rPr>
        <w:t>响应文件的签署和份数</w:t>
      </w:r>
    </w:p>
    <w:p>
      <w:pPr>
        <w:pStyle w:val="8"/>
        <w:snapToGrid w:val="0"/>
        <w:spacing w:line="320" w:lineRule="exact"/>
        <w:ind w:left="840" w:hanging="840" w:hangingChars="400"/>
        <w:rPr>
          <w:rFonts w:hAnsi="宋体"/>
          <w:color w:val="auto"/>
          <w:sz w:val="21"/>
          <w:szCs w:val="21"/>
          <w:lang w:val="zh-CN"/>
        </w:rPr>
      </w:pPr>
      <w:r>
        <w:rPr>
          <w:rFonts w:hint="eastAsia" w:hAnsi="宋体"/>
          <w:color w:val="auto"/>
          <w:sz w:val="21"/>
          <w:szCs w:val="21"/>
        </w:rPr>
        <w:t>20</w:t>
      </w:r>
      <w:r>
        <w:rPr>
          <w:rFonts w:hint="eastAsia" w:hAnsi="宋体"/>
          <w:color w:val="auto"/>
          <w:sz w:val="21"/>
          <w:szCs w:val="21"/>
          <w:lang w:val="zh-CN"/>
        </w:rPr>
        <w:t>.</w:t>
      </w:r>
      <w:r>
        <w:rPr>
          <w:rFonts w:hAnsi="宋体"/>
          <w:color w:val="auto"/>
          <w:sz w:val="21"/>
          <w:szCs w:val="21"/>
          <w:lang w:val="zh-CN"/>
        </w:rPr>
        <w:t>1</w:t>
      </w:r>
      <w:r>
        <w:rPr>
          <w:rFonts w:hint="eastAsia" w:hAnsi="宋体"/>
          <w:color w:val="auto"/>
          <w:sz w:val="21"/>
          <w:szCs w:val="21"/>
          <w:lang w:val="zh-CN"/>
        </w:rPr>
        <w:t xml:space="preserve"> </w:t>
      </w:r>
      <w:r>
        <w:rPr>
          <w:rFonts w:hint="eastAsia" w:hAnsi="宋体"/>
          <w:color w:val="auto"/>
          <w:sz w:val="21"/>
          <w:szCs w:val="21"/>
        </w:rPr>
        <w:t xml:space="preserve">   </w:t>
      </w:r>
      <w:r>
        <w:rPr>
          <w:rFonts w:hint="eastAsia" w:hAnsi="宋体"/>
          <w:color w:val="auto"/>
          <w:sz w:val="21"/>
          <w:szCs w:val="21"/>
          <w:lang w:val="zh-CN"/>
        </w:rPr>
        <w:t>供应商应按本磋商文件规定的格式编制、装订响应文件，响应文件内容不完整、编排混乱导致响应文件被误读、漏读或者查找不到相关内容的，是供应商的责任。</w:t>
      </w:r>
    </w:p>
    <w:p>
      <w:pPr>
        <w:snapToGrid w:val="0"/>
        <w:spacing w:line="320" w:lineRule="exact"/>
        <w:ind w:left="840" w:hanging="840" w:hangingChars="400"/>
        <w:jc w:val="left"/>
        <w:rPr>
          <w:rFonts w:ascii="宋体" w:hAnsi="宋体"/>
          <w:szCs w:val="21"/>
          <w:lang w:val="zh-CN"/>
        </w:rPr>
      </w:pPr>
      <w:r>
        <w:rPr>
          <w:rFonts w:hint="eastAsia" w:ascii="宋体" w:hAnsi="宋体"/>
          <w:szCs w:val="21"/>
        </w:rPr>
        <w:t>20</w:t>
      </w:r>
      <w:r>
        <w:rPr>
          <w:rFonts w:hint="eastAsia" w:ascii="宋体" w:hAnsi="宋体"/>
          <w:szCs w:val="21"/>
          <w:lang w:val="zh-CN"/>
        </w:rPr>
        <w:t>.2</w:t>
      </w:r>
      <w:r>
        <w:rPr>
          <w:rFonts w:hint="eastAsia" w:ascii="宋体" w:hAnsi="宋体"/>
          <w:szCs w:val="21"/>
        </w:rPr>
        <w:t xml:space="preserve">    </w:t>
      </w:r>
      <w:r>
        <w:rPr>
          <w:rFonts w:hint="eastAsia" w:ascii="宋体" w:hAnsi="宋体"/>
          <w:szCs w:val="21"/>
          <w:lang w:val="zh-CN"/>
        </w:rPr>
        <w:t>供应商应按正本</w:t>
      </w:r>
      <w:r>
        <w:rPr>
          <w:rFonts w:hint="eastAsia" w:ascii="宋体" w:hAnsi="宋体"/>
          <w:szCs w:val="21"/>
          <w:u w:val="single"/>
          <w:lang w:val="zh-CN"/>
        </w:rPr>
        <w:t>1</w:t>
      </w:r>
      <w:r>
        <w:rPr>
          <w:rFonts w:hint="eastAsia" w:ascii="宋体" w:hAnsi="宋体"/>
          <w:szCs w:val="21"/>
          <w:lang w:val="zh-CN"/>
        </w:rPr>
        <w:t>份，副本</w:t>
      </w:r>
      <w:r>
        <w:rPr>
          <w:rFonts w:hint="eastAsia" w:ascii="宋体" w:hAnsi="宋体"/>
          <w:szCs w:val="21"/>
          <w:u w:val="single"/>
          <w:lang w:val="zh-CN"/>
        </w:rPr>
        <w:t>2</w:t>
      </w:r>
      <w:r>
        <w:rPr>
          <w:rFonts w:hint="eastAsia" w:ascii="宋体" w:hAnsi="宋体"/>
          <w:szCs w:val="21"/>
          <w:lang w:val="zh-CN"/>
        </w:rPr>
        <w:t>份分别编制并单独装订成册，响应文件的封面应注明</w:t>
      </w:r>
      <w:r>
        <w:rPr>
          <w:rFonts w:ascii="宋体" w:hAnsi="宋体"/>
          <w:szCs w:val="21"/>
          <w:lang w:val="zh-CN"/>
        </w:rPr>
        <w:t>“</w:t>
      </w:r>
      <w:r>
        <w:rPr>
          <w:rFonts w:hint="eastAsia" w:ascii="宋体" w:hAnsi="宋体"/>
          <w:szCs w:val="21"/>
          <w:lang w:val="zh-CN"/>
        </w:rPr>
        <w:t>正本</w:t>
      </w:r>
      <w:r>
        <w:rPr>
          <w:rFonts w:ascii="宋体" w:hAnsi="宋体"/>
          <w:szCs w:val="21"/>
          <w:lang w:val="zh-CN"/>
        </w:rPr>
        <w:t>”</w:t>
      </w:r>
      <w:r>
        <w:rPr>
          <w:rFonts w:hint="eastAsia" w:ascii="宋体" w:hAnsi="宋体"/>
          <w:szCs w:val="21"/>
          <w:lang w:val="zh-CN"/>
        </w:rPr>
        <w:t>、</w:t>
      </w:r>
      <w:r>
        <w:rPr>
          <w:rFonts w:ascii="宋体" w:hAnsi="宋体"/>
          <w:szCs w:val="21"/>
          <w:lang w:val="zh-CN"/>
        </w:rPr>
        <w:t>“</w:t>
      </w:r>
      <w:r>
        <w:rPr>
          <w:rFonts w:hint="eastAsia" w:ascii="宋体" w:hAnsi="宋体"/>
          <w:szCs w:val="21"/>
          <w:lang w:val="zh-CN"/>
        </w:rPr>
        <w:t>副本</w:t>
      </w:r>
      <w:r>
        <w:rPr>
          <w:rFonts w:ascii="宋体" w:hAnsi="宋体"/>
          <w:szCs w:val="21"/>
          <w:lang w:val="zh-CN"/>
        </w:rPr>
        <w:t>”</w:t>
      </w:r>
      <w:r>
        <w:rPr>
          <w:rFonts w:hint="eastAsia" w:ascii="宋体" w:hAnsi="宋体"/>
          <w:szCs w:val="21"/>
          <w:lang w:val="zh-CN"/>
        </w:rPr>
        <w:t>字样，副本可以是正本的复印件。推荐使用胶装文本，活页的响应文件将被拒绝（活页装订是指用卡条、抽杆夹、订书机等形式装订，使标书可以拆卸或者在翻动过程中易脱落的一种装订方式）。</w:t>
      </w:r>
    </w:p>
    <w:p>
      <w:pPr>
        <w:pStyle w:val="8"/>
        <w:snapToGrid w:val="0"/>
        <w:spacing w:line="320" w:lineRule="exact"/>
        <w:ind w:firstLine="0"/>
        <w:rPr>
          <w:rFonts w:hAnsi="宋体"/>
          <w:color w:val="auto"/>
          <w:sz w:val="21"/>
          <w:szCs w:val="21"/>
          <w:lang w:val="zh-CN"/>
        </w:rPr>
      </w:pPr>
      <w:r>
        <w:rPr>
          <w:rFonts w:hint="eastAsia" w:hAnsi="宋体"/>
          <w:color w:val="auto"/>
          <w:sz w:val="21"/>
          <w:szCs w:val="21"/>
        </w:rPr>
        <w:t>20</w:t>
      </w:r>
      <w:r>
        <w:rPr>
          <w:rFonts w:hint="eastAsia" w:hAnsi="宋体"/>
          <w:color w:val="auto"/>
          <w:sz w:val="21"/>
          <w:szCs w:val="21"/>
          <w:lang w:val="zh-CN"/>
        </w:rPr>
        <w:t>.3</w:t>
      </w:r>
      <w:r>
        <w:rPr>
          <w:rFonts w:hint="eastAsia" w:hAnsi="宋体"/>
          <w:color w:val="auto"/>
          <w:sz w:val="21"/>
          <w:szCs w:val="21"/>
        </w:rPr>
        <w:t xml:space="preserve">    </w:t>
      </w:r>
      <w:r>
        <w:rPr>
          <w:rFonts w:hint="eastAsia" w:hAnsi="宋体"/>
          <w:color w:val="auto"/>
          <w:sz w:val="21"/>
          <w:szCs w:val="21"/>
          <w:lang w:val="zh-CN"/>
        </w:rPr>
        <w:t>响应文件的正本需打印或用不褪色的墨水填写。正本与副本内容不一致的，以正本为准。</w:t>
      </w:r>
    </w:p>
    <w:p>
      <w:pPr>
        <w:pStyle w:val="8"/>
        <w:snapToGrid w:val="0"/>
        <w:spacing w:line="320" w:lineRule="exact"/>
        <w:ind w:firstLine="0"/>
        <w:rPr>
          <w:rFonts w:hAnsi="宋体"/>
          <w:color w:val="auto"/>
          <w:sz w:val="21"/>
          <w:szCs w:val="21"/>
          <w:lang w:val="zh-CN"/>
        </w:rPr>
      </w:pPr>
      <w:r>
        <w:rPr>
          <w:rFonts w:hint="eastAsia" w:hAnsi="宋体"/>
          <w:color w:val="auto"/>
          <w:sz w:val="21"/>
          <w:szCs w:val="21"/>
        </w:rPr>
        <w:t>20</w:t>
      </w:r>
      <w:r>
        <w:rPr>
          <w:rFonts w:hint="eastAsia" w:hAnsi="宋体"/>
          <w:color w:val="auto"/>
          <w:sz w:val="21"/>
          <w:szCs w:val="21"/>
          <w:lang w:val="zh-CN"/>
        </w:rPr>
        <w:t>.4</w:t>
      </w:r>
      <w:r>
        <w:rPr>
          <w:rFonts w:hint="eastAsia" w:hAnsi="宋体"/>
          <w:color w:val="auto"/>
          <w:sz w:val="21"/>
          <w:szCs w:val="21"/>
        </w:rPr>
        <w:t xml:space="preserve">    </w:t>
      </w:r>
      <w:r>
        <w:rPr>
          <w:rFonts w:hint="eastAsia" w:hAnsi="宋体"/>
          <w:color w:val="auto"/>
          <w:sz w:val="21"/>
          <w:szCs w:val="21"/>
          <w:lang w:val="zh-CN"/>
        </w:rPr>
        <w:t>响应文件须由供应商在规定位置盖公章并由法定代表人或法定代表授权人签署，供应商应写全称。</w:t>
      </w:r>
    </w:p>
    <w:p>
      <w:pPr>
        <w:pStyle w:val="8"/>
        <w:snapToGrid w:val="0"/>
        <w:spacing w:line="320" w:lineRule="exact"/>
        <w:ind w:left="840" w:hanging="840" w:hangingChars="400"/>
        <w:rPr>
          <w:rFonts w:hAnsi="宋体"/>
          <w:color w:val="auto"/>
          <w:sz w:val="21"/>
          <w:szCs w:val="21"/>
          <w:lang w:val="zh-CN"/>
        </w:rPr>
      </w:pPr>
      <w:r>
        <w:rPr>
          <w:rFonts w:hint="eastAsia" w:hAnsi="宋体"/>
          <w:color w:val="auto"/>
          <w:sz w:val="21"/>
          <w:szCs w:val="21"/>
        </w:rPr>
        <w:t>20</w:t>
      </w:r>
      <w:r>
        <w:rPr>
          <w:rFonts w:hint="eastAsia" w:hAnsi="宋体"/>
          <w:color w:val="auto"/>
          <w:sz w:val="21"/>
          <w:szCs w:val="21"/>
          <w:lang w:val="zh-CN"/>
        </w:rPr>
        <w:t>.5</w:t>
      </w:r>
      <w:r>
        <w:rPr>
          <w:rFonts w:hint="eastAsia" w:hAnsi="宋体"/>
          <w:color w:val="auto"/>
          <w:sz w:val="21"/>
          <w:szCs w:val="21"/>
        </w:rPr>
        <w:t xml:space="preserve">    </w:t>
      </w:r>
      <w:r>
        <w:rPr>
          <w:rFonts w:hint="eastAsia" w:hAnsi="宋体"/>
          <w:color w:val="auto"/>
          <w:sz w:val="21"/>
          <w:szCs w:val="21"/>
          <w:lang w:val="zh-CN"/>
        </w:rPr>
        <w:t>响应文件不得涂改，若有修改错漏处，须加盖单位公章或者法定代表人或授权委托人签字或盖章。响应文件因字迹潦草或表达不清所引起的后果由供应商负责。</w:t>
      </w:r>
    </w:p>
    <w:p>
      <w:pPr>
        <w:snapToGrid w:val="0"/>
        <w:spacing w:line="320" w:lineRule="exact"/>
        <w:jc w:val="left"/>
        <w:rPr>
          <w:rFonts w:ascii="宋体" w:hAnsi="宋体"/>
          <w:b/>
          <w:szCs w:val="21"/>
        </w:rPr>
      </w:pPr>
      <w:r>
        <w:rPr>
          <w:rFonts w:hint="eastAsia" w:ascii="宋体" w:hAnsi="宋体"/>
          <w:szCs w:val="21"/>
        </w:rPr>
        <w:t>★</w:t>
      </w:r>
      <w:r>
        <w:rPr>
          <w:rFonts w:hint="eastAsia" w:ascii="宋体" w:hAnsi="宋体"/>
          <w:b/>
          <w:szCs w:val="21"/>
        </w:rPr>
        <w:t>响应文件的密封</w:t>
      </w:r>
    </w:p>
    <w:p>
      <w:pPr>
        <w:pStyle w:val="8"/>
        <w:snapToGrid w:val="0"/>
        <w:spacing w:line="320" w:lineRule="exact"/>
        <w:ind w:left="840" w:hanging="840" w:hangingChars="400"/>
        <w:rPr>
          <w:rFonts w:hAnsi="宋体"/>
          <w:color w:val="auto"/>
          <w:sz w:val="21"/>
          <w:szCs w:val="21"/>
        </w:rPr>
      </w:pPr>
      <w:r>
        <w:rPr>
          <w:rFonts w:hint="eastAsia" w:hAnsi="宋体"/>
          <w:color w:val="auto"/>
          <w:sz w:val="21"/>
          <w:szCs w:val="21"/>
        </w:rPr>
        <w:t>20</w:t>
      </w:r>
      <w:r>
        <w:rPr>
          <w:rFonts w:hint="eastAsia" w:hAnsi="宋体"/>
          <w:color w:val="auto"/>
          <w:sz w:val="21"/>
          <w:szCs w:val="21"/>
          <w:lang w:val="zh-CN"/>
        </w:rPr>
        <w:t>.6</w:t>
      </w:r>
      <w:r>
        <w:rPr>
          <w:rFonts w:hint="eastAsia" w:hAnsi="宋体"/>
          <w:color w:val="auto"/>
          <w:sz w:val="21"/>
          <w:szCs w:val="21"/>
        </w:rPr>
        <w:t xml:space="preserve">    供应商应</w:t>
      </w:r>
      <w:r>
        <w:rPr>
          <w:rFonts w:hint="eastAsia" w:hAnsi="宋体"/>
          <w:b/>
          <w:color w:val="auto"/>
          <w:sz w:val="21"/>
          <w:szCs w:val="21"/>
        </w:rPr>
        <w:t>密封封装</w:t>
      </w:r>
      <w:r>
        <w:rPr>
          <w:rFonts w:hint="eastAsia" w:hAnsi="宋体"/>
          <w:color w:val="auto"/>
          <w:sz w:val="21"/>
          <w:szCs w:val="21"/>
        </w:rPr>
        <w:t>响应文件，[参照《</w:t>
      </w:r>
      <w:r>
        <w:rPr>
          <w:rFonts w:hint="eastAsia" w:hAnsi="宋体"/>
          <w:b/>
          <w:color w:val="auto"/>
          <w:sz w:val="21"/>
          <w:szCs w:val="21"/>
        </w:rPr>
        <w:t>响应文件外层包装</w:t>
      </w:r>
      <w:r>
        <w:rPr>
          <w:rFonts w:hAnsi="宋体"/>
          <w:b/>
          <w:color w:val="auto"/>
          <w:sz w:val="21"/>
          <w:szCs w:val="21"/>
        </w:rPr>
        <w:t>封面格式</w:t>
      </w:r>
      <w:r>
        <w:rPr>
          <w:rFonts w:hint="eastAsia" w:hAnsi="宋体"/>
          <w:b/>
          <w:color w:val="auto"/>
          <w:sz w:val="21"/>
          <w:szCs w:val="21"/>
        </w:rPr>
        <w:t>》</w:t>
      </w:r>
      <w:r>
        <w:rPr>
          <w:rFonts w:hint="eastAsia" w:hAnsi="宋体"/>
          <w:color w:val="auto"/>
          <w:sz w:val="21"/>
          <w:szCs w:val="21"/>
        </w:rPr>
        <w:t>（见附件1）的要求]在包装封面上注明供应商名称、</w:t>
      </w:r>
      <w:r>
        <w:rPr>
          <w:rFonts w:hAnsi="宋体"/>
          <w:color w:val="auto"/>
          <w:sz w:val="21"/>
          <w:szCs w:val="21"/>
        </w:rPr>
        <w:t>供应商地址</w:t>
      </w:r>
      <w:r>
        <w:rPr>
          <w:rFonts w:hint="eastAsia" w:hAnsi="宋体"/>
          <w:color w:val="auto"/>
          <w:sz w:val="21"/>
          <w:szCs w:val="21"/>
        </w:rPr>
        <w:t>、响应文件名称、磋商项目名称、项目编号等内容，并加盖密封章。</w:t>
      </w:r>
    </w:p>
    <w:p>
      <w:pPr>
        <w:pStyle w:val="8"/>
        <w:snapToGrid w:val="0"/>
        <w:spacing w:line="320" w:lineRule="exact"/>
        <w:ind w:left="840" w:hanging="840" w:hangingChars="400"/>
        <w:rPr>
          <w:rFonts w:hAnsi="宋体"/>
          <w:color w:val="auto"/>
          <w:sz w:val="21"/>
          <w:szCs w:val="21"/>
        </w:rPr>
      </w:pPr>
      <w:r>
        <w:rPr>
          <w:rFonts w:hint="eastAsia" w:hAnsi="宋体"/>
          <w:color w:val="auto"/>
          <w:sz w:val="21"/>
          <w:szCs w:val="21"/>
        </w:rPr>
        <w:t>20</w:t>
      </w:r>
      <w:r>
        <w:rPr>
          <w:rFonts w:hint="eastAsia" w:hAnsi="宋体"/>
          <w:color w:val="auto"/>
          <w:sz w:val="21"/>
          <w:szCs w:val="21"/>
          <w:lang w:val="zh-CN"/>
        </w:rPr>
        <w:t>.7</w:t>
      </w:r>
      <w:r>
        <w:rPr>
          <w:rFonts w:hint="eastAsia" w:hAnsi="宋体"/>
          <w:color w:val="auto"/>
          <w:sz w:val="21"/>
          <w:szCs w:val="21"/>
        </w:rPr>
        <w:t xml:space="preserve">    未按规定密封或标记的响应文件将有可能被拒绝，由此造成响应文件被误投或提前拆封的风险由供应商承担。</w:t>
      </w:r>
    </w:p>
    <w:p>
      <w:pPr>
        <w:pStyle w:val="8"/>
        <w:snapToGrid w:val="0"/>
        <w:spacing w:line="320" w:lineRule="exact"/>
        <w:ind w:left="840" w:hanging="840" w:hangingChars="400"/>
        <w:rPr>
          <w:rFonts w:hAnsi="宋体"/>
          <w:color w:val="auto"/>
          <w:sz w:val="21"/>
          <w:szCs w:val="21"/>
        </w:rPr>
      </w:pPr>
      <w:r>
        <w:rPr>
          <w:rFonts w:hint="eastAsia" w:hAnsi="宋体"/>
          <w:color w:val="auto"/>
          <w:sz w:val="21"/>
          <w:szCs w:val="21"/>
        </w:rPr>
        <w:t>20</w:t>
      </w:r>
      <w:r>
        <w:rPr>
          <w:rFonts w:hint="eastAsia" w:hAnsi="宋体"/>
          <w:color w:val="auto"/>
          <w:sz w:val="21"/>
          <w:szCs w:val="21"/>
          <w:lang w:val="zh-CN"/>
        </w:rPr>
        <w:t>.8</w:t>
      </w:r>
      <w:r>
        <w:rPr>
          <w:rFonts w:hint="eastAsia" w:hAnsi="宋体"/>
          <w:color w:val="auto"/>
          <w:sz w:val="21"/>
          <w:szCs w:val="21"/>
        </w:rPr>
        <w:t xml:space="preserve">    供应商在磋商截止时间之前，可以对已提交的响应文件进行修改或撤回，并书面通知招标采购人。磋商截止时间后，供应商不得撤回、修改响应文件。修改后重新递交的响应文件应当按磋商文件的要求签署、盖章和密封。</w:t>
      </w:r>
    </w:p>
    <w:p>
      <w:pPr>
        <w:pStyle w:val="5"/>
        <w:spacing w:line="320" w:lineRule="exact"/>
        <w:jc w:val="center"/>
        <w:rPr>
          <w:rFonts w:ascii="宋体" w:hAnsi="宋体"/>
          <w:sz w:val="21"/>
          <w:szCs w:val="21"/>
        </w:rPr>
      </w:pPr>
      <w:bookmarkStart w:id="66" w:name="_Toc520356159"/>
      <w:bookmarkStart w:id="67" w:name="_Toc464464203"/>
      <w:bookmarkStart w:id="68" w:name="_Toc335421068"/>
      <w:r>
        <w:rPr>
          <w:rFonts w:hint="eastAsia" w:ascii="宋体" w:hAnsi="宋体"/>
          <w:sz w:val="21"/>
          <w:szCs w:val="21"/>
        </w:rPr>
        <w:t>（四）   响应文件的递交</w:t>
      </w:r>
      <w:bookmarkEnd w:id="66"/>
      <w:bookmarkEnd w:id="67"/>
      <w:bookmarkEnd w:id="68"/>
    </w:p>
    <w:p>
      <w:pPr>
        <w:adjustRightInd w:val="0"/>
        <w:snapToGrid w:val="0"/>
        <w:spacing w:line="320" w:lineRule="exact"/>
        <w:rPr>
          <w:rFonts w:ascii="宋体" w:hAnsi="宋体"/>
          <w:b/>
          <w:szCs w:val="21"/>
        </w:rPr>
      </w:pPr>
      <w:r>
        <w:rPr>
          <w:rFonts w:hint="eastAsia" w:ascii="宋体" w:hAnsi="宋体"/>
          <w:b/>
          <w:szCs w:val="21"/>
        </w:rPr>
        <w:t>21.响应文件的密封和标记</w:t>
      </w:r>
    </w:p>
    <w:p>
      <w:pPr>
        <w:adjustRightInd w:val="0"/>
        <w:snapToGrid w:val="0"/>
        <w:spacing w:line="320" w:lineRule="exact"/>
        <w:ind w:left="840" w:hanging="840" w:hangingChars="400"/>
        <w:rPr>
          <w:rFonts w:ascii="宋体" w:hAnsi="宋体"/>
          <w:szCs w:val="21"/>
        </w:rPr>
      </w:pPr>
      <w:r>
        <w:rPr>
          <w:rFonts w:hint="eastAsia" w:ascii="宋体" w:hAnsi="宋体"/>
          <w:szCs w:val="21"/>
        </w:rPr>
        <w:t>21</w:t>
      </w:r>
      <w:r>
        <w:rPr>
          <w:rFonts w:ascii="宋体" w:hAnsi="宋体"/>
          <w:szCs w:val="21"/>
        </w:rPr>
        <w:t>.</w:t>
      </w:r>
      <w:r>
        <w:rPr>
          <w:rFonts w:hint="eastAsia" w:ascii="宋体" w:hAnsi="宋体"/>
          <w:szCs w:val="21"/>
        </w:rPr>
        <w:t>1    供应商应将响应文件正本和副本用纸质文件案袋密封(封面详见附件1格式)所有封口加贴封条，且盖密封章)，并标明采购编号、采购项目名称。</w:t>
      </w:r>
    </w:p>
    <w:p>
      <w:pPr>
        <w:adjustRightInd w:val="0"/>
        <w:snapToGrid w:val="0"/>
        <w:spacing w:line="320" w:lineRule="exact"/>
        <w:rPr>
          <w:rFonts w:ascii="宋体" w:hAnsi="宋体"/>
          <w:szCs w:val="21"/>
        </w:rPr>
      </w:pPr>
      <w:r>
        <w:rPr>
          <w:rFonts w:hint="eastAsia" w:ascii="宋体" w:hAnsi="宋体"/>
          <w:szCs w:val="21"/>
        </w:rPr>
        <w:t>21.2    密封件上应注明“</w:t>
      </w:r>
      <w:r>
        <w:rPr>
          <w:rFonts w:hint="eastAsia" w:ascii="宋体" w:hAnsi="宋体"/>
          <w:b/>
          <w:color w:val="000000" w:themeColor="text1"/>
          <w:szCs w:val="21"/>
          <w:u w:val="single"/>
          <w14:textFill>
            <w14:solidFill>
              <w14:schemeClr w14:val="tx1"/>
            </w14:solidFill>
          </w14:textFill>
        </w:rPr>
        <w:t>于2020年</w:t>
      </w:r>
      <w:r>
        <w:rPr>
          <w:rFonts w:hint="eastAsia" w:ascii="宋体" w:hAnsi="宋体"/>
          <w:b/>
          <w:color w:val="000000" w:themeColor="text1"/>
          <w:szCs w:val="21"/>
          <w:u w:val="single"/>
          <w:lang w:val="en-US" w:eastAsia="zh-CN"/>
          <w14:textFill>
            <w14:solidFill>
              <w14:schemeClr w14:val="tx1"/>
            </w14:solidFill>
          </w14:textFill>
        </w:rPr>
        <w:t>11</w:t>
      </w:r>
      <w:r>
        <w:rPr>
          <w:rFonts w:hint="eastAsia" w:ascii="宋体" w:hAnsi="宋体"/>
          <w:b/>
          <w:color w:val="000000" w:themeColor="text1"/>
          <w:szCs w:val="21"/>
          <w:u w:val="single"/>
          <w14:textFill>
            <w14:solidFill>
              <w14:schemeClr w14:val="tx1"/>
            </w14:solidFill>
          </w14:textFill>
        </w:rPr>
        <w:t>月</w:t>
      </w:r>
      <w:r>
        <w:rPr>
          <w:rFonts w:hint="eastAsia" w:ascii="宋体" w:hAnsi="宋体"/>
          <w:b/>
          <w:color w:val="000000" w:themeColor="text1"/>
          <w:szCs w:val="21"/>
          <w:u w:val="single"/>
          <w:lang w:val="en-US" w:eastAsia="zh-CN"/>
          <w14:textFill>
            <w14:solidFill>
              <w14:schemeClr w14:val="tx1"/>
            </w14:solidFill>
          </w14:textFill>
        </w:rPr>
        <w:t>10</w:t>
      </w:r>
      <w:r>
        <w:rPr>
          <w:rFonts w:hint="eastAsia" w:ascii="宋体" w:hAnsi="宋体"/>
          <w:b/>
          <w:color w:val="000000" w:themeColor="text1"/>
          <w:szCs w:val="21"/>
          <w:u w:val="single"/>
          <w14:textFill>
            <w14:solidFill>
              <w14:schemeClr w14:val="tx1"/>
            </w14:solidFill>
          </w14:textFill>
        </w:rPr>
        <w:t>日</w:t>
      </w:r>
      <w:r>
        <w:rPr>
          <w:rFonts w:hint="eastAsia" w:ascii="宋体" w:hAnsi="宋体"/>
          <w:b/>
          <w:color w:val="000000" w:themeColor="text1"/>
          <w:szCs w:val="21"/>
          <w:u w:val="single"/>
          <w:lang w:eastAsia="zh-CN"/>
          <w14:textFill>
            <w14:solidFill>
              <w14:schemeClr w14:val="tx1"/>
            </w14:solidFill>
          </w14:textFill>
        </w:rPr>
        <w:t>下午</w:t>
      </w:r>
      <w:r>
        <w:rPr>
          <w:rFonts w:hint="eastAsia" w:ascii="宋体" w:hAnsi="宋体"/>
          <w:b/>
          <w:color w:val="000000" w:themeColor="text1"/>
          <w:szCs w:val="21"/>
          <w:u w:val="single"/>
          <w:lang w:val="en-US" w:eastAsia="zh-CN"/>
          <w14:textFill>
            <w14:solidFill>
              <w14:schemeClr w14:val="tx1"/>
            </w14:solidFill>
          </w14:textFill>
        </w:rPr>
        <w:t>14：30</w:t>
      </w:r>
      <w:r>
        <w:rPr>
          <w:rFonts w:hint="eastAsia" w:ascii="宋体" w:hAnsi="宋体"/>
          <w:b/>
          <w:szCs w:val="21"/>
          <w:u w:val="single"/>
        </w:rPr>
        <w:t>时（北京时间）之前不准启封”的字样。</w:t>
      </w:r>
    </w:p>
    <w:p>
      <w:pPr>
        <w:spacing w:before="33" w:beforeLines="10" w:after="33" w:afterLines="10" w:line="320" w:lineRule="exact"/>
        <w:rPr>
          <w:rFonts w:ascii="宋体" w:hAnsi="宋体"/>
          <w:szCs w:val="21"/>
        </w:rPr>
      </w:pPr>
      <w:r>
        <w:rPr>
          <w:rFonts w:hint="eastAsia" w:ascii="宋体" w:hAnsi="宋体"/>
          <w:szCs w:val="21"/>
        </w:rPr>
        <w:t>21.3    如果供应商未按上述要求密封及加写标记，采购人对响应文件的误投或过早启封概不负责。</w:t>
      </w:r>
    </w:p>
    <w:p>
      <w:pPr>
        <w:pStyle w:val="6"/>
        <w:spacing w:before="33" w:beforeLines="10" w:after="33" w:afterLines="10" w:line="320" w:lineRule="exact"/>
        <w:ind w:left="899" w:hanging="899"/>
        <w:rPr>
          <w:rFonts w:hAnsi="宋体"/>
          <w:sz w:val="21"/>
          <w:szCs w:val="21"/>
        </w:rPr>
      </w:pPr>
      <w:bookmarkStart w:id="69" w:name="_Toc464464204"/>
      <w:bookmarkStart w:id="70" w:name="_Toc520356161"/>
      <w:bookmarkStart w:id="71" w:name="_Toc335421070"/>
      <w:r>
        <w:rPr>
          <w:rFonts w:hint="eastAsia" w:hAnsi="宋体"/>
          <w:sz w:val="21"/>
          <w:szCs w:val="21"/>
        </w:rPr>
        <w:t>22.  磋商截止期</w:t>
      </w:r>
      <w:bookmarkEnd w:id="69"/>
      <w:bookmarkEnd w:id="70"/>
      <w:bookmarkEnd w:id="71"/>
    </w:p>
    <w:p>
      <w:pPr>
        <w:spacing w:before="33" w:beforeLines="10" w:after="33" w:afterLines="10" w:line="320" w:lineRule="exact"/>
        <w:ind w:left="900" w:hanging="900"/>
        <w:rPr>
          <w:rFonts w:ascii="宋体" w:hAnsi="宋体"/>
          <w:szCs w:val="21"/>
        </w:rPr>
      </w:pPr>
      <w:r>
        <w:rPr>
          <w:rFonts w:hint="eastAsia" w:ascii="宋体" w:hAnsi="宋体"/>
          <w:szCs w:val="21"/>
        </w:rPr>
        <w:t>22.1</w:t>
      </w:r>
      <w:r>
        <w:rPr>
          <w:rFonts w:hint="eastAsia" w:ascii="宋体" w:hAnsi="宋体"/>
          <w:szCs w:val="21"/>
        </w:rPr>
        <w:tab/>
      </w:r>
      <w:r>
        <w:rPr>
          <w:rFonts w:hint="eastAsia" w:ascii="宋体" w:hAnsi="宋体"/>
          <w:szCs w:val="21"/>
        </w:rPr>
        <w:t>供应商应在磋商文件中规定的截止日期和时间前，将响应文件递交采购人，递交地点应是磋商文件中规定的地址。</w:t>
      </w:r>
    </w:p>
    <w:p>
      <w:pPr>
        <w:spacing w:before="33" w:beforeLines="10" w:after="33" w:afterLines="10" w:line="320" w:lineRule="exact"/>
        <w:ind w:left="900" w:hanging="900"/>
        <w:rPr>
          <w:rFonts w:ascii="宋体" w:hAnsi="宋体"/>
          <w:szCs w:val="21"/>
        </w:rPr>
      </w:pPr>
      <w:r>
        <w:rPr>
          <w:rFonts w:hint="eastAsia" w:ascii="宋体" w:hAnsi="宋体"/>
          <w:szCs w:val="21"/>
        </w:rPr>
        <w:t>22.2</w:t>
      </w:r>
      <w:r>
        <w:rPr>
          <w:rFonts w:hint="eastAsia" w:ascii="宋体" w:hAnsi="宋体"/>
          <w:szCs w:val="21"/>
        </w:rPr>
        <w:tab/>
      </w:r>
      <w:r>
        <w:rPr>
          <w:rFonts w:hint="eastAsia" w:ascii="宋体" w:hAnsi="宋体"/>
          <w:szCs w:val="21"/>
        </w:rPr>
        <w:t>采购人有权按本须知的规定，通过修改磋商文件延长磋商截止期。在此情况下，采购人和供应商受磋商截止期制约的所有权利和义务均应延长至新的截止期。</w:t>
      </w:r>
    </w:p>
    <w:p>
      <w:pPr>
        <w:spacing w:before="33" w:beforeLines="10" w:after="33" w:afterLines="10" w:line="320" w:lineRule="exact"/>
        <w:ind w:left="900" w:hanging="900"/>
        <w:rPr>
          <w:rFonts w:ascii="宋体" w:hAnsi="宋体"/>
          <w:szCs w:val="21"/>
        </w:rPr>
      </w:pPr>
      <w:r>
        <w:rPr>
          <w:rFonts w:hint="eastAsia" w:ascii="宋体" w:hAnsi="宋体"/>
          <w:szCs w:val="21"/>
        </w:rPr>
        <w:t>22.3</w:t>
      </w:r>
      <w:r>
        <w:rPr>
          <w:rFonts w:hint="eastAsia" w:ascii="宋体" w:hAnsi="宋体"/>
          <w:szCs w:val="21"/>
        </w:rPr>
        <w:tab/>
      </w:r>
      <w:r>
        <w:rPr>
          <w:rFonts w:hint="eastAsia" w:ascii="宋体" w:hAnsi="宋体"/>
          <w:szCs w:val="21"/>
        </w:rPr>
        <w:t>采购人将拒绝并原封退回在本须知规定的磋商截止期后收到的任何响应文件。</w:t>
      </w:r>
    </w:p>
    <w:p>
      <w:pPr>
        <w:pStyle w:val="6"/>
        <w:spacing w:before="33" w:beforeLines="10" w:after="33" w:afterLines="10" w:line="320" w:lineRule="exact"/>
        <w:ind w:left="899" w:hanging="899"/>
        <w:rPr>
          <w:rFonts w:hAnsi="宋体"/>
          <w:sz w:val="21"/>
          <w:szCs w:val="21"/>
        </w:rPr>
      </w:pPr>
      <w:bookmarkStart w:id="72" w:name="_Toc335421071"/>
      <w:bookmarkStart w:id="73" w:name="_Toc464464205"/>
      <w:bookmarkStart w:id="74" w:name="_Toc520356162"/>
      <w:r>
        <w:rPr>
          <w:rFonts w:hint="eastAsia" w:hAnsi="宋体"/>
          <w:sz w:val="21"/>
          <w:szCs w:val="21"/>
        </w:rPr>
        <w:t>23.  响应文件的修改与撤回</w:t>
      </w:r>
      <w:bookmarkEnd w:id="72"/>
      <w:bookmarkEnd w:id="73"/>
      <w:bookmarkEnd w:id="74"/>
    </w:p>
    <w:p>
      <w:pPr>
        <w:spacing w:before="33" w:beforeLines="10" w:after="33" w:afterLines="10" w:line="320" w:lineRule="exact"/>
        <w:ind w:left="900" w:hanging="900"/>
        <w:rPr>
          <w:rFonts w:ascii="宋体" w:hAnsi="宋体"/>
          <w:szCs w:val="21"/>
        </w:rPr>
      </w:pPr>
      <w:r>
        <w:rPr>
          <w:rFonts w:hint="eastAsia" w:ascii="宋体" w:hAnsi="宋体"/>
          <w:szCs w:val="21"/>
        </w:rPr>
        <w:t>23.1</w:t>
      </w:r>
      <w:r>
        <w:rPr>
          <w:rFonts w:hint="eastAsia" w:ascii="宋体" w:hAnsi="宋体"/>
          <w:szCs w:val="21"/>
        </w:rPr>
        <w:tab/>
      </w:r>
      <w:r>
        <w:rPr>
          <w:rFonts w:hint="eastAsia" w:ascii="宋体" w:hAnsi="宋体"/>
          <w:szCs w:val="21"/>
        </w:rPr>
        <w:t>如果供应商提出书面修改或撤标要求，在磋商截止时间前送达采购人者，采购人将予以接受。</w:t>
      </w:r>
    </w:p>
    <w:p>
      <w:pPr>
        <w:spacing w:before="33" w:beforeLines="10" w:after="33" w:afterLines="10" w:line="320" w:lineRule="exact"/>
        <w:ind w:left="900" w:hanging="900"/>
        <w:rPr>
          <w:rFonts w:ascii="宋体" w:hAnsi="宋体"/>
          <w:szCs w:val="21"/>
        </w:rPr>
      </w:pPr>
      <w:r>
        <w:rPr>
          <w:rFonts w:hint="eastAsia" w:ascii="宋体" w:hAnsi="宋体"/>
          <w:szCs w:val="21"/>
        </w:rPr>
        <w:t>23.2</w:t>
      </w:r>
      <w:r>
        <w:rPr>
          <w:rFonts w:hint="eastAsia" w:ascii="宋体" w:hAnsi="宋体"/>
          <w:szCs w:val="21"/>
        </w:rPr>
        <w:tab/>
      </w:r>
      <w:r>
        <w:rPr>
          <w:rFonts w:hint="eastAsia" w:ascii="宋体" w:hAnsi="宋体"/>
          <w:szCs w:val="21"/>
        </w:rPr>
        <w:t>供应商对响应文件的修改或撤回通知应按本须知规定编制、密封、标记和发送。</w:t>
      </w:r>
    </w:p>
    <w:p>
      <w:pPr>
        <w:spacing w:before="33" w:beforeLines="10" w:after="33" w:afterLines="10" w:line="320" w:lineRule="exact"/>
        <w:ind w:left="900" w:hanging="900"/>
        <w:rPr>
          <w:rFonts w:ascii="宋体" w:hAnsi="宋体"/>
          <w:szCs w:val="21"/>
        </w:rPr>
      </w:pPr>
      <w:r>
        <w:rPr>
          <w:rFonts w:hint="eastAsia" w:ascii="宋体" w:hAnsi="宋体"/>
          <w:szCs w:val="21"/>
        </w:rPr>
        <w:t>23.3</w:t>
      </w:r>
      <w:r>
        <w:rPr>
          <w:rFonts w:hint="eastAsia" w:ascii="宋体" w:hAnsi="宋体"/>
          <w:szCs w:val="21"/>
        </w:rPr>
        <w:tab/>
      </w:r>
      <w:r>
        <w:rPr>
          <w:rFonts w:hint="eastAsia" w:ascii="宋体" w:hAnsi="宋体"/>
          <w:szCs w:val="21"/>
        </w:rPr>
        <w:t>在磋商截止期之后，供应商不得对其响应文件做任何修改。</w:t>
      </w:r>
    </w:p>
    <w:p>
      <w:pPr>
        <w:spacing w:before="33" w:beforeLines="10" w:after="33" w:afterLines="10" w:line="320" w:lineRule="exact"/>
        <w:ind w:left="900" w:hanging="900"/>
        <w:rPr>
          <w:rFonts w:ascii="宋体" w:hAnsi="宋体"/>
          <w:szCs w:val="21"/>
          <w:shd w:val="pct10" w:color="auto" w:fill="FFFFFF"/>
        </w:rPr>
      </w:pPr>
      <w:r>
        <w:rPr>
          <w:rFonts w:hint="eastAsia" w:ascii="宋体" w:hAnsi="宋体"/>
          <w:szCs w:val="21"/>
        </w:rPr>
        <w:t>23.4</w:t>
      </w:r>
      <w:r>
        <w:rPr>
          <w:rFonts w:hint="eastAsia" w:ascii="宋体" w:hAnsi="宋体"/>
          <w:szCs w:val="21"/>
        </w:rPr>
        <w:tab/>
      </w:r>
      <w:r>
        <w:rPr>
          <w:rFonts w:hint="eastAsia" w:ascii="宋体" w:hAnsi="宋体"/>
          <w:szCs w:val="21"/>
        </w:rPr>
        <w:t>从磋商截止期至供应商在响应文件格式中确定的磋商有效期之间，供应商不得撤回其响应文件，否则其磋商保证金将按照本须知的规定不予退回。</w:t>
      </w:r>
    </w:p>
    <w:p>
      <w:pPr>
        <w:pStyle w:val="5"/>
        <w:spacing w:before="33" w:beforeLines="10" w:after="33" w:afterLines="10" w:line="320" w:lineRule="exact"/>
        <w:jc w:val="center"/>
        <w:rPr>
          <w:rFonts w:ascii="宋体" w:hAnsi="宋体"/>
          <w:sz w:val="21"/>
          <w:szCs w:val="21"/>
        </w:rPr>
      </w:pPr>
      <w:bookmarkStart w:id="75" w:name="_Toc464464206"/>
      <w:bookmarkStart w:id="76" w:name="_Toc520356163"/>
      <w:bookmarkStart w:id="77" w:name="_Toc335421072"/>
      <w:r>
        <w:rPr>
          <w:rFonts w:hint="eastAsia" w:ascii="宋体" w:hAnsi="宋体"/>
          <w:sz w:val="21"/>
          <w:szCs w:val="21"/>
        </w:rPr>
        <w:t>（五）   磋商及</w:t>
      </w:r>
      <w:bookmarkEnd w:id="75"/>
      <w:bookmarkEnd w:id="76"/>
      <w:bookmarkEnd w:id="77"/>
      <w:r>
        <w:rPr>
          <w:rFonts w:hint="eastAsia" w:ascii="宋体" w:hAnsi="宋体"/>
          <w:sz w:val="21"/>
          <w:szCs w:val="21"/>
        </w:rPr>
        <w:t>评审</w:t>
      </w:r>
    </w:p>
    <w:p>
      <w:pPr>
        <w:pStyle w:val="6"/>
        <w:spacing w:before="33" w:beforeLines="10" w:after="33" w:afterLines="10" w:line="320" w:lineRule="exact"/>
        <w:ind w:left="899" w:hanging="899"/>
        <w:rPr>
          <w:rFonts w:hAnsi="宋体"/>
          <w:sz w:val="21"/>
          <w:szCs w:val="21"/>
        </w:rPr>
      </w:pPr>
      <w:bookmarkStart w:id="78" w:name="_Toc464464207"/>
      <w:bookmarkStart w:id="79" w:name="_Toc335421073"/>
      <w:bookmarkStart w:id="80" w:name="_Toc520356164"/>
      <w:r>
        <w:rPr>
          <w:rFonts w:hint="eastAsia" w:hAnsi="宋体"/>
          <w:sz w:val="21"/>
          <w:szCs w:val="21"/>
        </w:rPr>
        <w:t>24.   组建磋商小组</w:t>
      </w:r>
      <w:bookmarkEnd w:id="78"/>
    </w:p>
    <w:p>
      <w:pPr>
        <w:spacing w:before="33" w:beforeLines="10" w:after="33" w:afterLines="10" w:line="320" w:lineRule="exact"/>
        <w:ind w:left="840" w:hanging="840" w:hangingChars="400"/>
        <w:rPr>
          <w:rFonts w:ascii="宋体" w:hAnsi="宋体"/>
          <w:szCs w:val="21"/>
        </w:rPr>
      </w:pPr>
      <w:r>
        <w:rPr>
          <w:rFonts w:hint="eastAsia" w:ascii="宋体" w:hAnsi="宋体"/>
          <w:szCs w:val="21"/>
        </w:rPr>
        <w:t>24.1</w:t>
      </w:r>
      <w:r>
        <w:rPr>
          <w:rFonts w:hint="eastAsia" w:ascii="宋体" w:hAnsi="宋体"/>
          <w:szCs w:val="21"/>
        </w:rPr>
        <w:tab/>
      </w:r>
      <w:r>
        <w:rPr>
          <w:rFonts w:hint="eastAsia" w:ascii="宋体" w:hAnsi="宋体"/>
          <w:szCs w:val="21"/>
        </w:rPr>
        <w:t>磋商小组由采购人代表和评审专家共3人以上单数组成，其中评审专家人数不得少于磋商小组成员总数的2/3。采购人代表不得以评审专家身份参加本部门或本单位采购项目的评审。采购代理机构人员不得参加本机构代理的采购项目的评审。磋商小组根据招标采购货物的特点,负责评审工作。</w:t>
      </w:r>
    </w:p>
    <w:p>
      <w:pPr>
        <w:spacing w:before="33" w:beforeLines="10" w:after="33" w:afterLines="10" w:line="320" w:lineRule="exact"/>
        <w:ind w:left="840" w:hanging="840" w:hangingChars="400"/>
        <w:rPr>
          <w:rFonts w:ascii="宋体" w:hAnsi="宋体"/>
          <w:szCs w:val="21"/>
        </w:rPr>
      </w:pPr>
      <w:r>
        <w:rPr>
          <w:rFonts w:hint="eastAsia" w:ascii="宋体" w:hAnsi="宋体"/>
          <w:szCs w:val="21"/>
        </w:rPr>
        <w:t>24.2    以磋商文件及相关的法律法规为评审依据。</w:t>
      </w:r>
    </w:p>
    <w:p>
      <w:pPr>
        <w:pStyle w:val="6"/>
        <w:spacing w:before="33" w:beforeLines="10" w:after="33" w:afterLines="10" w:line="320" w:lineRule="exact"/>
        <w:ind w:left="899" w:hanging="899"/>
        <w:rPr>
          <w:rFonts w:hAnsi="宋体"/>
          <w:sz w:val="21"/>
          <w:szCs w:val="21"/>
        </w:rPr>
      </w:pPr>
      <w:bookmarkStart w:id="81" w:name="_Toc464464208"/>
      <w:r>
        <w:rPr>
          <w:rFonts w:hint="eastAsia" w:hAnsi="宋体"/>
          <w:sz w:val="21"/>
          <w:szCs w:val="21"/>
        </w:rPr>
        <w:t>25</w:t>
      </w:r>
      <w:bookmarkEnd w:id="79"/>
      <w:bookmarkEnd w:id="80"/>
      <w:r>
        <w:rPr>
          <w:rFonts w:hint="eastAsia" w:hAnsi="宋体"/>
          <w:sz w:val="21"/>
          <w:szCs w:val="21"/>
        </w:rPr>
        <w:t>．磋商</w:t>
      </w:r>
      <w:bookmarkEnd w:id="81"/>
    </w:p>
    <w:p>
      <w:pPr>
        <w:spacing w:before="33" w:beforeLines="10" w:after="33" w:afterLines="10" w:line="320" w:lineRule="exact"/>
        <w:ind w:left="898" w:hanging="898"/>
        <w:rPr>
          <w:rFonts w:ascii="宋体" w:hAnsi="宋体"/>
          <w:szCs w:val="21"/>
        </w:rPr>
      </w:pPr>
      <w:r>
        <w:rPr>
          <w:rFonts w:hint="eastAsia" w:ascii="宋体" w:hAnsi="宋体"/>
          <w:szCs w:val="21"/>
        </w:rPr>
        <w:t>25.1</w:t>
      </w:r>
      <w:r>
        <w:rPr>
          <w:rFonts w:hint="eastAsia" w:ascii="宋体" w:hAnsi="宋体"/>
          <w:szCs w:val="21"/>
        </w:rPr>
        <w:tab/>
      </w:r>
      <w:r>
        <w:rPr>
          <w:rFonts w:hint="eastAsia" w:ascii="宋体" w:hAnsi="宋体"/>
          <w:szCs w:val="21"/>
        </w:rPr>
        <w:t>采购人应当按磋商文件的规定，在磋商截止时间的同一时间和磋商文件规定的地点组织磋商。</w:t>
      </w:r>
    </w:p>
    <w:p>
      <w:pPr>
        <w:spacing w:before="33" w:beforeLines="10" w:after="33" w:afterLines="10" w:line="320" w:lineRule="exact"/>
        <w:ind w:left="898" w:hanging="898"/>
        <w:rPr>
          <w:rFonts w:ascii="宋体" w:hAnsi="宋体"/>
          <w:szCs w:val="21"/>
        </w:rPr>
      </w:pPr>
      <w:r>
        <w:rPr>
          <w:rFonts w:hint="eastAsia" w:ascii="宋体" w:hAnsi="宋体"/>
          <w:szCs w:val="21"/>
        </w:rPr>
        <w:t>25.2    磋商小组成员集中对供应商的响应文件的有效性、完整性和响应程度进行审查，要求供应商对响应文件中含义不明确、同类问题表述不一致或者有明显文字和计算错误的内容等作出必要的澄清、说明或者更正。供应商的澄清、说明或者更正不得超出响应文件的范围或者改变响应文件的实质性内容。磋商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pPr>
        <w:spacing w:before="33" w:beforeLines="10" w:after="33" w:afterLines="10" w:line="320" w:lineRule="exact"/>
        <w:ind w:left="898" w:hanging="898"/>
        <w:rPr>
          <w:rFonts w:ascii="宋体" w:hAnsi="宋体"/>
          <w:szCs w:val="21"/>
        </w:rPr>
      </w:pPr>
      <w:r>
        <w:rPr>
          <w:rFonts w:hint="eastAsia" w:ascii="宋体" w:hAnsi="宋体"/>
          <w:szCs w:val="21"/>
        </w:rPr>
        <w:t>25.3    磋商小组所有成员集中与单一供应商分别进行磋商，并给予所有参加磋商的供应商平等的磋商机会。在磋商过程中，磋商小组可以根据磋商文件和磋商情况实质性变动采购需求中的技术、服务要求以及合同草案条款，但不得变动磋商文件中的其他内容。实质性变动的内容，须经采购人代表确认。对磋商文件作出的实质性变动是磋商文件的有效组成部分，磋商小组应当及时以书面形式同时通知所有参加磋商的供应商。供应商应当按照磋商文件的变动情况和磋商小组的要求重新提交响应文件，并由其法定代表人或授权代表签字或者加盖公章。由授权代表签字的，应当附法定代表人授权书。供应商为自然人的，应当由本人签字并附身份证明。</w:t>
      </w:r>
    </w:p>
    <w:p>
      <w:pPr>
        <w:spacing w:before="33" w:beforeLines="10" w:after="33" w:afterLines="10" w:line="320" w:lineRule="exact"/>
        <w:ind w:left="898" w:hanging="898"/>
        <w:rPr>
          <w:rFonts w:ascii="宋体" w:hAnsi="宋体"/>
          <w:b/>
          <w:bCs/>
          <w:szCs w:val="21"/>
        </w:rPr>
      </w:pPr>
      <w:r>
        <w:rPr>
          <w:rFonts w:hint="eastAsia" w:ascii="宋体" w:hAnsi="宋体"/>
          <w:szCs w:val="21"/>
        </w:rPr>
        <w:t>25.4    未实质性响应磋商文件的响应文件按无效响应处理，磋商小组应当告知提交响应文件的供应商。磋商文件内容违反国家有关强制性规定的，磋商小组应当停止评审并向采购人或者采购代理机构说明情况。</w:t>
      </w:r>
    </w:p>
    <w:p>
      <w:pPr>
        <w:spacing w:before="33" w:beforeLines="10" w:after="33" w:afterLines="10" w:line="320" w:lineRule="exact"/>
        <w:rPr>
          <w:rFonts w:ascii="宋体" w:hAnsi="宋体"/>
          <w:szCs w:val="21"/>
        </w:rPr>
      </w:pPr>
      <w:r>
        <w:rPr>
          <w:rFonts w:hint="eastAsia" w:ascii="宋体" w:hAnsi="宋体"/>
          <w:b/>
          <w:bCs/>
          <w:szCs w:val="21"/>
        </w:rPr>
        <w:t>26．报价</w:t>
      </w:r>
      <w:r>
        <w:rPr>
          <w:rFonts w:hint="eastAsia" w:ascii="宋体" w:hAnsi="宋体"/>
          <w:szCs w:val="21"/>
        </w:rPr>
        <w:tab/>
      </w:r>
    </w:p>
    <w:p>
      <w:pPr>
        <w:spacing w:before="33" w:beforeLines="10" w:after="33" w:afterLines="10" w:line="320" w:lineRule="exact"/>
        <w:ind w:left="840" w:hanging="840" w:hangingChars="400"/>
        <w:rPr>
          <w:rFonts w:ascii="宋体" w:hAnsi="宋体"/>
          <w:szCs w:val="21"/>
        </w:rPr>
      </w:pPr>
      <w:r>
        <w:rPr>
          <w:rFonts w:hint="eastAsia" w:ascii="宋体" w:hAnsi="宋体"/>
          <w:szCs w:val="21"/>
        </w:rPr>
        <w:t>26.1    磋商文件能够详细列明采购标的的技术、服务要求的，磋商结束后，磋商小组应当要求所有实质性响应的供应商在规定时间内提交最后报价，提交最后报价的供应商不得少于3家。</w:t>
      </w:r>
    </w:p>
    <w:p>
      <w:pPr>
        <w:spacing w:before="33" w:beforeLines="10" w:after="33" w:afterLines="10" w:line="320" w:lineRule="exact"/>
        <w:ind w:left="840" w:hanging="840" w:hangingChars="400"/>
        <w:rPr>
          <w:rFonts w:ascii="宋体" w:hAnsi="宋体"/>
          <w:szCs w:val="21"/>
        </w:rPr>
      </w:pPr>
      <w:r>
        <w:rPr>
          <w:rFonts w:hint="eastAsia" w:ascii="宋体" w:hAnsi="宋体"/>
          <w:szCs w:val="21"/>
        </w:rPr>
        <w:t>26.2    磋商文件不能详细列明采购标的的技术、服务要求，需经磋商由供应商提供最终设计方案或解决方案的，磋商结束后，磋商小组应当按照少数服从多数的原则投票推荐3家以上供应商的设计方案或者解决方案，并要求其在规定时间内提交最后报价。</w:t>
      </w:r>
    </w:p>
    <w:p>
      <w:pPr>
        <w:spacing w:before="33" w:beforeLines="10" w:after="33" w:afterLines="10" w:line="320" w:lineRule="exact"/>
        <w:ind w:left="840" w:hanging="840" w:hangingChars="400"/>
        <w:rPr>
          <w:rFonts w:ascii="宋体" w:hAnsi="宋体"/>
          <w:szCs w:val="21"/>
        </w:rPr>
      </w:pPr>
      <w:r>
        <w:rPr>
          <w:rFonts w:hint="eastAsia" w:ascii="宋体" w:hAnsi="宋体"/>
          <w:szCs w:val="21"/>
        </w:rPr>
        <w:t>26.3    最后报价是供应商响应文件的有效组成部分。</w:t>
      </w:r>
      <w:bookmarkStart w:id="82" w:name="_Toc335421075"/>
    </w:p>
    <w:p>
      <w:pPr>
        <w:spacing w:before="33" w:beforeLines="10" w:after="33" w:afterLines="10" w:line="320" w:lineRule="exact"/>
        <w:ind w:left="840" w:hanging="840" w:hangingChars="400"/>
        <w:rPr>
          <w:rFonts w:ascii="宋体" w:hAnsi="宋体"/>
          <w:szCs w:val="21"/>
        </w:rPr>
      </w:pPr>
      <w:r>
        <w:rPr>
          <w:rFonts w:hint="eastAsia" w:ascii="宋体" w:hAnsi="宋体"/>
          <w:szCs w:val="21"/>
        </w:rPr>
        <w:t>26.4</w:t>
      </w:r>
      <w:r>
        <w:rPr>
          <w:rFonts w:hint="eastAsia" w:hAnsi="宋体"/>
          <w:kern w:val="0"/>
          <w:szCs w:val="21"/>
        </w:rPr>
        <w:t xml:space="preserve">    算术错误将按以下方法更正：</w:t>
      </w:r>
      <w:r>
        <w:rPr>
          <w:rFonts w:hint="eastAsia" w:hAnsi="宋体"/>
          <w:szCs w:val="21"/>
        </w:rPr>
        <w:t>响应文件的大写金额和小写金额不一致的，以大写金额为准；总价金额与按单价汇总金额不一致的，以单价金额计算结果为准；单价金额小数点有明显错位的，应以总价为准，并修改单价；对不同文字文本响应文件的解释发生异议的，以中文文本为准。</w:t>
      </w:r>
      <w:r>
        <w:rPr>
          <w:rFonts w:hint="eastAsia" w:hAnsi="宋体"/>
          <w:kern w:val="0"/>
          <w:szCs w:val="21"/>
        </w:rPr>
        <w:t>如果供应商不接受对其错误的更正，其响应文件将被视为无效。</w:t>
      </w:r>
    </w:p>
    <w:p>
      <w:pPr>
        <w:spacing w:before="33" w:beforeLines="10" w:after="33" w:afterLines="10" w:line="320" w:lineRule="exact"/>
        <w:ind w:left="843" w:hanging="843" w:hangingChars="400"/>
        <w:rPr>
          <w:rFonts w:hAnsi="宋体"/>
          <w:b/>
          <w:bCs/>
          <w:szCs w:val="21"/>
        </w:rPr>
      </w:pPr>
      <w:r>
        <w:rPr>
          <w:rFonts w:hint="eastAsia" w:ascii="宋体" w:hAnsi="宋体"/>
          <w:b/>
          <w:bCs/>
          <w:szCs w:val="21"/>
        </w:rPr>
        <w:t>27</w:t>
      </w:r>
      <w:bookmarkEnd w:id="82"/>
      <w:r>
        <w:rPr>
          <w:rFonts w:hint="eastAsia" w:ascii="宋体" w:hAnsi="宋体"/>
          <w:b/>
          <w:bCs/>
          <w:szCs w:val="21"/>
        </w:rPr>
        <w:t>．</w:t>
      </w:r>
      <w:r>
        <w:rPr>
          <w:rFonts w:hint="eastAsia" w:hAnsi="宋体"/>
          <w:b/>
          <w:bCs/>
          <w:szCs w:val="21"/>
        </w:rPr>
        <w:t>评审</w:t>
      </w:r>
    </w:p>
    <w:p>
      <w:pPr>
        <w:spacing w:before="33" w:beforeLines="10" w:after="33" w:afterLines="10" w:line="320" w:lineRule="exact"/>
        <w:ind w:left="898" w:hanging="898"/>
        <w:rPr>
          <w:rFonts w:ascii="宋体" w:hAnsi="宋体"/>
          <w:szCs w:val="21"/>
        </w:rPr>
      </w:pPr>
      <w:r>
        <w:rPr>
          <w:rFonts w:hint="eastAsia" w:ascii="宋体" w:hAnsi="宋体"/>
          <w:szCs w:val="21"/>
        </w:rPr>
        <w:t xml:space="preserve">        磋商小组成员应当按照客观、公正、审慎的原则，根据磋商文件规定的评审程序、评审方法和评审标准进行独立评审。经磋商确定最终采购需求和提交最后报价的供应商后，由磋商小组采用</w:t>
      </w:r>
      <w:r>
        <w:rPr>
          <w:rFonts w:hint="eastAsia" w:ascii="宋体" w:hAnsi="宋体"/>
          <w:b/>
          <w:bCs/>
          <w:szCs w:val="21"/>
        </w:rPr>
        <w:t>综合评分法</w:t>
      </w:r>
      <w:r>
        <w:rPr>
          <w:rFonts w:hint="eastAsia" w:ascii="宋体" w:hAnsi="宋体"/>
          <w:szCs w:val="21"/>
        </w:rPr>
        <w:t>对提交最后报价的供应商的响应文件和最后报价进行综合评分。以封闭方式进行评审。评审时，磋商小组各成员应当独立对每个有效响应的文件进行评价、打分，然后汇总每个供应商每项评分因素的得分。评审全过程中不允许供应商与评审专家组之间有可能影响到磋商结果公正性的会面与谈话，以体现公平、公正的基本原则。</w:t>
      </w:r>
      <w:r>
        <w:rPr>
          <w:rFonts w:hint="eastAsia" w:hAnsi="宋体"/>
          <w:szCs w:val="21"/>
        </w:rPr>
        <w:t xml:space="preserve">  </w:t>
      </w:r>
    </w:p>
    <w:p>
      <w:pPr>
        <w:spacing w:before="46" w:after="46" w:line="320" w:lineRule="exact"/>
        <w:ind w:left="840" w:hanging="840"/>
        <w:rPr>
          <w:rFonts w:ascii="宋体" w:hAnsi="宋体"/>
          <w:szCs w:val="21"/>
        </w:rPr>
      </w:pPr>
      <w:bookmarkStart w:id="83" w:name="_Toc520356167"/>
      <w:r>
        <w:rPr>
          <w:rFonts w:hint="eastAsia" w:ascii="宋体" w:hAnsi="宋体"/>
          <w:szCs w:val="21"/>
        </w:rPr>
        <w:t>27.1</w:t>
      </w:r>
      <w:r>
        <w:rPr>
          <w:rFonts w:hint="eastAsia" w:ascii="宋体" w:hAnsi="宋体"/>
          <w:szCs w:val="21"/>
        </w:rPr>
        <w:tab/>
      </w:r>
      <w:r>
        <w:rPr>
          <w:rFonts w:hint="eastAsia" w:ascii="宋体" w:hAnsi="宋体"/>
          <w:szCs w:val="21"/>
        </w:rPr>
        <w:t>推荐成交候选供应商: 磋商小组应当根据综合评分情况，按照评审得分由高到低顺序推荐3名以上成交候选供应商，并编写评审报告。评审得分相同的，按照最后报价由低到高的顺序推荐。评审得分且最后报价相同的，按照技术指标优劣顺序推荐。</w:t>
      </w:r>
    </w:p>
    <w:p>
      <w:pPr>
        <w:spacing w:before="46" w:after="46" w:line="320" w:lineRule="exact"/>
        <w:ind w:left="840" w:leftChars="400"/>
        <w:rPr>
          <w:rFonts w:ascii="宋体" w:hAnsi="宋体"/>
          <w:szCs w:val="21"/>
        </w:rPr>
      </w:pPr>
      <w:r>
        <w:rPr>
          <w:rFonts w:hint="eastAsia" w:ascii="宋体" w:hAnsi="宋体"/>
          <w:szCs w:val="21"/>
        </w:rPr>
        <w:t>提供相同品牌产品且通过资格审查、符合性审查的不同供应商参加同一合同项下磋商的，按一家供应商计算，评审后得分最高的同品牌供应商获得成交供应商推荐资格；评审得分相同的，由采购人或者采购人委托评审委员会采取随机抽取方式确定一个供应商获得成交供应商推荐资格，其他同品牌供应商不作为中标候选人。</w:t>
      </w:r>
    </w:p>
    <w:p>
      <w:pPr>
        <w:spacing w:before="33" w:beforeLines="10" w:after="33" w:afterLines="10" w:line="320" w:lineRule="exact"/>
        <w:ind w:left="840" w:hanging="840" w:hangingChars="400"/>
        <w:rPr>
          <w:rFonts w:ascii="宋体" w:hAnsi="宋体"/>
          <w:szCs w:val="21"/>
        </w:rPr>
      </w:pPr>
      <w:r>
        <w:rPr>
          <w:rFonts w:hint="eastAsia" w:ascii="宋体" w:hAnsi="宋体"/>
          <w:szCs w:val="21"/>
        </w:rPr>
        <w:t>27.2    编写评审报告:评审报告应当包括以下主要内容：邀请供应商参加采购活动的具体方式和相关情况；响应文件开启日期和地点；获取磋商文件的供应商名单和磋商小组成员名单；评审情况记录和说明，包括对供应商的资格审查情况、供应商响应文件评审情况、磋商情况、报价情况等；提出的成交候选供应商的排序名单及理由。评审报告由磋商小组全体人员签字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pPr>
        <w:pStyle w:val="6"/>
        <w:spacing w:before="33" w:beforeLines="10" w:after="33" w:afterLines="10" w:line="320" w:lineRule="exact"/>
        <w:ind w:left="899" w:hanging="899"/>
        <w:rPr>
          <w:b w:val="0"/>
          <w:sz w:val="21"/>
          <w:szCs w:val="21"/>
        </w:rPr>
      </w:pPr>
      <w:bookmarkStart w:id="84" w:name="_Toc335421076"/>
      <w:bookmarkStart w:id="85" w:name="_Toc464464209"/>
      <w:r>
        <w:rPr>
          <w:rFonts w:hint="eastAsia"/>
          <w:sz w:val="21"/>
          <w:szCs w:val="21"/>
        </w:rPr>
        <w:t>28．  评分方法</w:t>
      </w:r>
      <w:bookmarkEnd w:id="84"/>
      <w:r>
        <w:rPr>
          <w:rFonts w:hint="eastAsia"/>
          <w:sz w:val="21"/>
          <w:szCs w:val="21"/>
        </w:rPr>
        <w:t>：</w:t>
      </w:r>
      <w:r>
        <w:rPr>
          <w:rFonts w:hint="eastAsia" w:hAnsi="宋体"/>
          <w:sz w:val="21"/>
          <w:szCs w:val="21"/>
        </w:rPr>
        <w:t>采用综合评分法.</w:t>
      </w:r>
      <w:bookmarkEnd w:id="85"/>
      <w:r>
        <w:rPr>
          <w:rFonts w:hint="eastAsia" w:hAnsi="宋体"/>
          <w:sz w:val="21"/>
          <w:szCs w:val="21"/>
        </w:rPr>
        <w:t xml:space="preserve"> </w:t>
      </w:r>
    </w:p>
    <w:p>
      <w:pPr>
        <w:spacing w:line="320" w:lineRule="exact"/>
        <w:ind w:left="840" w:hanging="840" w:hangingChars="400"/>
        <w:rPr>
          <w:rFonts w:ascii="宋体" w:hAnsi="宋体"/>
          <w:szCs w:val="21"/>
        </w:rPr>
      </w:pPr>
      <w:r>
        <w:rPr>
          <w:rFonts w:hint="eastAsia" w:ascii="宋体" w:hAnsi="宋体"/>
          <w:szCs w:val="21"/>
        </w:rPr>
        <w:t>28.1</w:t>
      </w:r>
      <w:r>
        <w:rPr>
          <w:rFonts w:hint="eastAsia" w:ascii="宋体" w:hAnsi="宋体"/>
          <w:szCs w:val="21"/>
        </w:rPr>
        <w:tab/>
      </w:r>
      <w:r>
        <w:rPr>
          <w:rFonts w:hint="eastAsia" w:ascii="宋体" w:hAnsi="宋体"/>
          <w:szCs w:val="21"/>
        </w:rPr>
        <w:t>满足磋商文件要求且磋商价格最低的磋商报价为磋商基准价，其价格分为满分；磋商报价得分=(磋商基准价／最后磋商报价)×价格权值×100</w:t>
      </w:r>
    </w:p>
    <w:p>
      <w:pPr>
        <w:spacing w:before="46" w:after="46" w:line="320" w:lineRule="exact"/>
        <w:ind w:left="840" w:hanging="840"/>
        <w:rPr>
          <w:rFonts w:ascii="宋体" w:hAnsi="宋体"/>
          <w:szCs w:val="21"/>
        </w:rPr>
      </w:pPr>
      <w:r>
        <w:rPr>
          <w:rFonts w:hint="eastAsia" w:ascii="宋体" w:hAnsi="宋体"/>
          <w:szCs w:val="21"/>
        </w:rPr>
        <w:t xml:space="preserve">         1）若供应商的磋商价格超过采购预算，则该供应商的综合评分为零分。</w:t>
      </w:r>
    </w:p>
    <w:p>
      <w:pPr>
        <w:tabs>
          <w:tab w:val="left" w:pos="1973"/>
        </w:tabs>
        <w:spacing w:before="46" w:after="46" w:line="320" w:lineRule="exact"/>
        <w:ind w:left="840" w:hanging="840"/>
        <w:rPr>
          <w:rFonts w:ascii="宋体" w:hAnsi="宋体"/>
          <w:szCs w:val="21"/>
        </w:rPr>
      </w:pPr>
      <w:r>
        <w:rPr>
          <w:rFonts w:hint="eastAsia" w:ascii="宋体" w:hAnsi="宋体"/>
          <w:szCs w:val="21"/>
        </w:rPr>
        <w:t xml:space="preserve">         2）若供应商的磋商价格均超过采购预算，采购人不能支付的，该项目废标。</w:t>
      </w:r>
    </w:p>
    <w:p>
      <w:pPr>
        <w:spacing w:before="46" w:after="46" w:line="320" w:lineRule="exact"/>
        <w:ind w:left="900" w:hanging="900"/>
        <w:rPr>
          <w:rFonts w:ascii="宋体" w:hAnsi="宋体"/>
          <w:szCs w:val="21"/>
        </w:rPr>
      </w:pPr>
      <w:r>
        <w:rPr>
          <w:rFonts w:hint="eastAsia" w:ascii="宋体" w:hAnsi="宋体"/>
          <w:szCs w:val="21"/>
        </w:rPr>
        <w:t>28.2</w:t>
      </w:r>
      <w:r>
        <w:rPr>
          <w:rFonts w:hint="eastAsia" w:ascii="宋体" w:hAnsi="宋体"/>
          <w:szCs w:val="21"/>
        </w:rPr>
        <w:tab/>
      </w:r>
      <w:r>
        <w:rPr>
          <w:rFonts w:hint="eastAsia" w:ascii="宋体" w:hAnsi="宋体"/>
          <w:szCs w:val="21"/>
        </w:rPr>
        <w:t>本次招标采用综合评分法。是指响应文件满足磋商文件全部实质性要求且按评审因素的量化指标评审得分最高的供应商为成交候选供应商的评审方法。</w:t>
      </w:r>
    </w:p>
    <w:p>
      <w:pPr>
        <w:tabs>
          <w:tab w:val="left" w:pos="1973"/>
        </w:tabs>
        <w:spacing w:before="46" w:after="46" w:line="320" w:lineRule="exact"/>
        <w:ind w:left="840" w:hanging="840"/>
        <w:rPr>
          <w:rFonts w:ascii="宋体" w:hAnsi="宋体"/>
          <w:szCs w:val="21"/>
        </w:rPr>
      </w:pPr>
      <w:r>
        <w:rPr>
          <w:rFonts w:hint="eastAsia" w:ascii="宋体" w:hAnsi="宋体"/>
          <w:szCs w:val="21"/>
        </w:rPr>
        <w:t>28.3    经磋商确定最终采购需求和提交最后报价的供应商后，由磋商小组采用综合评分法对提交最后报价的供应商的响应文件和最后报价进行综合评分。</w:t>
      </w:r>
      <w:bookmarkEnd w:id="83"/>
    </w:p>
    <w:p>
      <w:pPr>
        <w:tabs>
          <w:tab w:val="left" w:pos="1973"/>
        </w:tabs>
        <w:spacing w:before="46" w:after="46" w:line="320" w:lineRule="exact"/>
        <w:rPr>
          <w:rFonts w:ascii="宋体" w:hAnsi="宋体" w:cs="宋体"/>
          <w:b/>
          <w:szCs w:val="21"/>
        </w:rPr>
      </w:pPr>
      <w:r>
        <w:rPr>
          <w:rFonts w:hint="eastAsia" w:ascii="宋体" w:hAnsi="宋体" w:cs="宋体"/>
          <w:b/>
          <w:szCs w:val="21"/>
        </w:rPr>
        <w:t>评分标准：（计分办法保留两位小数，四舍五入)</w:t>
      </w:r>
    </w:p>
    <w:tbl>
      <w:tblPr>
        <w:tblStyle w:val="29"/>
        <w:tblW w:w="10620"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8526"/>
        <w:gridCol w:w="8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shd w:val="clear" w:color="auto" w:fill="auto"/>
            <w:vAlign w:val="center"/>
          </w:tcPr>
          <w:p>
            <w:pPr>
              <w:widowControl/>
              <w:jc w:val="center"/>
              <w:rPr>
                <w:rFonts w:hint="eastAsia" w:asciiTheme="majorEastAsia" w:hAnsiTheme="majorEastAsia" w:eastAsiaTheme="majorEastAsia" w:cstheme="majorEastAsia"/>
                <w:sz w:val="21"/>
                <w:szCs w:val="21"/>
              </w:rPr>
            </w:pPr>
            <w:bookmarkStart w:id="86" w:name="_Toc464464210"/>
            <w:r>
              <w:rPr>
                <w:rFonts w:hint="eastAsia" w:asciiTheme="majorEastAsia" w:hAnsiTheme="majorEastAsia" w:eastAsiaTheme="majorEastAsia" w:cstheme="majorEastAsia"/>
                <w:kern w:val="0"/>
                <w:sz w:val="21"/>
                <w:szCs w:val="21"/>
                <w:lang w:bidi="ar"/>
              </w:rPr>
              <w:t>价格分</w:t>
            </w:r>
          </w:p>
          <w:p>
            <w:pPr>
              <w:widowControl/>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kern w:val="0"/>
                <w:sz w:val="21"/>
                <w:szCs w:val="21"/>
                <w:lang w:bidi="ar"/>
              </w:rPr>
              <w:t>（30分）</w:t>
            </w:r>
          </w:p>
        </w:tc>
        <w:tc>
          <w:tcPr>
            <w:tcW w:w="8526" w:type="dxa"/>
            <w:shd w:val="clear" w:color="auto" w:fill="auto"/>
          </w:tcPr>
          <w:p>
            <w:pPr>
              <w:widowControl/>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价格分采用低价优先法计算，即满足磋商文件要求且报价最低的为磋商基准价，其价格分为满分。其他供应商的价格分统一按下列公式计算：报价得分=（磋商基准价/最后磋商报价）×30。</w:t>
            </w:r>
          </w:p>
          <w:p>
            <w:pPr>
              <w:widowControl/>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对小型和微型企业、监狱企业和残疾人福利性单位产品的价格给予6%的扣除，用扣除后的价格参与评审。</w:t>
            </w:r>
          </w:p>
          <w:p>
            <w:pPr>
              <w:widowControl/>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供应商的报价明显低于其他通过符合性审查供应商的报价，有可能影响产品质量或者不能诚信履约的，应当要求其在评审现场合理的时间内提供书面说明，必要时提交相关证明材料；供应商不能证明其报价合理性的，磋商小组可将其作为无效响应处理。</w:t>
            </w:r>
          </w:p>
        </w:tc>
        <w:tc>
          <w:tcPr>
            <w:tcW w:w="818" w:type="dxa"/>
            <w:shd w:val="clear" w:color="auto" w:fill="auto"/>
            <w:vAlign w:val="center"/>
          </w:tcPr>
          <w:p>
            <w:pPr>
              <w:widowControl/>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kern w:val="0"/>
                <w:sz w:val="21"/>
                <w:szCs w:val="21"/>
                <w:lang w:bidi="ar"/>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1276" w:type="dxa"/>
            <w:vMerge w:val="restart"/>
            <w:shd w:val="clear" w:color="auto" w:fill="auto"/>
            <w:vAlign w:val="center"/>
          </w:tcPr>
          <w:p>
            <w:pPr>
              <w:widowControl/>
              <w:jc w:val="center"/>
              <w:rPr>
                <w:rFonts w:hint="eastAsia" w:asciiTheme="majorEastAsia" w:hAnsiTheme="majorEastAsia" w:eastAsiaTheme="majorEastAsia" w:cstheme="majorEastAsia"/>
                <w:kern w:val="0"/>
                <w:sz w:val="21"/>
                <w:szCs w:val="21"/>
                <w:lang w:bidi="ar"/>
              </w:rPr>
            </w:pPr>
            <w:r>
              <w:rPr>
                <w:rFonts w:hint="eastAsia" w:asciiTheme="majorEastAsia" w:hAnsiTheme="majorEastAsia" w:eastAsiaTheme="majorEastAsia" w:cstheme="majorEastAsia"/>
                <w:kern w:val="0"/>
                <w:sz w:val="21"/>
                <w:szCs w:val="21"/>
                <w:lang w:bidi="ar"/>
              </w:rPr>
              <w:t>技术分</w:t>
            </w:r>
          </w:p>
          <w:p>
            <w:pPr>
              <w:widowControl/>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kern w:val="0"/>
                <w:sz w:val="21"/>
                <w:szCs w:val="21"/>
                <w:lang w:bidi="ar"/>
              </w:rPr>
              <w:t>（58</w:t>
            </w:r>
            <w:r>
              <w:rPr>
                <w:rFonts w:hint="eastAsia" w:asciiTheme="majorEastAsia" w:hAnsiTheme="majorEastAsia" w:eastAsiaTheme="majorEastAsia" w:cstheme="majorEastAsia"/>
                <w:kern w:val="0"/>
                <w:sz w:val="21"/>
                <w:szCs w:val="21"/>
                <w:lang w:eastAsia="zh-CN" w:bidi="ar"/>
              </w:rPr>
              <w:t>分</w:t>
            </w:r>
            <w:r>
              <w:rPr>
                <w:rFonts w:hint="eastAsia" w:asciiTheme="majorEastAsia" w:hAnsiTheme="majorEastAsia" w:eastAsiaTheme="majorEastAsia" w:cstheme="majorEastAsia"/>
                <w:kern w:val="0"/>
                <w:sz w:val="21"/>
                <w:szCs w:val="21"/>
                <w:lang w:bidi="ar"/>
              </w:rPr>
              <w:t>）</w:t>
            </w:r>
          </w:p>
        </w:tc>
        <w:tc>
          <w:tcPr>
            <w:tcW w:w="8526" w:type="dxa"/>
            <w:shd w:val="clear" w:color="auto" w:fill="auto"/>
          </w:tcPr>
          <w:p>
            <w:pPr>
              <w:widowControl/>
              <w:jc w:val="left"/>
              <w:rPr>
                <w:rFonts w:hint="eastAsia" w:asciiTheme="majorEastAsia" w:hAnsiTheme="majorEastAsia" w:eastAsiaTheme="majorEastAsia" w:cstheme="majorEastAsia"/>
                <w:sz w:val="21"/>
                <w:szCs w:val="21"/>
                <w:lang w:eastAsia="zh-CN"/>
              </w:rPr>
            </w:pPr>
            <w:r>
              <w:rPr>
                <w:rFonts w:hint="eastAsia" w:asciiTheme="majorEastAsia" w:hAnsiTheme="majorEastAsia" w:eastAsiaTheme="majorEastAsia" w:cstheme="majorEastAsia"/>
                <w:kern w:val="0"/>
                <w:sz w:val="21"/>
                <w:szCs w:val="21"/>
                <w:lang w:bidi="ar"/>
              </w:rPr>
              <w:t>1、满足技术标准和要求中所有条款，得15分</w:t>
            </w:r>
            <w:r>
              <w:rPr>
                <w:rFonts w:hint="eastAsia" w:asciiTheme="majorEastAsia" w:hAnsiTheme="majorEastAsia" w:eastAsiaTheme="majorEastAsia" w:cstheme="majorEastAsia"/>
                <w:kern w:val="0"/>
                <w:sz w:val="21"/>
                <w:szCs w:val="21"/>
                <w:lang w:eastAsia="zh-CN" w:bidi="ar"/>
              </w:rPr>
              <w:t>。</w:t>
            </w:r>
          </w:p>
          <w:p>
            <w:pPr>
              <w:widowControl/>
              <w:jc w:val="left"/>
              <w:rPr>
                <w:rFonts w:hint="eastAsia" w:asciiTheme="majorEastAsia" w:hAnsiTheme="majorEastAsia" w:eastAsiaTheme="majorEastAsia" w:cstheme="majorEastAsia"/>
                <w:kern w:val="0"/>
                <w:sz w:val="21"/>
                <w:szCs w:val="21"/>
                <w:lang w:eastAsia="zh-CN" w:bidi="ar"/>
              </w:rPr>
            </w:pPr>
            <w:r>
              <w:rPr>
                <w:rFonts w:hint="eastAsia" w:asciiTheme="majorEastAsia" w:hAnsiTheme="majorEastAsia" w:eastAsiaTheme="majorEastAsia" w:cstheme="majorEastAsia"/>
                <w:kern w:val="0"/>
                <w:sz w:val="21"/>
                <w:szCs w:val="21"/>
                <w:lang w:bidi="ar"/>
              </w:rPr>
              <w:t>符合性评审，不满足则视为无效响应</w:t>
            </w:r>
            <w:r>
              <w:rPr>
                <w:rFonts w:hint="eastAsia" w:asciiTheme="majorEastAsia" w:hAnsiTheme="majorEastAsia" w:eastAsiaTheme="majorEastAsia" w:cstheme="majorEastAsia"/>
                <w:kern w:val="0"/>
                <w:sz w:val="21"/>
                <w:szCs w:val="21"/>
                <w:lang w:eastAsia="zh-CN" w:bidi="ar"/>
              </w:rPr>
              <w:t>；</w:t>
            </w:r>
          </w:p>
          <w:p>
            <w:pPr>
              <w:widowControl/>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b/>
                <w:bCs/>
                <w:color w:val="000000" w:themeColor="text1"/>
                <w:kern w:val="0"/>
                <w:sz w:val="21"/>
                <w:szCs w:val="21"/>
                <w:lang w:bidi="ar"/>
                <w14:textFill>
                  <w14:solidFill>
                    <w14:schemeClr w14:val="tx1"/>
                  </w14:solidFill>
                </w14:textFill>
              </w:rPr>
              <w:t>（评审依据：根据各投标供应商提供的投标文件响应情况</w:t>
            </w:r>
            <w:r>
              <w:rPr>
                <w:rFonts w:hint="eastAsia" w:asciiTheme="majorEastAsia" w:hAnsiTheme="majorEastAsia" w:eastAsiaTheme="majorEastAsia" w:cstheme="majorEastAsia"/>
                <w:b/>
                <w:bCs/>
                <w:color w:val="000000" w:themeColor="text1"/>
                <w:kern w:val="0"/>
                <w:sz w:val="21"/>
                <w:szCs w:val="21"/>
                <w:lang w:eastAsia="zh-CN" w:bidi="ar"/>
                <w14:textFill>
                  <w14:solidFill>
                    <w14:schemeClr w14:val="tx1"/>
                  </w14:solidFill>
                </w14:textFill>
              </w:rPr>
              <w:t>。</w:t>
            </w:r>
            <w:r>
              <w:rPr>
                <w:rFonts w:hint="eastAsia" w:asciiTheme="majorEastAsia" w:hAnsiTheme="majorEastAsia" w:eastAsiaTheme="majorEastAsia" w:cstheme="majorEastAsia"/>
                <w:b/>
                <w:bCs/>
                <w:color w:val="000000" w:themeColor="text1"/>
                <w:kern w:val="0"/>
                <w:sz w:val="21"/>
                <w:szCs w:val="21"/>
                <w:lang w:bidi="ar"/>
                <w14:textFill>
                  <w14:solidFill>
                    <w14:schemeClr w14:val="tx1"/>
                  </w14:solidFill>
                </w14:textFill>
              </w:rPr>
              <w:t>）</w:t>
            </w:r>
          </w:p>
        </w:tc>
        <w:tc>
          <w:tcPr>
            <w:tcW w:w="818" w:type="dxa"/>
            <w:shd w:val="clear" w:color="auto" w:fill="auto"/>
            <w:vAlign w:val="center"/>
          </w:tcPr>
          <w:p>
            <w:pPr>
              <w:widowControl/>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kern w:val="0"/>
                <w:sz w:val="21"/>
                <w:szCs w:val="21"/>
                <w:lang w:bidi="ar"/>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1276" w:type="dxa"/>
            <w:vMerge w:val="continue"/>
            <w:shd w:val="clear" w:color="auto" w:fill="auto"/>
            <w:vAlign w:val="center"/>
          </w:tcPr>
          <w:p>
            <w:pPr>
              <w:widowControl/>
              <w:jc w:val="left"/>
              <w:rPr>
                <w:rFonts w:hint="eastAsia" w:asciiTheme="majorEastAsia" w:hAnsiTheme="majorEastAsia" w:eastAsiaTheme="majorEastAsia" w:cstheme="majorEastAsia"/>
                <w:kern w:val="0"/>
                <w:sz w:val="21"/>
                <w:szCs w:val="21"/>
                <w:lang w:bidi="ar"/>
              </w:rPr>
            </w:pPr>
          </w:p>
        </w:tc>
        <w:tc>
          <w:tcPr>
            <w:tcW w:w="8526" w:type="dxa"/>
            <w:shd w:val="clear" w:color="auto" w:fill="auto"/>
          </w:tcPr>
          <w:p>
            <w:pPr>
              <w:widowControl/>
              <w:numPr>
                <w:ilvl w:val="0"/>
                <w:numId w:val="4"/>
              </w:numPr>
              <w:jc w:val="left"/>
              <w:rPr>
                <w:rFonts w:hint="eastAsia" w:asciiTheme="majorEastAsia" w:hAnsiTheme="majorEastAsia" w:eastAsiaTheme="majorEastAsia" w:cstheme="majorEastAsia"/>
                <w:kern w:val="0"/>
                <w:sz w:val="21"/>
                <w:szCs w:val="21"/>
                <w:lang w:bidi="ar"/>
              </w:rPr>
            </w:pPr>
            <w:r>
              <w:rPr>
                <w:rFonts w:hint="eastAsia" w:asciiTheme="majorEastAsia" w:hAnsiTheme="majorEastAsia" w:eastAsiaTheme="majorEastAsia" w:cstheme="majorEastAsia"/>
                <w:kern w:val="0"/>
                <w:sz w:val="21"/>
                <w:szCs w:val="21"/>
                <w:lang w:bidi="ar"/>
              </w:rPr>
              <w:t>所投电梯的最大载重量及最大速度比较（3分）</w:t>
            </w:r>
          </w:p>
          <w:p>
            <w:pPr>
              <w:widowControl/>
              <w:jc w:val="left"/>
              <w:rPr>
                <w:rFonts w:hint="eastAsia" w:asciiTheme="majorEastAsia" w:hAnsiTheme="majorEastAsia" w:eastAsiaTheme="majorEastAsia" w:cstheme="majorEastAsia"/>
                <w:kern w:val="0"/>
                <w:sz w:val="21"/>
                <w:szCs w:val="21"/>
                <w:lang w:eastAsia="zh-CN" w:bidi="ar"/>
              </w:rPr>
            </w:pPr>
            <w:r>
              <w:rPr>
                <w:rFonts w:hint="eastAsia" w:asciiTheme="majorEastAsia" w:hAnsiTheme="majorEastAsia" w:eastAsiaTheme="majorEastAsia" w:cstheme="majorEastAsia"/>
                <w:kern w:val="0"/>
                <w:sz w:val="21"/>
                <w:szCs w:val="21"/>
                <w:lang w:bidi="ar"/>
              </w:rPr>
              <w:t>所投电梯的最大载重Q≥2000kg，最大速度V≥3.0m/s的得3分</w:t>
            </w:r>
            <w:r>
              <w:rPr>
                <w:rFonts w:hint="eastAsia" w:asciiTheme="majorEastAsia" w:hAnsiTheme="majorEastAsia" w:eastAsiaTheme="majorEastAsia" w:cstheme="majorEastAsia"/>
                <w:kern w:val="0"/>
                <w:sz w:val="21"/>
                <w:szCs w:val="21"/>
                <w:lang w:eastAsia="zh-CN" w:bidi="ar"/>
              </w:rPr>
              <w:t>；</w:t>
            </w:r>
            <w:r>
              <w:rPr>
                <w:rFonts w:hint="eastAsia" w:asciiTheme="majorEastAsia" w:hAnsiTheme="majorEastAsia" w:eastAsiaTheme="majorEastAsia" w:cstheme="majorEastAsia"/>
                <w:kern w:val="0"/>
                <w:sz w:val="21"/>
                <w:szCs w:val="21"/>
                <w:lang w:bidi="ar"/>
              </w:rPr>
              <w:t>所投电梯的最大载重2000kg&gt;Q≥1000kg，最大速度3.0m/s&gt;V&gt;1.75m/s的得1分</w:t>
            </w:r>
            <w:r>
              <w:rPr>
                <w:rFonts w:hint="eastAsia" w:asciiTheme="majorEastAsia" w:hAnsiTheme="majorEastAsia" w:eastAsiaTheme="majorEastAsia" w:cstheme="majorEastAsia"/>
                <w:kern w:val="0"/>
                <w:sz w:val="21"/>
                <w:szCs w:val="21"/>
                <w:lang w:eastAsia="zh-CN" w:bidi="ar"/>
              </w:rPr>
              <w:t>。</w:t>
            </w:r>
          </w:p>
          <w:p>
            <w:pPr>
              <w:widowControl/>
              <w:jc w:val="left"/>
              <w:rPr>
                <w:rFonts w:hint="eastAsia" w:asciiTheme="majorEastAsia" w:hAnsiTheme="majorEastAsia" w:eastAsiaTheme="majorEastAsia" w:cstheme="majorEastAsia"/>
                <w:kern w:val="0"/>
                <w:sz w:val="21"/>
                <w:szCs w:val="21"/>
                <w:shd w:val="clear" w:color="FFFFFF" w:fill="D9D9D9"/>
                <w:lang w:bidi="ar"/>
              </w:rPr>
            </w:pPr>
            <w:r>
              <w:rPr>
                <w:rFonts w:hint="eastAsia" w:asciiTheme="majorEastAsia" w:hAnsiTheme="majorEastAsia" w:eastAsiaTheme="majorEastAsia" w:cstheme="majorEastAsia"/>
                <w:b/>
                <w:bCs/>
                <w:kern w:val="0"/>
                <w:sz w:val="21"/>
                <w:szCs w:val="21"/>
                <w:lang w:bidi="ar"/>
              </w:rPr>
              <w:t>（评审依据：根据国家认可的CMA或CNAS检测机构出具；所投产品型号曳引式客梯及消防员电梯整机型式实验报告复印件加盖制造商公章，不提供者或提供无效者不得分。）</w:t>
            </w:r>
          </w:p>
        </w:tc>
        <w:tc>
          <w:tcPr>
            <w:tcW w:w="818" w:type="dxa"/>
            <w:shd w:val="clear" w:color="auto" w:fill="auto"/>
            <w:vAlign w:val="center"/>
          </w:tcPr>
          <w:p>
            <w:pPr>
              <w:widowControl/>
              <w:jc w:val="left"/>
              <w:rPr>
                <w:rFonts w:hint="eastAsia" w:asciiTheme="majorEastAsia" w:hAnsiTheme="majorEastAsia" w:eastAsiaTheme="majorEastAsia" w:cstheme="majorEastAsia"/>
                <w:kern w:val="0"/>
                <w:sz w:val="21"/>
                <w:szCs w:val="21"/>
                <w:shd w:val="clear" w:color="FFFFFF" w:fill="D9D9D9"/>
                <w:lang w:bidi="ar"/>
              </w:rPr>
            </w:pPr>
            <w:r>
              <w:rPr>
                <w:rFonts w:hint="eastAsia" w:asciiTheme="majorEastAsia" w:hAnsiTheme="majorEastAsia" w:eastAsiaTheme="majorEastAsia" w:cstheme="majorEastAsia"/>
                <w:kern w:val="0"/>
                <w:sz w:val="21"/>
                <w:szCs w:val="21"/>
                <w:lang w:bidi="ar"/>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vMerge w:val="continue"/>
            <w:shd w:val="clear" w:color="auto" w:fill="auto"/>
            <w:vAlign w:val="center"/>
          </w:tcPr>
          <w:p>
            <w:pPr>
              <w:widowControl/>
              <w:rPr>
                <w:rFonts w:hint="eastAsia" w:asciiTheme="majorEastAsia" w:hAnsiTheme="majorEastAsia" w:eastAsiaTheme="majorEastAsia" w:cstheme="majorEastAsia"/>
                <w:sz w:val="21"/>
                <w:szCs w:val="21"/>
              </w:rPr>
            </w:pPr>
          </w:p>
        </w:tc>
        <w:tc>
          <w:tcPr>
            <w:tcW w:w="8526" w:type="dxa"/>
            <w:shd w:val="clear" w:color="auto" w:fill="auto"/>
          </w:tcPr>
          <w:p>
            <w:pPr>
              <w:widowControl/>
              <w:jc w:val="left"/>
              <w:rPr>
                <w:rFonts w:hint="eastAsia" w:asciiTheme="majorEastAsia" w:hAnsiTheme="majorEastAsia" w:eastAsiaTheme="majorEastAsia" w:cstheme="majorEastAsia"/>
                <w:kern w:val="0"/>
                <w:sz w:val="21"/>
                <w:szCs w:val="21"/>
                <w:lang w:eastAsia="zh-CN" w:bidi="ar"/>
              </w:rPr>
            </w:pPr>
            <w:r>
              <w:rPr>
                <w:rFonts w:hint="eastAsia" w:asciiTheme="majorEastAsia" w:hAnsiTheme="majorEastAsia" w:eastAsiaTheme="majorEastAsia" w:cstheme="majorEastAsia"/>
                <w:kern w:val="0"/>
                <w:sz w:val="21"/>
                <w:szCs w:val="21"/>
                <w:lang w:bidi="ar"/>
              </w:rPr>
              <w:t>3、所投电梯制造商建成电梯测试试验塔高度≥240m 的得8分</w:t>
            </w:r>
            <w:r>
              <w:rPr>
                <w:rFonts w:hint="eastAsia" w:asciiTheme="majorEastAsia" w:hAnsiTheme="majorEastAsia" w:eastAsiaTheme="majorEastAsia" w:cstheme="majorEastAsia"/>
                <w:kern w:val="0"/>
                <w:sz w:val="21"/>
                <w:szCs w:val="21"/>
                <w:lang w:eastAsia="zh-CN" w:bidi="ar"/>
              </w:rPr>
              <w:t>；</w:t>
            </w:r>
            <w:r>
              <w:rPr>
                <w:rFonts w:hint="eastAsia" w:asciiTheme="majorEastAsia" w:hAnsiTheme="majorEastAsia" w:eastAsiaTheme="majorEastAsia" w:cstheme="majorEastAsia"/>
                <w:kern w:val="0"/>
                <w:sz w:val="21"/>
                <w:szCs w:val="21"/>
                <w:lang w:bidi="ar"/>
              </w:rPr>
              <w:t>建成电梯测试试验塔高度﹤240m 的得 4分；建成电梯测试试验塔高度＜230m 的得1分</w:t>
            </w:r>
            <w:r>
              <w:rPr>
                <w:rFonts w:hint="eastAsia" w:asciiTheme="majorEastAsia" w:hAnsiTheme="majorEastAsia" w:eastAsiaTheme="majorEastAsia" w:cstheme="majorEastAsia"/>
                <w:kern w:val="0"/>
                <w:sz w:val="21"/>
                <w:szCs w:val="21"/>
                <w:lang w:eastAsia="zh-CN" w:bidi="ar"/>
              </w:rPr>
              <w:t>。</w:t>
            </w:r>
          </w:p>
          <w:p>
            <w:pPr>
              <w:widowControl/>
              <w:jc w:val="left"/>
              <w:rPr>
                <w:rFonts w:hint="eastAsia" w:asciiTheme="majorEastAsia" w:hAnsiTheme="majorEastAsia" w:eastAsiaTheme="majorEastAsia" w:cstheme="majorEastAsia"/>
                <w:sz w:val="21"/>
                <w:szCs w:val="21"/>
                <w:shd w:val="clear" w:color="FFFFFF" w:fill="D9D9D9"/>
              </w:rPr>
            </w:pPr>
            <w:r>
              <w:rPr>
                <w:rFonts w:hint="eastAsia" w:asciiTheme="majorEastAsia" w:hAnsiTheme="majorEastAsia" w:eastAsiaTheme="majorEastAsia" w:cstheme="majorEastAsia"/>
                <w:b/>
                <w:bCs/>
                <w:kern w:val="0"/>
                <w:sz w:val="21"/>
                <w:szCs w:val="21"/>
                <w:lang w:bidi="ar"/>
              </w:rPr>
              <w:t>（评审依据：投标文件中提供加盖制造商公章的电梯测试试验塔完工照片、加盖制造商公章的体现试验台高度的立项批文扫复印件、加盖制造商公章的消防部门出具的试验塔消防验合格意见书复印件、加盖制造商公章的住建局出具的竣工验收备案证明复印件；未提供或提供无效者不得分</w:t>
            </w:r>
            <w:r>
              <w:rPr>
                <w:rFonts w:hint="eastAsia" w:asciiTheme="majorEastAsia" w:hAnsiTheme="majorEastAsia" w:eastAsiaTheme="majorEastAsia" w:cstheme="majorEastAsia"/>
                <w:b/>
                <w:bCs/>
                <w:kern w:val="0"/>
                <w:sz w:val="21"/>
                <w:szCs w:val="21"/>
                <w:lang w:eastAsia="zh-CN" w:bidi="ar"/>
              </w:rPr>
              <w:t>。</w:t>
            </w:r>
            <w:r>
              <w:rPr>
                <w:rFonts w:hint="eastAsia" w:asciiTheme="majorEastAsia" w:hAnsiTheme="majorEastAsia" w:eastAsiaTheme="majorEastAsia" w:cstheme="majorEastAsia"/>
                <w:b/>
                <w:bCs/>
                <w:kern w:val="0"/>
                <w:sz w:val="21"/>
                <w:szCs w:val="21"/>
                <w:lang w:bidi="ar"/>
              </w:rPr>
              <w:t>）</w:t>
            </w:r>
          </w:p>
        </w:tc>
        <w:tc>
          <w:tcPr>
            <w:tcW w:w="818" w:type="dxa"/>
            <w:shd w:val="clear" w:color="auto" w:fill="auto"/>
            <w:vAlign w:val="center"/>
          </w:tcPr>
          <w:p>
            <w:pPr>
              <w:widowControl/>
              <w:jc w:val="left"/>
              <w:rPr>
                <w:rFonts w:hint="eastAsia" w:asciiTheme="majorEastAsia" w:hAnsiTheme="majorEastAsia" w:eastAsiaTheme="majorEastAsia" w:cstheme="majorEastAsia"/>
                <w:sz w:val="21"/>
                <w:szCs w:val="21"/>
                <w:shd w:val="clear" w:color="FFFFFF" w:fill="D9D9D9"/>
              </w:rPr>
            </w:pPr>
            <w:r>
              <w:rPr>
                <w:rFonts w:hint="eastAsia" w:asciiTheme="majorEastAsia" w:hAnsiTheme="majorEastAsia" w:eastAsiaTheme="majorEastAsia" w:cstheme="majorEastAsia"/>
                <w:kern w:val="0"/>
                <w:sz w:val="21"/>
                <w:szCs w:val="21"/>
                <w:lang w:bidi="ar"/>
              </w:rPr>
              <w:t>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8" w:hRule="atLeast"/>
        </w:trPr>
        <w:tc>
          <w:tcPr>
            <w:tcW w:w="1276" w:type="dxa"/>
            <w:vMerge w:val="continue"/>
            <w:shd w:val="clear" w:color="auto" w:fill="auto"/>
            <w:vAlign w:val="center"/>
          </w:tcPr>
          <w:p>
            <w:pPr>
              <w:widowControl/>
              <w:rPr>
                <w:rFonts w:hint="eastAsia" w:asciiTheme="majorEastAsia" w:hAnsiTheme="majorEastAsia" w:eastAsiaTheme="majorEastAsia" w:cstheme="majorEastAsia"/>
                <w:sz w:val="21"/>
                <w:szCs w:val="21"/>
              </w:rPr>
            </w:pPr>
          </w:p>
        </w:tc>
        <w:tc>
          <w:tcPr>
            <w:tcW w:w="8526" w:type="dxa"/>
            <w:shd w:val="clear" w:color="auto" w:fill="auto"/>
          </w:tcPr>
          <w:p>
            <w:pPr>
              <w:spacing w:line="400" w:lineRule="exact"/>
              <w:rPr>
                <w:rFonts w:hint="eastAsia" w:asciiTheme="majorEastAsia" w:hAnsiTheme="majorEastAsia" w:eastAsiaTheme="majorEastAsia" w:cstheme="majorEastAsia"/>
                <w:color w:val="181717" w:themeColor="background2" w:themeShade="1A"/>
                <w:sz w:val="21"/>
                <w:szCs w:val="21"/>
              </w:rPr>
            </w:pPr>
            <w:r>
              <w:rPr>
                <w:rFonts w:hint="eastAsia" w:asciiTheme="majorEastAsia" w:hAnsiTheme="majorEastAsia" w:eastAsiaTheme="majorEastAsia" w:cstheme="majorEastAsia"/>
                <w:color w:val="181717" w:themeColor="background2" w:themeShade="1A"/>
                <w:sz w:val="21"/>
                <w:szCs w:val="21"/>
                <w:lang w:val="en-US" w:eastAsia="zh-CN"/>
              </w:rPr>
              <w:t>4、</w:t>
            </w:r>
            <w:r>
              <w:rPr>
                <w:rFonts w:hint="eastAsia" w:asciiTheme="majorEastAsia" w:hAnsiTheme="majorEastAsia" w:eastAsiaTheme="majorEastAsia" w:cstheme="majorEastAsia"/>
                <w:color w:val="181717" w:themeColor="background2" w:themeShade="1A"/>
                <w:sz w:val="21"/>
                <w:szCs w:val="21"/>
              </w:rPr>
              <w:t>主要部件品牌统一性( 4分）</w:t>
            </w:r>
          </w:p>
          <w:p>
            <w:pPr>
              <w:spacing w:line="400" w:lineRule="exact"/>
              <w:rPr>
                <w:rFonts w:hint="eastAsia" w:asciiTheme="majorEastAsia" w:hAnsiTheme="majorEastAsia" w:eastAsiaTheme="majorEastAsia" w:cstheme="majorEastAsia"/>
                <w:color w:val="181717" w:themeColor="background2" w:themeShade="1A"/>
                <w:sz w:val="21"/>
                <w:szCs w:val="21"/>
                <w:lang w:eastAsia="zh-CN"/>
              </w:rPr>
            </w:pPr>
            <w:r>
              <w:rPr>
                <w:rFonts w:hint="eastAsia" w:asciiTheme="majorEastAsia" w:hAnsiTheme="majorEastAsia" w:eastAsiaTheme="majorEastAsia" w:cstheme="majorEastAsia"/>
                <w:color w:val="181717" w:themeColor="background2" w:themeShade="1A"/>
                <w:sz w:val="21"/>
                <w:szCs w:val="21"/>
              </w:rPr>
              <w:t>所投乘客电梯部件中的曳引机、控制柜（含调速装置，控制装置）、安全电路、层门门锁、轿门门锁、上行超速保护装置与投标电梯的品牌一致是原厂原品牌生产，全部满足的得4分;其余情况不得分</w:t>
            </w:r>
            <w:r>
              <w:rPr>
                <w:rFonts w:hint="eastAsia" w:asciiTheme="majorEastAsia" w:hAnsiTheme="majorEastAsia" w:eastAsiaTheme="majorEastAsia" w:cstheme="majorEastAsia"/>
                <w:color w:val="181717" w:themeColor="background2" w:themeShade="1A"/>
                <w:sz w:val="21"/>
                <w:szCs w:val="21"/>
                <w:lang w:eastAsia="zh-CN"/>
              </w:rPr>
              <w:t>。</w:t>
            </w:r>
          </w:p>
          <w:p>
            <w:pPr>
              <w:widowControl/>
              <w:jc w:val="left"/>
              <w:rPr>
                <w:rFonts w:hint="eastAsia" w:asciiTheme="majorEastAsia" w:hAnsiTheme="majorEastAsia" w:eastAsiaTheme="majorEastAsia" w:cstheme="majorEastAsia"/>
                <w:color w:val="181717" w:themeColor="background2" w:themeShade="1A"/>
                <w:kern w:val="0"/>
                <w:sz w:val="21"/>
                <w:szCs w:val="21"/>
                <w:shd w:val="clear" w:color="FFFFFF" w:fill="D9D9D9"/>
                <w:lang w:bidi="ar"/>
              </w:rPr>
            </w:pPr>
            <w:r>
              <w:rPr>
                <w:rFonts w:hint="eastAsia" w:asciiTheme="majorEastAsia" w:hAnsiTheme="majorEastAsia" w:eastAsiaTheme="majorEastAsia" w:cstheme="majorEastAsia"/>
                <w:b/>
                <w:bCs/>
                <w:color w:val="181717" w:themeColor="background2" w:themeShade="1A"/>
                <w:sz w:val="21"/>
                <w:szCs w:val="21"/>
              </w:rPr>
              <w:t>（评审依据：投标文件中提供加盖制造商公章的整梯型式试验报告复印件，未提供或提供不符者不得分</w:t>
            </w:r>
            <w:r>
              <w:rPr>
                <w:rFonts w:hint="eastAsia" w:asciiTheme="majorEastAsia" w:hAnsiTheme="majorEastAsia" w:eastAsiaTheme="majorEastAsia" w:cstheme="majorEastAsia"/>
                <w:b/>
                <w:bCs/>
                <w:color w:val="181717" w:themeColor="background2" w:themeShade="1A"/>
                <w:sz w:val="21"/>
                <w:szCs w:val="21"/>
                <w:lang w:eastAsia="zh-CN"/>
              </w:rPr>
              <w:t>。</w:t>
            </w:r>
            <w:r>
              <w:rPr>
                <w:rFonts w:hint="eastAsia" w:asciiTheme="majorEastAsia" w:hAnsiTheme="majorEastAsia" w:eastAsiaTheme="majorEastAsia" w:cstheme="majorEastAsia"/>
                <w:b/>
                <w:bCs/>
                <w:color w:val="181717" w:themeColor="background2" w:themeShade="1A"/>
                <w:sz w:val="21"/>
                <w:szCs w:val="21"/>
              </w:rPr>
              <w:t>）</w:t>
            </w:r>
          </w:p>
        </w:tc>
        <w:tc>
          <w:tcPr>
            <w:tcW w:w="818" w:type="dxa"/>
            <w:shd w:val="clear" w:color="auto" w:fill="auto"/>
            <w:vAlign w:val="center"/>
          </w:tcPr>
          <w:p>
            <w:pPr>
              <w:widowControl/>
              <w:jc w:val="left"/>
              <w:rPr>
                <w:rFonts w:hint="eastAsia" w:asciiTheme="majorEastAsia" w:hAnsiTheme="majorEastAsia" w:eastAsiaTheme="majorEastAsia" w:cstheme="majorEastAsia"/>
                <w:kern w:val="0"/>
                <w:sz w:val="21"/>
                <w:szCs w:val="21"/>
                <w:shd w:val="clear" w:color="FFFFFF" w:fill="D9D9D9"/>
                <w:lang w:bidi="ar"/>
              </w:rPr>
            </w:pPr>
            <w:r>
              <w:rPr>
                <w:rFonts w:hint="eastAsia" w:asciiTheme="majorEastAsia" w:hAnsiTheme="majorEastAsia" w:eastAsiaTheme="majorEastAsia" w:cstheme="majorEastAsia"/>
                <w:kern w:val="0"/>
                <w:sz w:val="21"/>
                <w:szCs w:val="21"/>
                <w:lang w:bidi="ar"/>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1" w:hRule="atLeast"/>
        </w:trPr>
        <w:tc>
          <w:tcPr>
            <w:tcW w:w="1276" w:type="dxa"/>
            <w:vMerge w:val="continue"/>
            <w:shd w:val="clear" w:color="auto" w:fill="auto"/>
            <w:vAlign w:val="center"/>
          </w:tcPr>
          <w:p>
            <w:pPr>
              <w:widowControl/>
              <w:rPr>
                <w:rFonts w:hint="eastAsia" w:asciiTheme="majorEastAsia" w:hAnsiTheme="majorEastAsia" w:eastAsiaTheme="majorEastAsia" w:cstheme="majorEastAsia"/>
                <w:sz w:val="21"/>
                <w:szCs w:val="21"/>
              </w:rPr>
            </w:pPr>
          </w:p>
        </w:tc>
        <w:tc>
          <w:tcPr>
            <w:tcW w:w="8526" w:type="dxa"/>
            <w:shd w:val="clear" w:color="auto" w:fill="auto"/>
          </w:tcPr>
          <w:p>
            <w:pPr>
              <w:spacing w:line="400" w:lineRule="exact"/>
              <w:rPr>
                <w:rFonts w:hint="eastAsia" w:asciiTheme="majorEastAsia" w:hAnsiTheme="majorEastAsia" w:eastAsiaTheme="majorEastAsia" w:cstheme="majorEastAsia"/>
                <w:color w:val="181717" w:themeColor="background2" w:themeShade="1A"/>
                <w:sz w:val="21"/>
                <w:szCs w:val="21"/>
              </w:rPr>
            </w:pPr>
            <w:r>
              <w:rPr>
                <w:rFonts w:hint="eastAsia" w:asciiTheme="majorEastAsia" w:hAnsiTheme="majorEastAsia" w:eastAsiaTheme="majorEastAsia" w:cstheme="majorEastAsia"/>
                <w:color w:val="181717" w:themeColor="background2" w:themeShade="1A"/>
                <w:sz w:val="21"/>
                <w:szCs w:val="21"/>
                <w:lang w:val="en-US" w:eastAsia="zh-CN"/>
              </w:rPr>
              <w:t>5、</w:t>
            </w:r>
            <w:r>
              <w:rPr>
                <w:rFonts w:hint="eastAsia" w:asciiTheme="majorEastAsia" w:hAnsiTheme="majorEastAsia" w:eastAsiaTheme="majorEastAsia" w:cstheme="majorEastAsia"/>
                <w:color w:val="181717" w:themeColor="background2" w:themeShade="1A"/>
                <w:sz w:val="21"/>
                <w:szCs w:val="21"/>
              </w:rPr>
              <w:t>制造商的实力（ 10分）</w:t>
            </w:r>
          </w:p>
          <w:p>
            <w:pPr>
              <w:spacing w:line="400" w:lineRule="exact"/>
              <w:rPr>
                <w:rFonts w:hint="eastAsia" w:asciiTheme="majorEastAsia" w:hAnsiTheme="majorEastAsia" w:eastAsiaTheme="majorEastAsia" w:cstheme="majorEastAsia"/>
                <w:color w:val="181717" w:themeColor="background2" w:themeShade="1A"/>
                <w:sz w:val="21"/>
                <w:szCs w:val="21"/>
              </w:rPr>
            </w:pPr>
            <w:r>
              <w:rPr>
                <w:rFonts w:hint="eastAsia" w:asciiTheme="majorEastAsia" w:hAnsiTheme="majorEastAsia" w:eastAsiaTheme="majorEastAsia" w:cstheme="majorEastAsia"/>
                <w:color w:val="181717" w:themeColor="background2" w:themeShade="1A"/>
                <w:sz w:val="21"/>
                <w:szCs w:val="21"/>
              </w:rPr>
              <w:t>货物安全性能的保障及综合性要求：所有梯型满足招标文件要求基础上：</w:t>
            </w:r>
          </w:p>
          <w:p>
            <w:pPr>
              <w:numPr>
                <w:ilvl w:val="0"/>
                <w:numId w:val="5"/>
              </w:numPr>
              <w:spacing w:line="400" w:lineRule="exact"/>
              <w:rPr>
                <w:rFonts w:hint="eastAsia" w:asciiTheme="majorEastAsia" w:hAnsiTheme="majorEastAsia" w:eastAsiaTheme="majorEastAsia" w:cstheme="majorEastAsia"/>
                <w:color w:val="181717" w:themeColor="background2" w:themeShade="1A"/>
                <w:sz w:val="21"/>
                <w:szCs w:val="21"/>
              </w:rPr>
            </w:pPr>
            <w:r>
              <w:rPr>
                <w:rFonts w:hint="eastAsia" w:asciiTheme="majorEastAsia" w:hAnsiTheme="majorEastAsia" w:eastAsiaTheme="majorEastAsia" w:cstheme="majorEastAsia"/>
                <w:color w:val="181717" w:themeColor="background2" w:themeShade="1A"/>
                <w:sz w:val="21"/>
                <w:szCs w:val="21"/>
              </w:rPr>
              <w:t>电梯采用分段式PWM抱闸电源控制电路；（2）具有带语音识别的电梯轿厢控制装置；（3）具备检测电磁制动器的制动片磨损的检测装置；（4）电梯限速器钢丝绳的防晃装置；（5）电梯采用外转子电机转子；（6）具备制动器的电磁铁手动释放装置；（7）防止电梯开门状态轿厢意外移动的双向安全钳系统；（8）电梯轿架上反绳轮组支承装置；（9）电梯采用双推力电磁铁减震机构；（10）电梯采用斜极永磁电机封装结构。</w:t>
            </w:r>
          </w:p>
          <w:p>
            <w:pPr>
              <w:numPr>
                <w:ilvl w:val="0"/>
                <w:numId w:val="0"/>
              </w:numPr>
              <w:spacing w:line="400" w:lineRule="exact"/>
              <w:rPr>
                <w:rFonts w:hint="eastAsia" w:asciiTheme="majorEastAsia" w:hAnsiTheme="majorEastAsia" w:eastAsiaTheme="majorEastAsia" w:cstheme="majorEastAsia"/>
                <w:color w:val="181717" w:themeColor="background2" w:themeShade="1A"/>
                <w:sz w:val="21"/>
                <w:szCs w:val="21"/>
                <w:lang w:eastAsia="zh-CN"/>
              </w:rPr>
            </w:pPr>
            <w:r>
              <w:rPr>
                <w:rFonts w:hint="eastAsia" w:asciiTheme="majorEastAsia" w:hAnsiTheme="majorEastAsia" w:eastAsiaTheme="majorEastAsia" w:cstheme="majorEastAsia"/>
                <w:color w:val="181717" w:themeColor="background2" w:themeShade="1A"/>
                <w:sz w:val="21"/>
                <w:szCs w:val="21"/>
              </w:rPr>
              <w:t>符合</w:t>
            </w:r>
            <w:r>
              <w:rPr>
                <w:rFonts w:hint="eastAsia" w:asciiTheme="majorEastAsia" w:hAnsiTheme="majorEastAsia" w:eastAsiaTheme="majorEastAsia" w:cstheme="majorEastAsia"/>
                <w:color w:val="181717" w:themeColor="background2" w:themeShade="1A"/>
                <w:sz w:val="21"/>
                <w:szCs w:val="21"/>
                <w:lang w:eastAsia="zh-CN"/>
              </w:rPr>
              <w:t>共</w:t>
            </w:r>
            <w:r>
              <w:rPr>
                <w:rFonts w:hint="eastAsia" w:asciiTheme="majorEastAsia" w:hAnsiTheme="majorEastAsia" w:eastAsiaTheme="majorEastAsia" w:cstheme="majorEastAsia"/>
                <w:color w:val="181717" w:themeColor="background2" w:themeShade="1A"/>
                <w:sz w:val="21"/>
                <w:szCs w:val="21"/>
                <w:lang w:val="en-US" w:eastAsia="zh-CN"/>
              </w:rPr>
              <w:t>3项或</w:t>
            </w:r>
            <w:r>
              <w:rPr>
                <w:rFonts w:hint="eastAsia" w:asciiTheme="majorEastAsia" w:hAnsiTheme="majorEastAsia" w:eastAsiaTheme="majorEastAsia" w:cstheme="majorEastAsia"/>
                <w:color w:val="181717" w:themeColor="background2" w:themeShade="1A"/>
                <w:sz w:val="21"/>
                <w:szCs w:val="21"/>
              </w:rPr>
              <w:t>4项</w:t>
            </w:r>
            <w:r>
              <w:rPr>
                <w:rFonts w:hint="eastAsia" w:asciiTheme="majorEastAsia" w:hAnsiTheme="majorEastAsia" w:eastAsiaTheme="majorEastAsia" w:cstheme="majorEastAsia"/>
                <w:color w:val="181717" w:themeColor="background2" w:themeShade="1A"/>
                <w:sz w:val="21"/>
                <w:szCs w:val="21"/>
                <w:lang w:eastAsia="zh-CN"/>
              </w:rPr>
              <w:t>要求的</w:t>
            </w:r>
            <w:r>
              <w:rPr>
                <w:rFonts w:hint="eastAsia" w:asciiTheme="majorEastAsia" w:hAnsiTheme="majorEastAsia" w:eastAsiaTheme="majorEastAsia" w:cstheme="majorEastAsia"/>
                <w:color w:val="181717" w:themeColor="background2" w:themeShade="1A"/>
                <w:sz w:val="21"/>
                <w:szCs w:val="21"/>
              </w:rPr>
              <w:t>得6分</w:t>
            </w:r>
            <w:r>
              <w:rPr>
                <w:rFonts w:hint="eastAsia" w:asciiTheme="majorEastAsia" w:hAnsiTheme="majorEastAsia" w:eastAsiaTheme="majorEastAsia" w:cstheme="majorEastAsia"/>
                <w:color w:val="181717" w:themeColor="background2" w:themeShade="1A"/>
                <w:sz w:val="21"/>
                <w:szCs w:val="21"/>
                <w:lang w:eastAsia="zh-CN"/>
              </w:rPr>
              <w:t>；</w:t>
            </w:r>
            <w:r>
              <w:rPr>
                <w:rFonts w:hint="eastAsia" w:asciiTheme="majorEastAsia" w:hAnsiTheme="majorEastAsia" w:eastAsiaTheme="majorEastAsia" w:cstheme="majorEastAsia"/>
                <w:color w:val="181717" w:themeColor="background2" w:themeShade="1A"/>
                <w:sz w:val="21"/>
                <w:szCs w:val="21"/>
              </w:rPr>
              <w:t>符合</w:t>
            </w:r>
            <w:r>
              <w:rPr>
                <w:rFonts w:hint="eastAsia" w:asciiTheme="majorEastAsia" w:hAnsiTheme="majorEastAsia" w:eastAsiaTheme="majorEastAsia" w:cstheme="majorEastAsia"/>
                <w:color w:val="181717" w:themeColor="background2" w:themeShade="1A"/>
                <w:sz w:val="21"/>
                <w:szCs w:val="21"/>
                <w:lang w:eastAsia="zh-CN"/>
              </w:rPr>
              <w:t>共</w:t>
            </w:r>
            <w:r>
              <w:rPr>
                <w:rFonts w:hint="eastAsia" w:asciiTheme="majorEastAsia" w:hAnsiTheme="majorEastAsia" w:eastAsiaTheme="majorEastAsia" w:cstheme="majorEastAsia"/>
                <w:color w:val="181717" w:themeColor="background2" w:themeShade="1A"/>
                <w:sz w:val="21"/>
                <w:szCs w:val="21"/>
                <w:lang w:val="en-US" w:eastAsia="zh-CN"/>
              </w:rPr>
              <w:t>5项或</w:t>
            </w:r>
            <w:r>
              <w:rPr>
                <w:rFonts w:hint="eastAsia" w:asciiTheme="majorEastAsia" w:hAnsiTheme="majorEastAsia" w:eastAsiaTheme="majorEastAsia" w:cstheme="majorEastAsia"/>
                <w:color w:val="181717" w:themeColor="background2" w:themeShade="1A"/>
                <w:sz w:val="21"/>
                <w:szCs w:val="21"/>
              </w:rPr>
              <w:t>6项</w:t>
            </w:r>
            <w:r>
              <w:rPr>
                <w:rFonts w:hint="eastAsia" w:asciiTheme="majorEastAsia" w:hAnsiTheme="majorEastAsia" w:eastAsiaTheme="majorEastAsia" w:cstheme="majorEastAsia"/>
                <w:color w:val="181717" w:themeColor="background2" w:themeShade="1A"/>
                <w:sz w:val="21"/>
                <w:szCs w:val="21"/>
                <w:lang w:eastAsia="zh-CN"/>
              </w:rPr>
              <w:t>要求的</w:t>
            </w:r>
            <w:r>
              <w:rPr>
                <w:rFonts w:hint="eastAsia" w:asciiTheme="majorEastAsia" w:hAnsiTheme="majorEastAsia" w:eastAsiaTheme="majorEastAsia" w:cstheme="majorEastAsia"/>
                <w:color w:val="181717" w:themeColor="background2" w:themeShade="1A"/>
                <w:sz w:val="21"/>
                <w:szCs w:val="21"/>
              </w:rPr>
              <w:t>得8分</w:t>
            </w:r>
            <w:r>
              <w:rPr>
                <w:rFonts w:hint="eastAsia" w:asciiTheme="majorEastAsia" w:hAnsiTheme="majorEastAsia" w:eastAsiaTheme="majorEastAsia" w:cstheme="majorEastAsia"/>
                <w:color w:val="181717" w:themeColor="background2" w:themeShade="1A"/>
                <w:sz w:val="21"/>
                <w:szCs w:val="21"/>
                <w:lang w:eastAsia="zh-CN"/>
              </w:rPr>
              <w:t>；</w:t>
            </w:r>
            <w:r>
              <w:rPr>
                <w:rFonts w:hint="eastAsia" w:asciiTheme="majorEastAsia" w:hAnsiTheme="majorEastAsia" w:eastAsiaTheme="majorEastAsia" w:cstheme="majorEastAsia"/>
                <w:color w:val="000000" w:themeColor="text1"/>
                <w:sz w:val="21"/>
                <w:szCs w:val="21"/>
                <w14:textFill>
                  <w14:solidFill>
                    <w14:schemeClr w14:val="tx1"/>
                  </w14:solidFill>
                </w14:textFill>
              </w:rPr>
              <w:t>符合</w:t>
            </w:r>
            <w:r>
              <w:rPr>
                <w:rFonts w:hint="eastAsia" w:asciiTheme="majorEastAsia" w:hAnsiTheme="majorEastAsia" w:eastAsiaTheme="majorEastAsia" w:cstheme="majorEastAsia"/>
                <w:color w:val="181717" w:themeColor="background2" w:themeShade="1A"/>
                <w:sz w:val="21"/>
                <w:szCs w:val="21"/>
                <w:lang w:eastAsia="zh-CN"/>
              </w:rPr>
              <w:t>共</w:t>
            </w:r>
            <w:r>
              <w:rPr>
                <w:rFonts w:hint="eastAsia" w:asciiTheme="majorEastAsia" w:hAnsiTheme="majorEastAsia" w:eastAsiaTheme="majorEastAsia" w:cstheme="majorEastAsia"/>
                <w:color w:val="000000" w:themeColor="text1"/>
                <w:sz w:val="21"/>
                <w:szCs w:val="21"/>
                <w14:textFill>
                  <w14:solidFill>
                    <w14:schemeClr w14:val="tx1"/>
                  </w14:solidFill>
                </w14:textFill>
              </w:rPr>
              <w:t>7项以上（含7项）</w:t>
            </w:r>
            <w:r>
              <w:rPr>
                <w:rFonts w:hint="eastAsia" w:asciiTheme="majorEastAsia" w:hAnsiTheme="majorEastAsia" w:eastAsiaTheme="majorEastAsia" w:cstheme="majorEastAsia"/>
                <w:color w:val="000000" w:themeColor="text1"/>
                <w:sz w:val="21"/>
                <w:szCs w:val="21"/>
                <w:lang w:eastAsia="zh-CN"/>
                <w14:textFill>
                  <w14:solidFill>
                    <w14:schemeClr w14:val="tx1"/>
                  </w14:solidFill>
                </w14:textFill>
              </w:rPr>
              <w:t>要求的</w:t>
            </w:r>
            <w:r>
              <w:rPr>
                <w:rFonts w:hint="eastAsia" w:asciiTheme="majorEastAsia" w:hAnsiTheme="majorEastAsia" w:eastAsiaTheme="majorEastAsia" w:cstheme="majorEastAsia"/>
                <w:color w:val="000000" w:themeColor="text1"/>
                <w:sz w:val="21"/>
                <w:szCs w:val="21"/>
                <w14:textFill>
                  <w14:solidFill>
                    <w14:schemeClr w14:val="tx1"/>
                  </w14:solidFill>
                </w14:textFill>
              </w:rPr>
              <w:t>得10分</w:t>
            </w:r>
            <w:r>
              <w:rPr>
                <w:rFonts w:hint="eastAsia" w:asciiTheme="majorEastAsia" w:hAnsiTheme="majorEastAsia" w:eastAsiaTheme="majorEastAsia" w:cstheme="majorEastAsia"/>
                <w:color w:val="000000" w:themeColor="text1"/>
                <w:sz w:val="21"/>
                <w:szCs w:val="21"/>
                <w:lang w:eastAsia="zh-CN"/>
                <w14:textFill>
                  <w14:solidFill>
                    <w14:schemeClr w14:val="tx1"/>
                  </w14:solidFill>
                </w14:textFill>
              </w:rPr>
              <w:t>；</w:t>
            </w:r>
            <w:r>
              <w:rPr>
                <w:rFonts w:hint="eastAsia" w:asciiTheme="majorEastAsia" w:hAnsiTheme="majorEastAsia" w:eastAsiaTheme="majorEastAsia" w:cstheme="majorEastAsia"/>
                <w:color w:val="000000" w:themeColor="text1"/>
                <w:sz w:val="21"/>
                <w:szCs w:val="21"/>
                <w14:textFill>
                  <w14:solidFill>
                    <w14:schemeClr w14:val="tx1"/>
                  </w14:solidFill>
                </w14:textFill>
              </w:rPr>
              <w:t>其余情况不得分</w:t>
            </w:r>
            <w:r>
              <w:rPr>
                <w:rFonts w:hint="eastAsia" w:asciiTheme="majorEastAsia" w:hAnsiTheme="majorEastAsia" w:eastAsiaTheme="majorEastAsia" w:cstheme="majorEastAsia"/>
                <w:color w:val="000000" w:themeColor="text1"/>
                <w:sz w:val="21"/>
                <w:szCs w:val="21"/>
                <w:lang w:eastAsia="zh-CN"/>
                <w14:textFill>
                  <w14:solidFill>
                    <w14:schemeClr w14:val="tx1"/>
                  </w14:solidFill>
                </w14:textFill>
              </w:rPr>
              <w:t>。</w:t>
            </w:r>
          </w:p>
          <w:p>
            <w:pPr>
              <w:widowControl/>
              <w:jc w:val="left"/>
              <w:rPr>
                <w:rFonts w:hint="eastAsia" w:asciiTheme="majorEastAsia" w:hAnsiTheme="majorEastAsia" w:eastAsiaTheme="majorEastAsia" w:cstheme="majorEastAsia"/>
                <w:b/>
                <w:bCs/>
                <w:color w:val="181717" w:themeColor="background2" w:themeShade="1A"/>
                <w:sz w:val="21"/>
                <w:szCs w:val="21"/>
              </w:rPr>
            </w:pPr>
            <w:r>
              <w:rPr>
                <w:rFonts w:hint="eastAsia" w:asciiTheme="majorEastAsia" w:hAnsiTheme="majorEastAsia" w:eastAsiaTheme="majorEastAsia" w:cstheme="majorEastAsia"/>
                <w:b/>
                <w:bCs/>
                <w:color w:val="181717" w:themeColor="background2" w:themeShade="1A"/>
                <w:sz w:val="21"/>
                <w:szCs w:val="21"/>
              </w:rPr>
              <w:t>(评审依据：投标文件中提供加盖制造商公章的型式实验报告复印或提供国家机构颁发的证明材料复印件,未提供或提供无效者不得分</w:t>
            </w:r>
            <w:r>
              <w:rPr>
                <w:rFonts w:hint="eastAsia" w:asciiTheme="majorEastAsia" w:hAnsiTheme="majorEastAsia" w:eastAsiaTheme="majorEastAsia" w:cstheme="majorEastAsia"/>
                <w:b/>
                <w:bCs/>
                <w:color w:val="181717" w:themeColor="background2" w:themeShade="1A"/>
                <w:sz w:val="21"/>
                <w:szCs w:val="21"/>
                <w:lang w:eastAsia="zh-CN"/>
              </w:rPr>
              <w:t>。</w:t>
            </w:r>
            <w:r>
              <w:rPr>
                <w:rFonts w:hint="eastAsia" w:asciiTheme="majorEastAsia" w:hAnsiTheme="majorEastAsia" w:eastAsiaTheme="majorEastAsia" w:cstheme="majorEastAsia"/>
                <w:b/>
                <w:bCs/>
                <w:color w:val="181717" w:themeColor="background2" w:themeShade="1A"/>
                <w:sz w:val="21"/>
                <w:szCs w:val="21"/>
              </w:rPr>
              <w:t>)</w:t>
            </w:r>
          </w:p>
        </w:tc>
        <w:tc>
          <w:tcPr>
            <w:tcW w:w="818" w:type="dxa"/>
            <w:shd w:val="clear" w:color="auto" w:fill="auto"/>
            <w:vAlign w:val="center"/>
          </w:tcPr>
          <w:p>
            <w:pPr>
              <w:widowControl/>
              <w:jc w:val="left"/>
              <w:rPr>
                <w:rFonts w:hint="eastAsia" w:asciiTheme="majorEastAsia" w:hAnsiTheme="majorEastAsia" w:eastAsiaTheme="majorEastAsia" w:cstheme="majorEastAsia"/>
                <w:kern w:val="0"/>
                <w:sz w:val="21"/>
                <w:szCs w:val="21"/>
                <w:shd w:val="clear" w:color="FFFFFF" w:fill="D9D9D9"/>
                <w:lang w:bidi="ar"/>
              </w:rPr>
            </w:pPr>
            <w:r>
              <w:rPr>
                <w:rFonts w:hint="eastAsia" w:asciiTheme="majorEastAsia" w:hAnsiTheme="majorEastAsia" w:eastAsiaTheme="majorEastAsia" w:cstheme="majorEastAsia"/>
                <w:kern w:val="0"/>
                <w:sz w:val="21"/>
                <w:szCs w:val="21"/>
                <w:lang w:bidi="ar"/>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trPr>
        <w:tc>
          <w:tcPr>
            <w:tcW w:w="1276" w:type="dxa"/>
            <w:vMerge w:val="continue"/>
            <w:shd w:val="clear" w:color="auto" w:fill="auto"/>
            <w:vAlign w:val="center"/>
          </w:tcPr>
          <w:p>
            <w:pPr>
              <w:widowControl/>
              <w:rPr>
                <w:rFonts w:hint="eastAsia" w:asciiTheme="majorEastAsia" w:hAnsiTheme="majorEastAsia" w:eastAsiaTheme="majorEastAsia" w:cstheme="majorEastAsia"/>
                <w:sz w:val="21"/>
                <w:szCs w:val="21"/>
              </w:rPr>
            </w:pPr>
          </w:p>
        </w:tc>
        <w:tc>
          <w:tcPr>
            <w:tcW w:w="8526" w:type="dxa"/>
            <w:shd w:val="clear" w:color="auto" w:fill="auto"/>
          </w:tcPr>
          <w:p>
            <w:pPr>
              <w:widowControl/>
              <w:jc w:val="left"/>
              <w:rPr>
                <w:rFonts w:hint="eastAsia" w:asciiTheme="majorEastAsia" w:hAnsiTheme="majorEastAsia" w:eastAsiaTheme="majorEastAsia" w:cstheme="majorEastAsia"/>
                <w:color w:val="181717" w:themeColor="background2" w:themeShade="1A"/>
                <w:sz w:val="21"/>
                <w:szCs w:val="21"/>
              </w:rPr>
            </w:pPr>
            <w:r>
              <w:rPr>
                <w:rFonts w:hint="eastAsia" w:asciiTheme="majorEastAsia" w:hAnsiTheme="majorEastAsia" w:eastAsiaTheme="majorEastAsia" w:cstheme="majorEastAsia"/>
                <w:color w:val="181717" w:themeColor="background2" w:themeShade="1A"/>
                <w:kern w:val="0"/>
                <w:sz w:val="21"/>
                <w:szCs w:val="21"/>
                <w:lang w:val="en-US" w:eastAsia="zh-CN" w:bidi="ar"/>
              </w:rPr>
              <w:t>6、</w:t>
            </w:r>
            <w:r>
              <w:rPr>
                <w:rFonts w:hint="eastAsia" w:asciiTheme="majorEastAsia" w:hAnsiTheme="majorEastAsia" w:eastAsiaTheme="majorEastAsia" w:cstheme="majorEastAsia"/>
                <w:color w:val="181717" w:themeColor="background2" w:themeShade="1A"/>
                <w:kern w:val="0"/>
                <w:sz w:val="21"/>
                <w:szCs w:val="21"/>
                <w:lang w:bidi="ar"/>
              </w:rPr>
              <w:t>所投货物制造商认证证书及节能产品认定（10分）</w:t>
            </w:r>
          </w:p>
          <w:p>
            <w:pPr>
              <w:widowControl/>
              <w:jc w:val="left"/>
              <w:rPr>
                <w:rFonts w:hint="eastAsia" w:asciiTheme="majorEastAsia" w:hAnsiTheme="majorEastAsia" w:eastAsiaTheme="majorEastAsia" w:cstheme="majorEastAsia"/>
                <w:color w:val="181717" w:themeColor="background2" w:themeShade="1A"/>
                <w:sz w:val="21"/>
                <w:szCs w:val="21"/>
              </w:rPr>
            </w:pPr>
            <w:r>
              <w:rPr>
                <w:rFonts w:hint="eastAsia" w:asciiTheme="majorEastAsia" w:hAnsiTheme="majorEastAsia" w:eastAsiaTheme="majorEastAsia" w:cstheme="majorEastAsia"/>
                <w:color w:val="181717" w:themeColor="background2" w:themeShade="1A"/>
                <w:kern w:val="0"/>
                <w:sz w:val="21"/>
                <w:szCs w:val="21"/>
                <w:lang w:bidi="ar"/>
              </w:rPr>
              <w:t>所投电梯品牌制造商在国内工厂具备以下证书：</w:t>
            </w:r>
          </w:p>
          <w:p>
            <w:pPr>
              <w:widowControl/>
              <w:jc w:val="left"/>
              <w:rPr>
                <w:rFonts w:hint="eastAsia" w:asciiTheme="majorEastAsia" w:hAnsiTheme="majorEastAsia" w:eastAsiaTheme="majorEastAsia" w:cstheme="majorEastAsia"/>
                <w:color w:val="181717" w:themeColor="background2" w:themeShade="1A"/>
                <w:sz w:val="21"/>
                <w:szCs w:val="21"/>
                <w:lang w:eastAsia="zh-CN"/>
              </w:rPr>
            </w:pPr>
            <w:r>
              <w:rPr>
                <w:rFonts w:hint="eastAsia" w:asciiTheme="majorEastAsia" w:hAnsiTheme="majorEastAsia" w:eastAsiaTheme="majorEastAsia" w:cstheme="majorEastAsia"/>
                <w:color w:val="181717" w:themeColor="background2" w:themeShade="1A"/>
                <w:kern w:val="0"/>
                <w:sz w:val="21"/>
                <w:szCs w:val="21"/>
                <w:lang w:bidi="ar"/>
              </w:rPr>
              <w:t>（1）国家级电梯产品检测、校准实验室并取得中国合格评定国家认可委员会（CNAS)颁发的认证证书</w:t>
            </w:r>
            <w:r>
              <w:rPr>
                <w:rFonts w:hint="eastAsia" w:asciiTheme="majorEastAsia" w:hAnsiTheme="majorEastAsia" w:eastAsiaTheme="majorEastAsia" w:cstheme="majorEastAsia"/>
                <w:color w:val="181717" w:themeColor="background2" w:themeShade="1A"/>
                <w:kern w:val="0"/>
                <w:sz w:val="21"/>
                <w:szCs w:val="21"/>
                <w:lang w:eastAsia="zh-CN" w:bidi="ar"/>
              </w:rPr>
              <w:t>；</w:t>
            </w:r>
          </w:p>
          <w:p>
            <w:pPr>
              <w:widowControl/>
              <w:jc w:val="left"/>
              <w:rPr>
                <w:rFonts w:hint="eastAsia" w:asciiTheme="majorEastAsia" w:hAnsiTheme="majorEastAsia" w:eastAsiaTheme="majorEastAsia" w:cstheme="majorEastAsia"/>
                <w:color w:val="181717" w:themeColor="background2" w:themeShade="1A"/>
                <w:sz w:val="21"/>
                <w:szCs w:val="21"/>
                <w:lang w:eastAsia="zh-CN"/>
              </w:rPr>
            </w:pPr>
            <w:r>
              <w:rPr>
                <w:rFonts w:hint="eastAsia" w:asciiTheme="majorEastAsia" w:hAnsiTheme="majorEastAsia" w:eastAsiaTheme="majorEastAsia" w:cstheme="majorEastAsia"/>
                <w:color w:val="181717" w:themeColor="background2" w:themeShade="1A"/>
                <w:kern w:val="0"/>
                <w:sz w:val="21"/>
                <w:szCs w:val="21"/>
                <w:lang w:bidi="ar"/>
              </w:rPr>
              <w:t>（2）所投电梯能源效率等级为1级或电梯能效检测TUV认证为A类</w:t>
            </w:r>
            <w:r>
              <w:rPr>
                <w:rFonts w:hint="eastAsia" w:asciiTheme="majorEastAsia" w:hAnsiTheme="majorEastAsia" w:eastAsiaTheme="majorEastAsia" w:cstheme="majorEastAsia"/>
                <w:color w:val="181717" w:themeColor="background2" w:themeShade="1A"/>
                <w:kern w:val="0"/>
                <w:sz w:val="21"/>
                <w:szCs w:val="21"/>
                <w:lang w:eastAsia="zh-CN" w:bidi="ar"/>
              </w:rPr>
              <w:t>；</w:t>
            </w:r>
          </w:p>
          <w:p>
            <w:pPr>
              <w:widowControl/>
              <w:jc w:val="left"/>
              <w:rPr>
                <w:rFonts w:hint="eastAsia" w:asciiTheme="majorEastAsia" w:hAnsiTheme="majorEastAsia" w:eastAsiaTheme="majorEastAsia" w:cstheme="majorEastAsia"/>
                <w:color w:val="181717" w:themeColor="background2" w:themeShade="1A"/>
                <w:kern w:val="0"/>
                <w:sz w:val="21"/>
                <w:szCs w:val="21"/>
                <w:lang w:eastAsia="zh-CN" w:bidi="ar"/>
              </w:rPr>
            </w:pPr>
            <w:r>
              <w:rPr>
                <w:rFonts w:hint="eastAsia" w:asciiTheme="majorEastAsia" w:hAnsiTheme="majorEastAsia" w:eastAsiaTheme="majorEastAsia" w:cstheme="majorEastAsia"/>
                <w:color w:val="181717" w:themeColor="background2" w:themeShade="1A"/>
                <w:kern w:val="0"/>
                <w:sz w:val="21"/>
                <w:szCs w:val="21"/>
                <w:lang w:bidi="ar"/>
              </w:rPr>
              <w:t>（3）所投产品制造商直属机构获得过纳税信用A级纳税人资格证明</w:t>
            </w:r>
            <w:r>
              <w:rPr>
                <w:rFonts w:hint="eastAsia" w:asciiTheme="majorEastAsia" w:hAnsiTheme="majorEastAsia" w:eastAsiaTheme="majorEastAsia" w:cstheme="majorEastAsia"/>
                <w:color w:val="181717" w:themeColor="background2" w:themeShade="1A"/>
                <w:kern w:val="0"/>
                <w:sz w:val="21"/>
                <w:szCs w:val="21"/>
                <w:lang w:eastAsia="zh-CN" w:bidi="ar"/>
              </w:rPr>
              <w:t>；</w:t>
            </w:r>
          </w:p>
          <w:p>
            <w:pPr>
              <w:widowControl/>
              <w:jc w:val="left"/>
              <w:rPr>
                <w:rFonts w:hint="eastAsia" w:asciiTheme="majorEastAsia" w:hAnsiTheme="majorEastAsia" w:eastAsiaTheme="majorEastAsia" w:cstheme="majorEastAsia"/>
                <w:color w:val="181717" w:themeColor="background2" w:themeShade="1A"/>
                <w:kern w:val="0"/>
                <w:sz w:val="21"/>
                <w:szCs w:val="21"/>
                <w:lang w:eastAsia="zh-CN" w:bidi="ar"/>
              </w:rPr>
            </w:pPr>
            <w:r>
              <w:rPr>
                <w:rFonts w:hint="eastAsia" w:asciiTheme="majorEastAsia" w:hAnsiTheme="majorEastAsia" w:eastAsiaTheme="majorEastAsia" w:cstheme="majorEastAsia"/>
                <w:color w:val="181717" w:themeColor="background2" w:themeShade="1A"/>
                <w:kern w:val="0"/>
                <w:sz w:val="21"/>
                <w:szCs w:val="21"/>
                <w:lang w:bidi="ar"/>
              </w:rPr>
              <w:t>（4）所投产品有效期内的AAA级企业信用等级证书</w:t>
            </w:r>
            <w:r>
              <w:rPr>
                <w:rFonts w:hint="eastAsia" w:asciiTheme="majorEastAsia" w:hAnsiTheme="majorEastAsia" w:eastAsiaTheme="majorEastAsia" w:cstheme="majorEastAsia"/>
                <w:color w:val="181717" w:themeColor="background2" w:themeShade="1A"/>
                <w:kern w:val="0"/>
                <w:sz w:val="21"/>
                <w:szCs w:val="21"/>
                <w:lang w:eastAsia="zh-CN" w:bidi="ar"/>
              </w:rPr>
              <w:t>；</w:t>
            </w:r>
          </w:p>
          <w:p>
            <w:pPr>
              <w:widowControl/>
              <w:jc w:val="left"/>
              <w:rPr>
                <w:rFonts w:hint="eastAsia" w:asciiTheme="majorEastAsia" w:hAnsiTheme="majorEastAsia" w:eastAsiaTheme="majorEastAsia" w:cstheme="majorEastAsia"/>
                <w:color w:val="181717" w:themeColor="background2" w:themeShade="1A"/>
                <w:kern w:val="0"/>
                <w:sz w:val="21"/>
                <w:szCs w:val="21"/>
                <w:lang w:bidi="ar"/>
              </w:rPr>
            </w:pPr>
            <w:r>
              <w:rPr>
                <w:rFonts w:hint="eastAsia" w:asciiTheme="majorEastAsia" w:hAnsiTheme="majorEastAsia" w:eastAsiaTheme="majorEastAsia" w:cstheme="majorEastAsia"/>
                <w:color w:val="181717" w:themeColor="background2" w:themeShade="1A"/>
                <w:kern w:val="0"/>
                <w:sz w:val="21"/>
                <w:szCs w:val="21"/>
                <w:lang w:bidi="ar"/>
              </w:rPr>
              <w:t>（5）所投产品制造商获得过国家级守合同重信用证书。</w:t>
            </w:r>
          </w:p>
          <w:p>
            <w:pPr>
              <w:widowControl/>
              <w:jc w:val="left"/>
              <w:rPr>
                <w:rFonts w:hint="eastAsia" w:asciiTheme="majorEastAsia" w:hAnsiTheme="majorEastAsia" w:eastAsiaTheme="majorEastAsia" w:cstheme="majorEastAsia"/>
                <w:color w:val="181717" w:themeColor="background2" w:themeShade="1A"/>
                <w:sz w:val="21"/>
                <w:szCs w:val="21"/>
              </w:rPr>
            </w:pPr>
            <w:r>
              <w:rPr>
                <w:rFonts w:hint="eastAsia" w:asciiTheme="majorEastAsia" w:hAnsiTheme="majorEastAsia" w:eastAsiaTheme="majorEastAsia" w:cstheme="majorEastAsia"/>
                <w:color w:val="181717" w:themeColor="background2" w:themeShade="1A"/>
                <w:kern w:val="0"/>
                <w:sz w:val="21"/>
                <w:szCs w:val="21"/>
                <w:lang w:bidi="ar"/>
              </w:rPr>
              <w:t>（以上证书，每具备一个得2分，最高得10分。）</w:t>
            </w:r>
          </w:p>
          <w:p>
            <w:pPr>
              <w:widowControl/>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b/>
                <w:bCs/>
                <w:color w:val="181717" w:themeColor="background2" w:themeShade="1A"/>
                <w:kern w:val="0"/>
                <w:sz w:val="21"/>
                <w:szCs w:val="21"/>
                <w:lang w:bidi="ar"/>
              </w:rPr>
              <w:t>（评审依据：投标文件中提供加盖制造商公章的以上认证证书、报告复印件，未提供、缺项或提供无效者不得分。）</w:t>
            </w:r>
          </w:p>
        </w:tc>
        <w:tc>
          <w:tcPr>
            <w:tcW w:w="818" w:type="dxa"/>
            <w:shd w:val="clear" w:color="auto" w:fill="auto"/>
            <w:vAlign w:val="center"/>
          </w:tcPr>
          <w:p>
            <w:pPr>
              <w:widowControl/>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color w:val="181717" w:themeColor="background2" w:themeShade="1A"/>
                <w:kern w:val="0"/>
                <w:sz w:val="21"/>
                <w:szCs w:val="21"/>
                <w:lang w:bidi="ar"/>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8" w:hRule="atLeast"/>
        </w:trPr>
        <w:tc>
          <w:tcPr>
            <w:tcW w:w="1276" w:type="dxa"/>
            <w:vMerge w:val="continue"/>
            <w:shd w:val="clear" w:color="auto" w:fill="auto"/>
            <w:vAlign w:val="center"/>
          </w:tcPr>
          <w:p>
            <w:pPr>
              <w:widowControl/>
              <w:rPr>
                <w:rFonts w:hint="eastAsia" w:asciiTheme="majorEastAsia" w:hAnsiTheme="majorEastAsia" w:eastAsiaTheme="majorEastAsia" w:cstheme="majorEastAsia"/>
                <w:sz w:val="21"/>
                <w:szCs w:val="21"/>
              </w:rPr>
            </w:pPr>
          </w:p>
        </w:tc>
        <w:tc>
          <w:tcPr>
            <w:tcW w:w="8526" w:type="dxa"/>
            <w:shd w:val="clear" w:color="auto" w:fill="auto"/>
          </w:tcPr>
          <w:p>
            <w:pPr>
              <w:widowControl/>
              <w:jc w:val="left"/>
              <w:rPr>
                <w:rFonts w:hint="eastAsia" w:asciiTheme="majorEastAsia" w:hAnsiTheme="majorEastAsia" w:eastAsiaTheme="majorEastAsia" w:cstheme="majorEastAsia"/>
                <w:color w:val="181717" w:themeColor="background2" w:themeShade="1A"/>
                <w:kern w:val="0"/>
                <w:sz w:val="21"/>
                <w:szCs w:val="21"/>
                <w:lang w:bidi="ar"/>
              </w:rPr>
            </w:pPr>
            <w:r>
              <w:rPr>
                <w:rFonts w:hint="eastAsia" w:asciiTheme="majorEastAsia" w:hAnsiTheme="majorEastAsia" w:eastAsiaTheme="majorEastAsia" w:cstheme="majorEastAsia"/>
                <w:color w:val="181717" w:themeColor="background2" w:themeShade="1A"/>
                <w:kern w:val="0"/>
                <w:sz w:val="21"/>
                <w:szCs w:val="21"/>
                <w:lang w:val="en-US" w:eastAsia="zh-CN" w:bidi="ar"/>
              </w:rPr>
              <w:t>7、</w:t>
            </w:r>
            <w:r>
              <w:rPr>
                <w:rFonts w:hint="eastAsia" w:asciiTheme="majorEastAsia" w:hAnsiTheme="majorEastAsia" w:eastAsiaTheme="majorEastAsia" w:cstheme="majorEastAsia"/>
                <w:color w:val="181717" w:themeColor="background2" w:themeShade="1A"/>
                <w:kern w:val="0"/>
                <w:sz w:val="21"/>
                <w:szCs w:val="21"/>
                <w:lang w:bidi="ar"/>
              </w:rPr>
              <w:t>所投产品安全性能的保障（8分）</w:t>
            </w:r>
          </w:p>
          <w:p>
            <w:pPr>
              <w:widowControl/>
              <w:numPr>
                <w:ilvl w:val="0"/>
                <w:numId w:val="6"/>
              </w:numPr>
              <w:jc w:val="left"/>
              <w:rPr>
                <w:rFonts w:hint="eastAsia" w:asciiTheme="majorEastAsia" w:hAnsiTheme="majorEastAsia" w:eastAsiaTheme="majorEastAsia" w:cstheme="majorEastAsia"/>
                <w:color w:val="181717" w:themeColor="background2" w:themeShade="1A"/>
                <w:kern w:val="0"/>
                <w:sz w:val="21"/>
                <w:szCs w:val="21"/>
                <w:lang w:bidi="ar"/>
              </w:rPr>
            </w:pPr>
            <w:r>
              <w:rPr>
                <w:rFonts w:hint="eastAsia" w:asciiTheme="majorEastAsia" w:hAnsiTheme="majorEastAsia" w:eastAsiaTheme="majorEastAsia" w:cstheme="majorEastAsia"/>
                <w:color w:val="181717" w:themeColor="background2" w:themeShade="1A"/>
                <w:kern w:val="0"/>
                <w:sz w:val="21"/>
                <w:szCs w:val="21"/>
                <w:lang w:bidi="ar"/>
              </w:rPr>
              <w:t>所投产品具有进口的空气净化除菌装置（制造商参与研发制造）</w:t>
            </w:r>
            <w:r>
              <w:rPr>
                <w:rFonts w:hint="eastAsia" w:asciiTheme="majorEastAsia" w:hAnsiTheme="majorEastAsia" w:eastAsiaTheme="majorEastAsia" w:cstheme="majorEastAsia"/>
                <w:color w:val="181717" w:themeColor="background2" w:themeShade="1A"/>
                <w:kern w:val="0"/>
                <w:sz w:val="21"/>
                <w:szCs w:val="21"/>
                <w:lang w:eastAsia="zh-CN" w:bidi="ar"/>
              </w:rPr>
              <w:t>；</w:t>
            </w:r>
          </w:p>
          <w:p>
            <w:pPr>
              <w:widowControl/>
              <w:numPr>
                <w:ilvl w:val="0"/>
                <w:numId w:val="6"/>
              </w:numPr>
              <w:jc w:val="left"/>
              <w:rPr>
                <w:rFonts w:hint="eastAsia" w:asciiTheme="majorEastAsia" w:hAnsiTheme="majorEastAsia" w:eastAsiaTheme="majorEastAsia" w:cstheme="majorEastAsia"/>
                <w:color w:val="181717" w:themeColor="background2" w:themeShade="1A"/>
                <w:kern w:val="0"/>
                <w:sz w:val="21"/>
                <w:szCs w:val="21"/>
                <w:lang w:bidi="ar"/>
              </w:rPr>
            </w:pPr>
            <w:r>
              <w:rPr>
                <w:rFonts w:hint="eastAsia" w:asciiTheme="majorEastAsia" w:hAnsiTheme="majorEastAsia" w:eastAsiaTheme="majorEastAsia" w:cstheme="majorEastAsia"/>
                <w:color w:val="181717" w:themeColor="background2" w:themeShade="1A"/>
                <w:kern w:val="0"/>
                <w:sz w:val="21"/>
                <w:szCs w:val="21"/>
                <w:lang w:bidi="ar"/>
              </w:rPr>
              <w:t>所投产品具有闲暇时自动检测功能（在无人乘梯的时候实现自我检查和预防性维护）；</w:t>
            </w:r>
          </w:p>
          <w:p>
            <w:pPr>
              <w:widowControl/>
              <w:numPr>
                <w:ilvl w:val="0"/>
                <w:numId w:val="6"/>
              </w:numPr>
              <w:jc w:val="left"/>
              <w:rPr>
                <w:rFonts w:hint="eastAsia" w:asciiTheme="majorEastAsia" w:hAnsiTheme="majorEastAsia" w:eastAsiaTheme="majorEastAsia" w:cstheme="majorEastAsia"/>
                <w:color w:val="181717" w:themeColor="background2" w:themeShade="1A"/>
                <w:kern w:val="0"/>
                <w:sz w:val="21"/>
                <w:szCs w:val="21"/>
                <w:lang w:bidi="ar"/>
              </w:rPr>
            </w:pPr>
            <w:r>
              <w:rPr>
                <w:rFonts w:hint="eastAsia" w:asciiTheme="majorEastAsia" w:hAnsiTheme="majorEastAsia" w:eastAsiaTheme="majorEastAsia" w:cstheme="majorEastAsia"/>
                <w:color w:val="181717" w:themeColor="background2" w:themeShade="1A"/>
                <w:kern w:val="0"/>
                <w:sz w:val="21"/>
                <w:szCs w:val="21"/>
                <w:lang w:bidi="ar"/>
              </w:rPr>
              <w:t>具备电梯厅门防脱安全设备装置</w:t>
            </w:r>
            <w:r>
              <w:rPr>
                <w:rFonts w:hint="eastAsia" w:asciiTheme="majorEastAsia" w:hAnsiTheme="majorEastAsia" w:eastAsiaTheme="majorEastAsia" w:cstheme="majorEastAsia"/>
                <w:color w:val="181717" w:themeColor="background2" w:themeShade="1A"/>
                <w:kern w:val="0"/>
                <w:sz w:val="21"/>
                <w:szCs w:val="21"/>
                <w:lang w:eastAsia="zh-CN" w:bidi="ar"/>
              </w:rPr>
              <w:t>；</w:t>
            </w:r>
          </w:p>
          <w:p>
            <w:pPr>
              <w:widowControl/>
              <w:numPr>
                <w:ilvl w:val="0"/>
                <w:numId w:val="6"/>
              </w:numPr>
              <w:jc w:val="left"/>
              <w:rPr>
                <w:rFonts w:hint="eastAsia" w:asciiTheme="majorEastAsia" w:hAnsiTheme="majorEastAsia" w:eastAsiaTheme="majorEastAsia" w:cstheme="majorEastAsia"/>
                <w:color w:val="181717" w:themeColor="background2" w:themeShade="1A"/>
                <w:kern w:val="0"/>
                <w:sz w:val="21"/>
                <w:szCs w:val="21"/>
                <w:lang w:bidi="ar"/>
              </w:rPr>
            </w:pPr>
            <w:r>
              <w:rPr>
                <w:rFonts w:hint="eastAsia" w:asciiTheme="majorEastAsia" w:hAnsiTheme="majorEastAsia" w:eastAsiaTheme="majorEastAsia" w:cstheme="majorEastAsia"/>
                <w:color w:val="181717" w:themeColor="background2" w:themeShade="1A"/>
                <w:kern w:val="0"/>
                <w:sz w:val="21"/>
                <w:szCs w:val="21"/>
                <w:lang w:bidi="ar"/>
              </w:rPr>
              <w:t>具备在电梯门关闭过程中可以准确检测夹入物的电梯安全设备装置</w:t>
            </w:r>
            <w:r>
              <w:rPr>
                <w:rFonts w:hint="eastAsia" w:asciiTheme="majorEastAsia" w:hAnsiTheme="majorEastAsia" w:eastAsiaTheme="majorEastAsia" w:cstheme="majorEastAsia"/>
                <w:color w:val="181717" w:themeColor="background2" w:themeShade="1A"/>
                <w:sz w:val="21"/>
                <w:szCs w:val="21"/>
                <w:lang w:eastAsia="zh-CN"/>
              </w:rPr>
              <w:t>。</w:t>
            </w:r>
          </w:p>
          <w:p>
            <w:pPr>
              <w:widowControl/>
              <w:jc w:val="left"/>
              <w:rPr>
                <w:rFonts w:hint="eastAsia" w:asciiTheme="majorEastAsia" w:hAnsiTheme="majorEastAsia" w:eastAsiaTheme="majorEastAsia" w:cstheme="majorEastAsia"/>
                <w:color w:val="181717" w:themeColor="background2" w:themeShade="1A"/>
                <w:kern w:val="0"/>
                <w:sz w:val="21"/>
                <w:szCs w:val="21"/>
                <w:lang w:bidi="ar"/>
              </w:rPr>
            </w:pPr>
            <w:r>
              <w:rPr>
                <w:rFonts w:hint="eastAsia" w:asciiTheme="majorEastAsia" w:hAnsiTheme="majorEastAsia" w:eastAsiaTheme="majorEastAsia" w:cstheme="majorEastAsia"/>
                <w:color w:val="181717" w:themeColor="background2" w:themeShade="1A"/>
                <w:kern w:val="0"/>
                <w:sz w:val="21"/>
                <w:szCs w:val="21"/>
                <w:lang w:bidi="ar"/>
              </w:rPr>
              <w:t>（每提供一项的得2分，最高得8分，不提供不得分。）</w:t>
            </w:r>
          </w:p>
          <w:p>
            <w:pPr>
              <w:widowControl/>
              <w:jc w:val="left"/>
              <w:rPr>
                <w:rFonts w:hint="eastAsia" w:asciiTheme="majorEastAsia" w:hAnsiTheme="majorEastAsia" w:eastAsiaTheme="majorEastAsia" w:cstheme="majorEastAsia"/>
                <w:color w:val="181717" w:themeColor="background2" w:themeShade="1A"/>
                <w:kern w:val="0"/>
                <w:sz w:val="21"/>
                <w:szCs w:val="21"/>
                <w:lang w:eastAsia="zh-CN" w:bidi="ar"/>
              </w:rPr>
            </w:pPr>
            <w:r>
              <w:rPr>
                <w:rFonts w:hint="eastAsia" w:asciiTheme="majorEastAsia" w:hAnsiTheme="majorEastAsia" w:eastAsiaTheme="majorEastAsia" w:cstheme="majorEastAsia"/>
                <w:b/>
                <w:bCs/>
                <w:color w:val="181717" w:themeColor="background2" w:themeShade="1A"/>
                <w:kern w:val="0"/>
                <w:sz w:val="21"/>
                <w:szCs w:val="21"/>
                <w:lang w:eastAsia="zh-CN" w:bidi="ar"/>
              </w:rPr>
              <w:t>（</w:t>
            </w:r>
            <w:r>
              <w:rPr>
                <w:rFonts w:hint="eastAsia" w:asciiTheme="majorEastAsia" w:hAnsiTheme="majorEastAsia" w:eastAsiaTheme="majorEastAsia" w:cstheme="majorEastAsia"/>
                <w:b/>
                <w:bCs/>
                <w:color w:val="181717" w:themeColor="background2" w:themeShade="1A"/>
                <w:kern w:val="0"/>
                <w:sz w:val="21"/>
                <w:szCs w:val="21"/>
                <w:lang w:bidi="ar"/>
              </w:rPr>
              <w:t>评审依据：（1）空气净化除菌装置需提供第三方检测报告。属于所投电梯品牌制造商制造（或参与研发制造）的证明资料、进口报关单复印件，加盖制造商公章。（2）投标文件中提供加盖投标供应商公章的承诺函。加盖制造商公章的所投梯型产品宣传册的复印件。（3）投标文件中提供加盖制造商公章的型式实验报告复印或提供国家机构颁发的证明材料复印件，未提供</w:t>
            </w:r>
            <w:r>
              <w:rPr>
                <w:rFonts w:hint="eastAsia" w:asciiTheme="majorEastAsia" w:hAnsiTheme="majorEastAsia" w:eastAsiaTheme="majorEastAsia" w:cstheme="majorEastAsia"/>
                <w:b/>
                <w:bCs/>
                <w:color w:val="181717" w:themeColor="background2" w:themeShade="1A"/>
                <w:kern w:val="0"/>
                <w:sz w:val="21"/>
                <w:szCs w:val="21"/>
                <w:lang w:eastAsia="zh-CN" w:bidi="ar"/>
              </w:rPr>
              <w:t>或</w:t>
            </w:r>
            <w:r>
              <w:rPr>
                <w:rFonts w:hint="eastAsia" w:asciiTheme="majorEastAsia" w:hAnsiTheme="majorEastAsia" w:eastAsiaTheme="majorEastAsia" w:cstheme="majorEastAsia"/>
                <w:b/>
                <w:bCs/>
                <w:color w:val="181717" w:themeColor="background2" w:themeShade="1A"/>
                <w:kern w:val="0"/>
                <w:sz w:val="21"/>
                <w:szCs w:val="21"/>
                <w:lang w:bidi="ar"/>
              </w:rPr>
              <w:t>提供无效者不得分</w:t>
            </w:r>
            <w:r>
              <w:rPr>
                <w:rFonts w:hint="eastAsia" w:asciiTheme="majorEastAsia" w:hAnsiTheme="majorEastAsia" w:eastAsiaTheme="majorEastAsia" w:cstheme="majorEastAsia"/>
                <w:b/>
                <w:bCs/>
                <w:color w:val="181717" w:themeColor="background2" w:themeShade="1A"/>
                <w:kern w:val="0"/>
                <w:sz w:val="21"/>
                <w:szCs w:val="21"/>
                <w:lang w:eastAsia="zh-CN" w:bidi="ar"/>
              </w:rPr>
              <w:t>。）</w:t>
            </w:r>
          </w:p>
        </w:tc>
        <w:tc>
          <w:tcPr>
            <w:tcW w:w="818" w:type="dxa"/>
            <w:shd w:val="clear" w:color="auto" w:fill="auto"/>
            <w:vAlign w:val="center"/>
          </w:tcPr>
          <w:p>
            <w:pPr>
              <w:widowControl/>
              <w:jc w:val="left"/>
              <w:rPr>
                <w:rFonts w:hint="eastAsia" w:asciiTheme="majorEastAsia" w:hAnsiTheme="majorEastAsia" w:eastAsiaTheme="majorEastAsia" w:cstheme="majorEastAsia"/>
                <w:color w:val="181717" w:themeColor="background2" w:themeShade="1A"/>
                <w:sz w:val="21"/>
                <w:szCs w:val="21"/>
              </w:rPr>
            </w:pPr>
            <w:r>
              <w:rPr>
                <w:rFonts w:hint="eastAsia" w:asciiTheme="majorEastAsia" w:hAnsiTheme="majorEastAsia" w:eastAsiaTheme="majorEastAsia" w:cstheme="majorEastAsia"/>
                <w:color w:val="181717" w:themeColor="background2" w:themeShade="1A"/>
                <w:kern w:val="0"/>
                <w:sz w:val="21"/>
                <w:szCs w:val="21"/>
                <w:lang w:bidi="ar"/>
              </w:rPr>
              <w:t>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vMerge w:val="restart"/>
            <w:shd w:val="clear" w:color="auto" w:fill="auto"/>
            <w:vAlign w:val="center"/>
          </w:tcPr>
          <w:p>
            <w:pPr>
              <w:widowControl/>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kern w:val="0"/>
                <w:sz w:val="21"/>
                <w:szCs w:val="21"/>
                <w:lang w:bidi="ar"/>
              </w:rPr>
              <w:t>商务分</w:t>
            </w:r>
          </w:p>
          <w:p>
            <w:pPr>
              <w:widowControl/>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kern w:val="0"/>
                <w:sz w:val="21"/>
                <w:szCs w:val="21"/>
                <w:lang w:bidi="ar"/>
              </w:rPr>
              <w:t>（12分）</w:t>
            </w:r>
          </w:p>
        </w:tc>
        <w:tc>
          <w:tcPr>
            <w:tcW w:w="8526" w:type="dxa"/>
            <w:shd w:val="clear" w:color="auto" w:fill="auto"/>
          </w:tcPr>
          <w:p>
            <w:pPr>
              <w:widowControl/>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kern w:val="0"/>
                <w:sz w:val="21"/>
                <w:szCs w:val="21"/>
                <w:lang w:bidi="ar"/>
              </w:rPr>
              <w:t>一、投标人综合服务能力（6分）：</w:t>
            </w:r>
          </w:p>
          <w:p>
            <w:pPr>
              <w:widowControl/>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kern w:val="0"/>
                <w:sz w:val="21"/>
                <w:szCs w:val="21"/>
                <w:lang w:bidi="ar"/>
              </w:rPr>
              <w:t>（1）投标人的售后服务场所设立在赣州市中心城区的范围内或承诺中标后在赣州市中心城区设立售后服务场所的得2分</w:t>
            </w:r>
            <w:r>
              <w:rPr>
                <w:rFonts w:hint="eastAsia" w:asciiTheme="majorEastAsia" w:hAnsiTheme="majorEastAsia" w:eastAsiaTheme="majorEastAsia" w:cstheme="majorEastAsia"/>
                <w:kern w:val="0"/>
                <w:sz w:val="21"/>
                <w:szCs w:val="21"/>
                <w:lang w:eastAsia="zh-CN" w:bidi="ar"/>
              </w:rPr>
              <w:t>。</w:t>
            </w:r>
            <w:r>
              <w:rPr>
                <w:rFonts w:hint="eastAsia" w:asciiTheme="majorEastAsia" w:hAnsiTheme="majorEastAsia" w:eastAsiaTheme="majorEastAsia" w:cstheme="majorEastAsia"/>
                <w:kern w:val="0"/>
                <w:sz w:val="21"/>
                <w:szCs w:val="21"/>
                <w:lang w:bidi="ar"/>
              </w:rPr>
              <w:t>（评审依据：投标文件中提供营业执照加盖公章）</w:t>
            </w:r>
          </w:p>
          <w:p>
            <w:pPr>
              <w:widowControl/>
              <w:jc w:val="left"/>
              <w:rPr>
                <w:rFonts w:hint="eastAsia" w:asciiTheme="majorEastAsia" w:hAnsiTheme="majorEastAsia" w:eastAsiaTheme="majorEastAsia" w:cstheme="majorEastAsia"/>
                <w:sz w:val="21"/>
                <w:szCs w:val="21"/>
                <w:lang w:eastAsia="zh-CN"/>
              </w:rPr>
            </w:pPr>
            <w:r>
              <w:rPr>
                <w:rFonts w:hint="eastAsia" w:asciiTheme="majorEastAsia" w:hAnsiTheme="majorEastAsia" w:eastAsiaTheme="majorEastAsia" w:cstheme="majorEastAsia"/>
                <w:kern w:val="0"/>
                <w:sz w:val="21"/>
                <w:szCs w:val="21"/>
                <w:lang w:bidi="ar"/>
              </w:rPr>
              <w:t>（2）投标人在满足本项目质保期要求前提下，承诺增加质保期 6个月得 2 分</w:t>
            </w:r>
            <w:r>
              <w:rPr>
                <w:rFonts w:hint="eastAsia" w:asciiTheme="majorEastAsia" w:hAnsiTheme="majorEastAsia" w:eastAsiaTheme="majorEastAsia" w:cstheme="majorEastAsia"/>
                <w:kern w:val="0"/>
                <w:sz w:val="21"/>
                <w:szCs w:val="21"/>
                <w:lang w:eastAsia="zh-CN" w:bidi="ar"/>
              </w:rPr>
              <w:t>；</w:t>
            </w:r>
            <w:r>
              <w:rPr>
                <w:rFonts w:hint="eastAsia" w:asciiTheme="majorEastAsia" w:hAnsiTheme="majorEastAsia" w:eastAsiaTheme="majorEastAsia" w:cstheme="majorEastAsia"/>
                <w:kern w:val="0"/>
                <w:sz w:val="21"/>
                <w:szCs w:val="21"/>
                <w:lang w:bidi="ar"/>
              </w:rPr>
              <w:t>增加 12个月及以上质保期得 4分</w:t>
            </w:r>
            <w:r>
              <w:rPr>
                <w:rFonts w:hint="eastAsia" w:asciiTheme="majorEastAsia" w:hAnsiTheme="majorEastAsia" w:eastAsiaTheme="majorEastAsia" w:cstheme="majorEastAsia"/>
                <w:kern w:val="0"/>
                <w:sz w:val="21"/>
                <w:szCs w:val="21"/>
                <w:lang w:eastAsia="zh-CN" w:bidi="ar"/>
              </w:rPr>
              <w:t>。</w:t>
            </w:r>
          </w:p>
          <w:p>
            <w:pPr>
              <w:widowControl/>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b/>
                <w:bCs/>
                <w:kern w:val="0"/>
                <w:sz w:val="21"/>
                <w:szCs w:val="21"/>
                <w:lang w:bidi="ar"/>
              </w:rPr>
              <w:t>（评审依据：投标文件中提供加盖投标人公章的承诺书原件扫描件，原件现场核查，未提供或提供无效者不得分。）</w:t>
            </w:r>
          </w:p>
        </w:tc>
        <w:tc>
          <w:tcPr>
            <w:tcW w:w="818" w:type="dxa"/>
            <w:shd w:val="clear" w:color="auto" w:fill="auto"/>
            <w:vAlign w:val="center"/>
          </w:tcPr>
          <w:p>
            <w:pPr>
              <w:widowControl/>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kern w:val="0"/>
                <w:sz w:val="21"/>
                <w:szCs w:val="21"/>
                <w:lang w:bidi="ar"/>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0" w:hRule="atLeast"/>
        </w:trPr>
        <w:tc>
          <w:tcPr>
            <w:tcW w:w="1276" w:type="dxa"/>
            <w:vMerge w:val="continue"/>
            <w:shd w:val="clear" w:color="auto" w:fill="auto"/>
            <w:vAlign w:val="center"/>
          </w:tcPr>
          <w:p>
            <w:pPr>
              <w:widowControl/>
              <w:rPr>
                <w:rFonts w:hint="eastAsia" w:asciiTheme="majorEastAsia" w:hAnsiTheme="majorEastAsia" w:eastAsiaTheme="majorEastAsia" w:cstheme="majorEastAsia"/>
                <w:sz w:val="21"/>
                <w:szCs w:val="21"/>
              </w:rPr>
            </w:pPr>
          </w:p>
        </w:tc>
        <w:tc>
          <w:tcPr>
            <w:tcW w:w="8526" w:type="dxa"/>
            <w:shd w:val="clear" w:color="auto" w:fill="auto"/>
          </w:tcPr>
          <w:p>
            <w:pPr>
              <w:widowControl/>
              <w:jc w:val="left"/>
              <w:rPr>
                <w:rFonts w:hint="eastAsia" w:asciiTheme="majorEastAsia" w:hAnsiTheme="majorEastAsia" w:eastAsiaTheme="majorEastAsia" w:cstheme="majorEastAsia"/>
                <w:color w:val="181717" w:themeColor="background2" w:themeShade="1A"/>
                <w:sz w:val="21"/>
                <w:szCs w:val="21"/>
              </w:rPr>
            </w:pPr>
            <w:r>
              <w:rPr>
                <w:rFonts w:hint="eastAsia" w:asciiTheme="majorEastAsia" w:hAnsiTheme="majorEastAsia" w:eastAsiaTheme="majorEastAsia" w:cstheme="majorEastAsia"/>
                <w:kern w:val="0"/>
                <w:sz w:val="21"/>
                <w:szCs w:val="21"/>
                <w:lang w:bidi="ar"/>
              </w:rPr>
              <w:t>二</w:t>
            </w:r>
            <w:r>
              <w:rPr>
                <w:rFonts w:hint="eastAsia" w:asciiTheme="majorEastAsia" w:hAnsiTheme="majorEastAsia" w:eastAsiaTheme="majorEastAsia" w:cstheme="majorEastAsia"/>
                <w:color w:val="181717" w:themeColor="background2" w:themeShade="1A"/>
                <w:kern w:val="0"/>
                <w:sz w:val="21"/>
                <w:szCs w:val="21"/>
                <w:lang w:bidi="ar"/>
              </w:rPr>
              <w:t>、电梯保险（6分）</w:t>
            </w:r>
          </w:p>
          <w:p>
            <w:pPr>
              <w:widowControl/>
              <w:jc w:val="left"/>
              <w:rPr>
                <w:rFonts w:hint="eastAsia" w:asciiTheme="majorEastAsia" w:hAnsiTheme="majorEastAsia" w:eastAsiaTheme="majorEastAsia" w:cstheme="majorEastAsia"/>
                <w:sz w:val="21"/>
                <w:szCs w:val="21"/>
                <w:lang w:eastAsia="zh-CN"/>
              </w:rPr>
            </w:pPr>
            <w:r>
              <w:rPr>
                <w:rFonts w:hint="eastAsia" w:asciiTheme="majorEastAsia" w:hAnsiTheme="majorEastAsia" w:eastAsiaTheme="majorEastAsia" w:cstheme="majorEastAsia"/>
                <w:color w:val="181717" w:themeColor="background2" w:themeShade="1A"/>
                <w:kern w:val="0"/>
                <w:sz w:val="21"/>
                <w:szCs w:val="21"/>
                <w:lang w:bidi="ar"/>
              </w:rPr>
              <w:t>所投产品制造商为所投品牌型号的电梯已购买了公众及产品责任险至开标时间截止连续六年，且于投标截止时间时仍在有效期内的得6分</w:t>
            </w:r>
            <w:r>
              <w:rPr>
                <w:rFonts w:hint="eastAsia" w:asciiTheme="majorEastAsia" w:hAnsiTheme="majorEastAsia" w:eastAsiaTheme="majorEastAsia" w:cstheme="majorEastAsia"/>
                <w:color w:val="181717" w:themeColor="background2" w:themeShade="1A"/>
                <w:kern w:val="0"/>
                <w:sz w:val="21"/>
                <w:szCs w:val="21"/>
                <w:lang w:eastAsia="zh-CN" w:bidi="ar"/>
              </w:rPr>
              <w:t>；</w:t>
            </w:r>
            <w:r>
              <w:rPr>
                <w:rFonts w:hint="eastAsia" w:asciiTheme="majorEastAsia" w:hAnsiTheme="majorEastAsia" w:eastAsiaTheme="majorEastAsia" w:cstheme="majorEastAsia"/>
                <w:color w:val="181717" w:themeColor="background2" w:themeShade="1A"/>
                <w:kern w:val="0"/>
                <w:sz w:val="21"/>
                <w:szCs w:val="21"/>
                <w:lang w:bidi="ar"/>
              </w:rPr>
              <w:t>未购</w:t>
            </w:r>
            <w:r>
              <w:rPr>
                <w:rFonts w:hint="eastAsia" w:asciiTheme="majorEastAsia" w:hAnsiTheme="majorEastAsia" w:eastAsiaTheme="majorEastAsia" w:cstheme="majorEastAsia"/>
                <w:kern w:val="0"/>
                <w:sz w:val="21"/>
                <w:szCs w:val="21"/>
                <w:lang w:bidi="ar"/>
              </w:rPr>
              <w:t>买或险种不符者不得分</w:t>
            </w:r>
            <w:r>
              <w:rPr>
                <w:rFonts w:hint="eastAsia" w:asciiTheme="majorEastAsia" w:hAnsiTheme="majorEastAsia" w:eastAsiaTheme="majorEastAsia" w:cstheme="majorEastAsia"/>
                <w:kern w:val="0"/>
                <w:sz w:val="21"/>
                <w:szCs w:val="21"/>
                <w:lang w:eastAsia="zh-CN" w:bidi="ar"/>
              </w:rPr>
              <w:t>。</w:t>
            </w:r>
          </w:p>
          <w:p>
            <w:pPr>
              <w:widowControl/>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b/>
                <w:bCs/>
                <w:kern w:val="0"/>
                <w:sz w:val="21"/>
                <w:szCs w:val="21"/>
                <w:lang w:bidi="ar"/>
              </w:rPr>
              <w:t>（评审依据：投标文件中提供加盖制造商公章投标电梯制造商购买的至开标时间截止连续六年的公众及产品责任险关键页复印件， 未提供或险种不符者不得分。）</w:t>
            </w:r>
          </w:p>
        </w:tc>
        <w:tc>
          <w:tcPr>
            <w:tcW w:w="818" w:type="dxa"/>
            <w:shd w:val="clear" w:color="auto" w:fill="auto"/>
            <w:vAlign w:val="center"/>
          </w:tcPr>
          <w:p>
            <w:pPr>
              <w:widowControl/>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kern w:val="0"/>
                <w:sz w:val="21"/>
                <w:szCs w:val="21"/>
                <w:lang w:bidi="ar"/>
              </w:rPr>
              <w:t>6分</w:t>
            </w:r>
          </w:p>
        </w:tc>
      </w:tr>
    </w:tbl>
    <w:p>
      <w:pPr>
        <w:pStyle w:val="6"/>
        <w:spacing w:line="320" w:lineRule="exact"/>
        <w:ind w:left="630" w:leftChars="300"/>
        <w:rPr>
          <w:rFonts w:hAnsi="宋体"/>
          <w:b w:val="0"/>
          <w:sz w:val="21"/>
        </w:rPr>
      </w:pPr>
      <w:r>
        <w:rPr>
          <w:rFonts w:hint="eastAsia" w:hAnsi="宋体"/>
          <w:b w:val="0"/>
          <w:sz w:val="21"/>
        </w:rPr>
        <w:t>评分说明:评审专家组根据磋商文件对各供应商的响应文件中响应情况、商务与服务响应情况进行评审和综合评估并打分；评审专家组成员打分时不得协商，应独立完成。未满足磋商文件要求的响应文件不予打分；招标代理机构按照确定的评分细则计算价格得分，评审专家组复核后给予确认。根据评审专家组的综合打分结果，得出预成交供应商排序。</w:t>
      </w:r>
      <w:bookmarkEnd w:id="86"/>
    </w:p>
    <w:p>
      <w:pPr>
        <w:pStyle w:val="6"/>
        <w:spacing w:line="320" w:lineRule="exact"/>
        <w:rPr>
          <w:rFonts w:hAnsi="宋体"/>
          <w:bCs/>
          <w:sz w:val="21"/>
          <w:szCs w:val="21"/>
        </w:rPr>
      </w:pPr>
      <w:bookmarkStart w:id="87" w:name="_Toc464464211"/>
      <w:r>
        <w:rPr>
          <w:rFonts w:hint="eastAsia" w:hAnsi="宋体"/>
          <w:bCs/>
          <w:sz w:val="21"/>
          <w:szCs w:val="21"/>
        </w:rPr>
        <w:t>29.  比较与评价</w:t>
      </w:r>
      <w:bookmarkEnd w:id="87"/>
    </w:p>
    <w:p>
      <w:pPr>
        <w:spacing w:before="46" w:after="46" w:line="320" w:lineRule="exact"/>
        <w:ind w:left="900" w:hanging="900"/>
        <w:rPr>
          <w:rFonts w:ascii="宋体" w:hAnsi="宋体"/>
          <w:szCs w:val="21"/>
        </w:rPr>
      </w:pPr>
      <w:r>
        <w:rPr>
          <w:rFonts w:hint="eastAsia" w:ascii="宋体" w:hAnsi="宋体"/>
          <w:szCs w:val="21"/>
        </w:rPr>
        <w:t>29.1</w:t>
      </w:r>
      <w:r>
        <w:rPr>
          <w:rFonts w:hint="eastAsia" w:ascii="宋体" w:hAnsi="宋体"/>
          <w:szCs w:val="21"/>
        </w:rPr>
        <w:tab/>
      </w:r>
      <w:r>
        <w:rPr>
          <w:rFonts w:hint="eastAsia" w:ascii="宋体" w:hAnsi="宋体"/>
          <w:szCs w:val="21"/>
        </w:rPr>
        <w:t>经初审合格的响应文件，磋商小组将根据磋商文件确定的评审标准和方法，对其技术部分和商务部分作进一步的比较和评价。</w:t>
      </w:r>
    </w:p>
    <w:p>
      <w:pPr>
        <w:pStyle w:val="5"/>
        <w:spacing w:before="46" w:after="46" w:line="320" w:lineRule="exact"/>
        <w:jc w:val="center"/>
        <w:rPr>
          <w:rFonts w:ascii="宋体" w:hAnsi="宋体"/>
          <w:sz w:val="21"/>
          <w:szCs w:val="21"/>
        </w:rPr>
      </w:pPr>
      <w:bookmarkStart w:id="88" w:name="_Toc520356169"/>
      <w:bookmarkStart w:id="89" w:name="_Toc464464212"/>
      <w:r>
        <w:rPr>
          <w:rFonts w:hint="eastAsia" w:ascii="宋体" w:hAnsi="宋体"/>
          <w:sz w:val="21"/>
          <w:szCs w:val="21"/>
        </w:rPr>
        <w:t xml:space="preserve">六   </w:t>
      </w:r>
      <w:bookmarkEnd w:id="88"/>
      <w:r>
        <w:rPr>
          <w:rFonts w:hint="eastAsia" w:ascii="宋体" w:hAnsi="宋体"/>
          <w:sz w:val="21"/>
          <w:szCs w:val="21"/>
        </w:rPr>
        <w:t>确定成交</w:t>
      </w:r>
      <w:bookmarkEnd w:id="89"/>
    </w:p>
    <w:p>
      <w:pPr>
        <w:pStyle w:val="6"/>
        <w:spacing w:before="46" w:after="46" w:line="320" w:lineRule="exact"/>
        <w:rPr>
          <w:rFonts w:hAnsi="宋体"/>
          <w:sz w:val="21"/>
          <w:szCs w:val="21"/>
        </w:rPr>
      </w:pPr>
      <w:bookmarkStart w:id="90" w:name="_Toc520356170"/>
      <w:bookmarkStart w:id="91" w:name="_Toc464464213"/>
      <w:bookmarkStart w:id="92" w:name="_Toc360121800"/>
      <w:bookmarkStart w:id="93" w:name="_Ref467307010"/>
      <w:r>
        <w:rPr>
          <w:rFonts w:hint="eastAsia" w:hAnsi="宋体"/>
          <w:sz w:val="21"/>
          <w:szCs w:val="21"/>
        </w:rPr>
        <w:t>30．  成交候选供应商的确定原则及标准</w:t>
      </w:r>
      <w:bookmarkEnd w:id="90"/>
      <w:bookmarkEnd w:id="91"/>
      <w:bookmarkEnd w:id="92"/>
      <w:bookmarkEnd w:id="93"/>
    </w:p>
    <w:p>
      <w:pPr>
        <w:spacing w:before="46" w:after="46" w:line="320" w:lineRule="exact"/>
        <w:ind w:left="900" w:hanging="900"/>
        <w:rPr>
          <w:rFonts w:ascii="宋体" w:hAnsi="宋体"/>
          <w:szCs w:val="21"/>
        </w:rPr>
      </w:pPr>
      <w:r>
        <w:rPr>
          <w:rFonts w:hint="eastAsia" w:ascii="宋体" w:hAnsi="宋体"/>
          <w:szCs w:val="21"/>
        </w:rPr>
        <w:t>30.1</w:t>
      </w:r>
      <w:r>
        <w:rPr>
          <w:rFonts w:hint="eastAsia" w:ascii="宋体" w:hAnsi="宋体"/>
          <w:szCs w:val="21"/>
        </w:rPr>
        <w:tab/>
      </w:r>
      <w:r>
        <w:rPr>
          <w:rFonts w:hint="eastAsia" w:ascii="宋体" w:hAnsi="宋体"/>
          <w:szCs w:val="21"/>
        </w:rPr>
        <w:t>本次招标采用综合评分法。是指响应文件满足磋商文件全部实质性要求且按评审因素的量化指标评审得分最高的供应商为成交候选供应商的评审方法。评审得分相同的，按照最后报价由低到高的顺序推荐。评审得分且最后报价相同的，按照技术指标优劣顺序推荐。</w:t>
      </w:r>
    </w:p>
    <w:p>
      <w:pPr>
        <w:pStyle w:val="6"/>
        <w:spacing w:before="46" w:after="46" w:line="320" w:lineRule="exact"/>
        <w:ind w:left="899" w:hanging="899"/>
        <w:rPr>
          <w:rFonts w:hAnsi="宋体"/>
          <w:sz w:val="21"/>
          <w:szCs w:val="21"/>
        </w:rPr>
      </w:pPr>
      <w:bookmarkStart w:id="94" w:name="_Toc520356171"/>
      <w:bookmarkStart w:id="95" w:name="_Toc360121801"/>
      <w:bookmarkStart w:id="96" w:name="_Toc464464214"/>
      <w:r>
        <w:rPr>
          <w:rFonts w:hint="eastAsia" w:hAnsi="宋体"/>
          <w:sz w:val="21"/>
          <w:szCs w:val="21"/>
        </w:rPr>
        <w:t>31．</w:t>
      </w:r>
      <w:bookmarkEnd w:id="94"/>
      <w:r>
        <w:rPr>
          <w:rFonts w:hint="eastAsia" w:hAnsi="宋体"/>
          <w:sz w:val="21"/>
          <w:szCs w:val="21"/>
        </w:rPr>
        <w:t xml:space="preserve">  确定</w:t>
      </w:r>
      <w:bookmarkEnd w:id="95"/>
      <w:r>
        <w:rPr>
          <w:rFonts w:hint="eastAsia" w:hAnsi="宋体"/>
          <w:sz w:val="21"/>
          <w:szCs w:val="21"/>
        </w:rPr>
        <w:t>成交供应商</w:t>
      </w:r>
      <w:bookmarkEnd w:id="96"/>
    </w:p>
    <w:p>
      <w:pPr>
        <w:spacing w:before="46" w:after="46" w:line="320" w:lineRule="exact"/>
        <w:ind w:left="900" w:hanging="900"/>
        <w:rPr>
          <w:rFonts w:ascii="宋体" w:hAnsi="宋体"/>
          <w:szCs w:val="21"/>
        </w:rPr>
      </w:pPr>
      <w:bookmarkStart w:id="97" w:name="_Ref467306874"/>
      <w:bookmarkStart w:id="98" w:name="_Toc520356173"/>
      <w:r>
        <w:rPr>
          <w:rFonts w:hint="eastAsia" w:ascii="宋体" w:hAnsi="宋体"/>
          <w:szCs w:val="21"/>
        </w:rPr>
        <w:t>31.1    由评审专家组按照磋商文件的要求和条件，对供应商的响应文件就价格、技术要求、商务与服务等进行评议，同时考虑供应商的信誉、业绩、质量保证等等做出结论；</w:t>
      </w:r>
    </w:p>
    <w:p>
      <w:pPr>
        <w:spacing w:before="46" w:after="46" w:line="320" w:lineRule="exact"/>
        <w:ind w:left="900" w:hanging="900"/>
        <w:rPr>
          <w:rFonts w:ascii="宋体" w:hAnsi="宋体"/>
          <w:szCs w:val="21"/>
        </w:rPr>
      </w:pPr>
      <w:r>
        <w:rPr>
          <w:rFonts w:hint="eastAsia" w:ascii="宋体" w:hAnsi="宋体"/>
          <w:szCs w:val="21"/>
        </w:rPr>
        <w:t xml:space="preserve">31.2    成交供应商不允许转包； </w:t>
      </w:r>
    </w:p>
    <w:p>
      <w:pPr>
        <w:spacing w:before="46" w:after="46" w:line="320" w:lineRule="exact"/>
        <w:ind w:left="900" w:hanging="900"/>
        <w:rPr>
          <w:rFonts w:ascii="宋体" w:hAnsi="宋体"/>
          <w:szCs w:val="21"/>
        </w:rPr>
      </w:pPr>
      <w:r>
        <w:rPr>
          <w:rFonts w:hint="eastAsia" w:ascii="宋体" w:hAnsi="宋体"/>
          <w:szCs w:val="21"/>
        </w:rPr>
        <w:t>31.3    采购人根据评审专家组推荐的评审总得分排序确定排名第一的供应商为成交供应商。</w:t>
      </w:r>
    </w:p>
    <w:p>
      <w:pPr>
        <w:pStyle w:val="6"/>
        <w:spacing w:before="46" w:after="46" w:line="320" w:lineRule="exact"/>
        <w:ind w:left="791" w:hanging="791"/>
        <w:rPr>
          <w:rFonts w:hAnsi="宋体"/>
          <w:b w:val="0"/>
          <w:sz w:val="21"/>
          <w:szCs w:val="21"/>
        </w:rPr>
      </w:pPr>
      <w:bookmarkStart w:id="99" w:name="_Toc464464215"/>
      <w:r>
        <w:rPr>
          <w:rFonts w:hint="eastAsia" w:hAnsi="宋体"/>
          <w:sz w:val="21"/>
          <w:szCs w:val="21"/>
        </w:rPr>
        <w:t>32.  接受和拒绝的权利</w:t>
      </w:r>
      <w:bookmarkEnd w:id="97"/>
      <w:bookmarkEnd w:id="98"/>
      <w:bookmarkEnd w:id="99"/>
    </w:p>
    <w:p>
      <w:pPr>
        <w:spacing w:before="46" w:after="46" w:line="320" w:lineRule="exact"/>
        <w:ind w:left="900" w:hanging="900"/>
        <w:rPr>
          <w:rFonts w:ascii="宋体" w:hAnsi="宋体"/>
          <w:szCs w:val="21"/>
        </w:rPr>
      </w:pPr>
      <w:r>
        <w:rPr>
          <w:rFonts w:hint="eastAsia" w:ascii="宋体" w:hAnsi="宋体"/>
          <w:szCs w:val="21"/>
        </w:rPr>
        <w:t>32.1</w:t>
      </w:r>
      <w:r>
        <w:rPr>
          <w:rFonts w:hint="eastAsia" w:ascii="宋体" w:hAnsi="宋体"/>
          <w:szCs w:val="21"/>
        </w:rPr>
        <w:tab/>
      </w:r>
      <w:r>
        <w:rPr>
          <w:rFonts w:hint="eastAsia" w:ascii="宋体" w:hAnsi="宋体"/>
          <w:szCs w:val="21"/>
        </w:rPr>
        <w:t>为维护国家和社会公共利益，采购人保留在授标之前任何时候接受或拒绝任何供应商成交的权利，且对受影响的供应商不承担任何责任。</w:t>
      </w:r>
    </w:p>
    <w:p>
      <w:pPr>
        <w:spacing w:before="46" w:after="46" w:line="320" w:lineRule="exact"/>
        <w:ind w:left="900" w:hanging="900"/>
        <w:rPr>
          <w:rFonts w:ascii="宋体" w:hAnsi="宋体"/>
          <w:szCs w:val="21"/>
        </w:rPr>
      </w:pPr>
      <w:bookmarkStart w:id="100" w:name="_Toc520356174"/>
      <w:r>
        <w:rPr>
          <w:rFonts w:hint="eastAsia" w:ascii="宋体" w:hAnsi="宋体"/>
          <w:szCs w:val="21"/>
        </w:rPr>
        <w:t>32.2</w:t>
      </w:r>
      <w:r>
        <w:rPr>
          <w:rFonts w:hint="eastAsia" w:ascii="宋体" w:hAnsi="宋体"/>
          <w:szCs w:val="21"/>
        </w:rPr>
        <w:tab/>
      </w:r>
      <w:r>
        <w:rPr>
          <w:rFonts w:hint="eastAsia" w:ascii="宋体" w:hAnsi="宋体"/>
          <w:szCs w:val="21"/>
        </w:rPr>
        <w:t>成交候选供应商不能提供响应文件中的原件审查的或不能履约等情形，采购人保留与其他候选供应商签订合同的权利。</w:t>
      </w:r>
    </w:p>
    <w:p>
      <w:pPr>
        <w:pStyle w:val="6"/>
        <w:spacing w:before="46" w:after="46" w:line="320" w:lineRule="exact"/>
        <w:ind w:left="899" w:hanging="899"/>
        <w:rPr>
          <w:rFonts w:hAnsi="宋体"/>
          <w:sz w:val="21"/>
          <w:szCs w:val="21"/>
        </w:rPr>
      </w:pPr>
      <w:bookmarkStart w:id="101" w:name="_Toc360121803"/>
      <w:bookmarkStart w:id="102" w:name="_Toc464464216"/>
      <w:r>
        <w:rPr>
          <w:rFonts w:hint="eastAsia" w:hAnsi="宋体"/>
          <w:sz w:val="21"/>
          <w:szCs w:val="21"/>
        </w:rPr>
        <w:t>33．  成交通知书</w:t>
      </w:r>
      <w:bookmarkEnd w:id="100"/>
      <w:bookmarkEnd w:id="101"/>
      <w:bookmarkEnd w:id="102"/>
    </w:p>
    <w:p>
      <w:pPr>
        <w:spacing w:before="46" w:after="46" w:line="320" w:lineRule="exact"/>
        <w:ind w:left="900" w:hanging="900"/>
        <w:rPr>
          <w:rFonts w:ascii="宋体" w:hAnsi="宋体"/>
          <w:szCs w:val="21"/>
        </w:rPr>
      </w:pPr>
      <w:r>
        <w:rPr>
          <w:rFonts w:hint="eastAsia" w:ascii="宋体" w:hAnsi="宋体"/>
          <w:szCs w:val="21"/>
        </w:rPr>
        <w:t>33.1</w:t>
      </w:r>
      <w:r>
        <w:rPr>
          <w:rFonts w:hint="eastAsia" w:ascii="宋体" w:hAnsi="宋体"/>
          <w:szCs w:val="21"/>
        </w:rPr>
        <w:tab/>
      </w:r>
      <w:r>
        <w:rPr>
          <w:rFonts w:hint="eastAsia" w:ascii="宋体" w:hAnsi="宋体"/>
          <w:szCs w:val="21"/>
        </w:rPr>
        <w:t>采购人或招标代理机构在确定成交供应商2个工作日内，在指定的采购信息发布媒体上公告成交结果，同时向成交供应商发出成交通知书，并将磋商文件随成交结果同时公告。</w:t>
      </w:r>
    </w:p>
    <w:p>
      <w:pPr>
        <w:spacing w:before="46" w:after="46" w:line="320" w:lineRule="exact"/>
        <w:ind w:left="900" w:hanging="900"/>
        <w:rPr>
          <w:rFonts w:ascii="宋体" w:hAnsi="宋体"/>
          <w:szCs w:val="21"/>
        </w:rPr>
      </w:pPr>
      <w:r>
        <w:rPr>
          <w:rFonts w:hint="eastAsia" w:ascii="宋体" w:hAnsi="宋体"/>
          <w:szCs w:val="21"/>
        </w:rPr>
        <w:t>33.2</w:t>
      </w:r>
      <w:r>
        <w:rPr>
          <w:rFonts w:hint="eastAsia" w:ascii="宋体" w:hAnsi="宋体"/>
          <w:szCs w:val="21"/>
        </w:rPr>
        <w:tab/>
      </w:r>
      <w:r>
        <w:rPr>
          <w:rFonts w:hint="eastAsia" w:ascii="宋体" w:hAnsi="宋体"/>
          <w:szCs w:val="21"/>
        </w:rPr>
        <w:t>招标代理机构无义务向未中标的供应商解释落标原因和退还响应文件。</w:t>
      </w:r>
    </w:p>
    <w:p>
      <w:pPr>
        <w:pStyle w:val="6"/>
        <w:spacing w:before="46" w:after="46" w:line="320" w:lineRule="exact"/>
        <w:ind w:left="899" w:hanging="899"/>
        <w:rPr>
          <w:rFonts w:hAnsi="宋体"/>
          <w:sz w:val="21"/>
          <w:szCs w:val="21"/>
        </w:rPr>
      </w:pPr>
      <w:bookmarkStart w:id="103" w:name="_Toc360121804"/>
      <w:bookmarkStart w:id="104" w:name="_Toc520356175"/>
      <w:bookmarkStart w:id="105" w:name="_Ref467306978"/>
      <w:bookmarkStart w:id="106" w:name="_Ref467307062"/>
      <w:bookmarkStart w:id="107" w:name="_Ref467306377"/>
      <w:bookmarkStart w:id="108" w:name="_Toc464464217"/>
      <w:bookmarkStart w:id="109" w:name="_Ref467307204"/>
      <w:r>
        <w:rPr>
          <w:rFonts w:hint="eastAsia" w:hAnsi="宋体"/>
          <w:sz w:val="21"/>
          <w:szCs w:val="21"/>
        </w:rPr>
        <w:t>34.   履约保证金</w:t>
      </w:r>
    </w:p>
    <w:p>
      <w:pPr>
        <w:spacing w:before="46" w:after="46" w:line="320" w:lineRule="exact"/>
        <w:ind w:left="900" w:hanging="900"/>
        <w:rPr>
          <w:rFonts w:ascii="宋体" w:hAnsi="宋体"/>
          <w:szCs w:val="21"/>
        </w:rPr>
      </w:pPr>
      <w:r>
        <w:rPr>
          <w:rFonts w:hint="eastAsia" w:ascii="宋体" w:hAnsi="宋体"/>
          <w:szCs w:val="21"/>
        </w:rPr>
        <w:t>34.1     成交供应商须在与采购人签订合同之前缴纳合同价10%的履约保证金到采购人指定账户。</w:t>
      </w:r>
    </w:p>
    <w:p>
      <w:pPr>
        <w:pStyle w:val="6"/>
        <w:spacing w:before="46" w:after="46" w:line="320" w:lineRule="exact"/>
        <w:ind w:left="899" w:hanging="899"/>
        <w:rPr>
          <w:rFonts w:hAnsi="宋体"/>
          <w:sz w:val="21"/>
          <w:szCs w:val="21"/>
        </w:rPr>
      </w:pPr>
      <w:r>
        <w:rPr>
          <w:rFonts w:hint="eastAsia" w:hAnsi="宋体"/>
          <w:sz w:val="21"/>
          <w:szCs w:val="21"/>
        </w:rPr>
        <w:t>35.  签订合同</w:t>
      </w:r>
      <w:bookmarkEnd w:id="103"/>
      <w:bookmarkEnd w:id="104"/>
      <w:bookmarkEnd w:id="105"/>
      <w:bookmarkEnd w:id="106"/>
      <w:bookmarkEnd w:id="107"/>
      <w:bookmarkEnd w:id="108"/>
      <w:bookmarkEnd w:id="109"/>
    </w:p>
    <w:p>
      <w:pPr>
        <w:spacing w:before="46" w:after="46" w:line="320" w:lineRule="exact"/>
        <w:ind w:left="900" w:hanging="900"/>
        <w:rPr>
          <w:rFonts w:ascii="宋体" w:hAnsi="宋体"/>
          <w:szCs w:val="21"/>
        </w:rPr>
      </w:pPr>
      <w:r>
        <w:rPr>
          <w:rFonts w:hint="eastAsia" w:ascii="宋体" w:hAnsi="宋体"/>
          <w:szCs w:val="21"/>
        </w:rPr>
        <w:t>35.1</w:t>
      </w:r>
      <w:r>
        <w:rPr>
          <w:rFonts w:hint="eastAsia" w:ascii="宋体" w:hAnsi="宋体"/>
          <w:szCs w:val="21"/>
        </w:rPr>
        <w:tab/>
      </w:r>
      <w:r>
        <w:rPr>
          <w:rFonts w:hint="eastAsia" w:ascii="宋体" w:hAnsi="宋体"/>
          <w:szCs w:val="21"/>
        </w:rPr>
        <w:t>采购人与成交供应商应当在成交通知书发出之日起30日内，按照磋商文件确定的合同文本以及采购标的、规格型号、采购金额、采购数量、技术和服务要求等事项签订采购合同。</w:t>
      </w:r>
    </w:p>
    <w:p>
      <w:pPr>
        <w:spacing w:before="46" w:after="46" w:line="320" w:lineRule="exact"/>
        <w:ind w:left="900" w:hanging="900"/>
        <w:rPr>
          <w:rFonts w:ascii="宋体" w:hAnsi="宋体"/>
          <w:szCs w:val="21"/>
        </w:rPr>
      </w:pPr>
      <w:r>
        <w:rPr>
          <w:rFonts w:hint="eastAsia" w:ascii="宋体" w:hAnsi="宋体"/>
          <w:szCs w:val="21"/>
        </w:rPr>
        <w:t>35.2     成交供应商收到成交通知书后，按成交通知书中规定的时间、地点与采购人签订合同。合同签订后7天内，由成交供应商交一份至招标代理机构存文件。</w:t>
      </w:r>
    </w:p>
    <w:p>
      <w:pPr>
        <w:spacing w:before="46" w:after="46" w:line="320" w:lineRule="exact"/>
        <w:ind w:left="900" w:hanging="900"/>
        <w:rPr>
          <w:rFonts w:ascii="宋体" w:hAnsi="宋体"/>
          <w:szCs w:val="21"/>
        </w:rPr>
      </w:pPr>
      <w:r>
        <w:rPr>
          <w:rFonts w:hint="eastAsia" w:ascii="宋体" w:hAnsi="宋体"/>
          <w:szCs w:val="21"/>
        </w:rPr>
        <w:t>35.3</w:t>
      </w:r>
      <w:r>
        <w:rPr>
          <w:rFonts w:hint="eastAsia" w:ascii="宋体" w:hAnsi="宋体"/>
          <w:szCs w:val="21"/>
        </w:rPr>
        <w:tab/>
      </w:r>
      <w:bookmarkStart w:id="110" w:name="_Toc520356176"/>
      <w:bookmarkStart w:id="111" w:name="_Ref467307090"/>
      <w:bookmarkStart w:id="112" w:name="_Ref467306425"/>
      <w:r>
        <w:rPr>
          <w:rFonts w:hint="eastAsia" w:ascii="宋体" w:hAnsi="宋体"/>
          <w:szCs w:val="21"/>
        </w:rPr>
        <w:t>磋商文件、成交供应商的响应文件及其澄清文件等， 均为签订合同的依据。</w:t>
      </w:r>
    </w:p>
    <w:p>
      <w:pPr>
        <w:pStyle w:val="6"/>
        <w:spacing w:before="46" w:after="46" w:line="320" w:lineRule="exact"/>
        <w:ind w:left="899" w:hanging="899"/>
        <w:rPr>
          <w:rFonts w:hAnsi="宋体"/>
          <w:sz w:val="21"/>
          <w:szCs w:val="21"/>
        </w:rPr>
      </w:pPr>
      <w:bookmarkStart w:id="113" w:name="_Toc360121805"/>
      <w:bookmarkStart w:id="114" w:name="_Toc464464218"/>
      <w:r>
        <w:rPr>
          <w:rFonts w:hint="eastAsia" w:hAnsi="宋体"/>
          <w:sz w:val="21"/>
          <w:szCs w:val="21"/>
        </w:rPr>
        <w:t>36． 代理服务费</w:t>
      </w:r>
      <w:bookmarkEnd w:id="113"/>
      <w:bookmarkEnd w:id="114"/>
    </w:p>
    <w:p>
      <w:pPr>
        <w:spacing w:before="33" w:beforeLines="10" w:after="33" w:afterLines="10" w:line="440" w:lineRule="exact"/>
        <w:ind w:left="840" w:hanging="840" w:hangingChars="400"/>
        <w:rPr>
          <w:rFonts w:ascii="宋体" w:hAnsi="宋体"/>
          <w:szCs w:val="21"/>
        </w:rPr>
      </w:pPr>
      <w:bookmarkStart w:id="115" w:name="_Ref467307288"/>
      <w:r>
        <w:rPr>
          <w:rFonts w:hint="eastAsia" w:ascii="宋体" w:hAnsi="宋体"/>
          <w:szCs w:val="21"/>
        </w:rPr>
        <w:t>36.1</w:t>
      </w:r>
      <w:bookmarkEnd w:id="115"/>
      <w:r>
        <w:rPr>
          <w:rFonts w:hint="eastAsia" w:ascii="宋体" w:hAnsi="宋体"/>
          <w:szCs w:val="21"/>
        </w:rPr>
        <w:t xml:space="preserve">    </w:t>
      </w:r>
      <w:r>
        <w:rPr>
          <w:rFonts w:hint="eastAsia" w:ascii="宋体" w:hAnsi="宋体" w:cs="宋体"/>
          <w:bCs/>
          <w:szCs w:val="21"/>
          <w:lang w:val="zh-CN"/>
        </w:rPr>
        <w:t>招标代理机构向成交供应商收取代理服务费。收费标准：按照国家发展计划委员会《招标代理服务收费管理暂行办法》（2002）1980号标准的4折收取招标代理服务费，一次性足额支付至招标代理机构。</w:t>
      </w:r>
    </w:p>
    <w:p>
      <w:pPr>
        <w:tabs>
          <w:tab w:val="left" w:pos="851"/>
        </w:tabs>
        <w:spacing w:before="46" w:after="46" w:line="320" w:lineRule="exact"/>
        <w:ind w:left="840" w:hanging="840" w:hangingChars="400"/>
        <w:rPr>
          <w:rFonts w:ascii="宋体" w:hAnsi="宋体"/>
          <w:szCs w:val="21"/>
        </w:rPr>
      </w:pPr>
      <w:r>
        <w:rPr>
          <w:rFonts w:hint="eastAsia" w:ascii="宋体" w:hAnsi="宋体"/>
          <w:szCs w:val="21"/>
        </w:rPr>
        <w:t>36.2</w:t>
      </w:r>
      <w:r>
        <w:rPr>
          <w:rFonts w:hint="eastAsia" w:ascii="宋体" w:hAnsi="宋体"/>
          <w:szCs w:val="21"/>
        </w:rPr>
        <w:tab/>
      </w:r>
      <w:r>
        <w:rPr>
          <w:rFonts w:hint="eastAsia" w:ascii="宋体" w:hAnsi="宋体"/>
          <w:szCs w:val="21"/>
        </w:rPr>
        <w:t>招标代理服务费只以现金、电汇、转账的方式进行收取。成交供应商须一次性足额支付至招标代理机构。</w:t>
      </w:r>
    </w:p>
    <w:p>
      <w:pPr>
        <w:tabs>
          <w:tab w:val="left" w:pos="851"/>
        </w:tabs>
        <w:spacing w:before="46" w:after="46" w:line="320" w:lineRule="exact"/>
        <w:ind w:left="840" w:hanging="840" w:hangingChars="400"/>
        <w:rPr>
          <w:rFonts w:ascii="宋体" w:hAnsi="宋体"/>
          <w:szCs w:val="21"/>
        </w:rPr>
      </w:pPr>
      <w:r>
        <w:rPr>
          <w:rFonts w:hint="eastAsia" w:ascii="宋体" w:hAnsi="宋体"/>
          <w:szCs w:val="21"/>
        </w:rPr>
        <w:t>36.3    成交供应商未按时支付代理服务费，招标代理机构将视之为违约，取消该成交决定并不予退</w:t>
      </w:r>
      <w:r>
        <w:rPr>
          <w:rFonts w:hint="eastAsia" w:ascii="宋体" w:hAnsi="宋体"/>
          <w:szCs w:val="21"/>
          <w:lang w:eastAsia="zh-CN"/>
        </w:rPr>
        <w:t>回</w:t>
      </w:r>
      <w:r>
        <w:rPr>
          <w:rFonts w:hint="eastAsia" w:ascii="宋体" w:hAnsi="宋体"/>
          <w:szCs w:val="21"/>
        </w:rPr>
        <w:t>成交供应商这次参加磋商的全部磋商保证金。</w:t>
      </w:r>
    </w:p>
    <w:bookmarkEnd w:id="110"/>
    <w:bookmarkEnd w:id="111"/>
    <w:bookmarkEnd w:id="112"/>
    <w:p>
      <w:pPr>
        <w:pStyle w:val="6"/>
        <w:spacing w:line="320" w:lineRule="exact"/>
        <w:rPr>
          <w:rFonts w:hAnsi="宋体"/>
          <w:bCs/>
          <w:sz w:val="21"/>
          <w:szCs w:val="21"/>
        </w:rPr>
      </w:pPr>
      <w:bookmarkStart w:id="116" w:name="_Toc464464219"/>
      <w:r>
        <w:rPr>
          <w:rFonts w:hint="eastAsia" w:hAnsi="宋体"/>
          <w:bCs/>
          <w:sz w:val="21"/>
          <w:szCs w:val="21"/>
        </w:rPr>
        <w:t>37.   其他</w:t>
      </w:r>
      <w:bookmarkEnd w:id="116"/>
    </w:p>
    <w:p>
      <w:pPr>
        <w:spacing w:before="46" w:after="46" w:line="320" w:lineRule="exact"/>
        <w:ind w:left="840" w:hanging="840" w:hangingChars="400"/>
        <w:rPr>
          <w:rFonts w:ascii="宋体" w:hAnsi="宋体"/>
          <w:szCs w:val="21"/>
        </w:rPr>
      </w:pPr>
      <w:r>
        <w:rPr>
          <w:rFonts w:hint="eastAsia" w:ascii="宋体" w:hAnsi="宋体"/>
          <w:szCs w:val="21"/>
        </w:rPr>
        <w:t>37.1　　如果成交供应商没有按照上述第32条的规定执行，采购人将取消该成交决定，在此情况下，采购人可选下一个成交候选人。</w:t>
      </w:r>
    </w:p>
    <w:p>
      <w:pPr>
        <w:spacing w:before="46" w:after="46" w:line="320" w:lineRule="exact"/>
        <w:rPr>
          <w:rFonts w:ascii="宋体" w:hAnsi="宋体"/>
          <w:szCs w:val="21"/>
        </w:rPr>
      </w:pPr>
      <w:r>
        <w:rPr>
          <w:rFonts w:hint="eastAsia" w:ascii="宋体" w:hAnsi="宋体"/>
          <w:szCs w:val="21"/>
        </w:rPr>
        <w:t>37.2　　供应商应满足采购人提出的其他技术及服务要求。</w:t>
      </w:r>
    </w:p>
    <w:p>
      <w:pPr>
        <w:spacing w:before="46" w:after="46" w:line="320" w:lineRule="exact"/>
        <w:rPr>
          <w:rFonts w:ascii="宋体" w:hAnsi="宋体"/>
          <w:b/>
          <w:bCs/>
          <w:szCs w:val="21"/>
        </w:rPr>
      </w:pPr>
      <w:r>
        <w:rPr>
          <w:rFonts w:hint="eastAsia" w:ascii="宋体" w:hAnsi="宋体"/>
          <w:b/>
          <w:bCs/>
          <w:szCs w:val="21"/>
        </w:rPr>
        <w:t xml:space="preserve">38.　 中、小、微企业 </w:t>
      </w:r>
    </w:p>
    <w:p>
      <w:pPr>
        <w:spacing w:before="46" w:after="46" w:line="320" w:lineRule="exact"/>
        <w:ind w:left="840" w:hanging="840" w:hangingChars="400"/>
        <w:rPr>
          <w:rFonts w:ascii="宋体" w:hAnsi="宋体"/>
          <w:szCs w:val="21"/>
        </w:rPr>
      </w:pPr>
      <w:r>
        <w:rPr>
          <w:rFonts w:hint="eastAsia" w:ascii="宋体" w:hAnsi="宋体"/>
          <w:szCs w:val="21"/>
        </w:rPr>
        <w:t xml:space="preserve">38.1　　本次磋商供应商如为中、小、微企业的，在参加本次采购项目时，必须提供《中小企业声明函》以及企业所在地的县级以上中小企业主管部门出具的中、小、微企业认定有效证明。 </w:t>
      </w:r>
    </w:p>
    <w:p>
      <w:pPr>
        <w:spacing w:before="46" w:after="46" w:line="320" w:lineRule="exact"/>
        <w:ind w:left="857" w:hanging="856" w:hangingChars="408"/>
        <w:rPr>
          <w:rFonts w:ascii="宋体" w:hAnsi="宋体"/>
          <w:szCs w:val="21"/>
        </w:rPr>
      </w:pPr>
      <w:r>
        <w:rPr>
          <w:rFonts w:hint="eastAsia" w:ascii="宋体" w:hAnsi="宋体"/>
          <w:szCs w:val="21"/>
        </w:rPr>
        <w:t xml:space="preserve">38.2　　本次磋商供应商如为中、小、微企业的，在参加本次采购项目时，提供其他中小企业制造货物的，必须同时提供货物制造企业的《中小企业声明函》以及企业所在地的县级以上中小企业主管部门出具的中、小、微企业认定有效证明。 </w:t>
      </w:r>
    </w:p>
    <w:p>
      <w:pPr>
        <w:spacing w:before="46" w:after="46" w:line="320" w:lineRule="exact"/>
        <w:rPr>
          <w:rFonts w:ascii="宋体" w:hAnsi="宋体"/>
          <w:szCs w:val="21"/>
        </w:rPr>
      </w:pPr>
      <w:r>
        <w:rPr>
          <w:rFonts w:hint="eastAsia" w:ascii="宋体" w:hAnsi="宋体"/>
          <w:szCs w:val="21"/>
        </w:rPr>
        <w:t xml:space="preserve">38.3　　小型、微型企业提供中型企业制造的货物的，视同为中型企业。 </w:t>
      </w:r>
    </w:p>
    <w:p>
      <w:pPr>
        <w:spacing w:before="46" w:after="46" w:line="320" w:lineRule="exact"/>
        <w:rPr>
          <w:rFonts w:ascii="宋体" w:hAnsi="宋体"/>
          <w:szCs w:val="21"/>
        </w:rPr>
      </w:pPr>
      <w:r>
        <w:rPr>
          <w:rFonts w:hint="eastAsia" w:ascii="宋体" w:hAnsi="宋体"/>
          <w:szCs w:val="21"/>
        </w:rPr>
        <w:t xml:space="preserve">38.4　　对小型和微型企业产品的价格给予 6%的扣除，用扣除后的价格参与评审。 </w:t>
      </w:r>
    </w:p>
    <w:p>
      <w:pPr>
        <w:spacing w:before="46" w:after="46" w:line="320" w:lineRule="exact"/>
        <w:rPr>
          <w:rFonts w:ascii="宋体" w:hAnsi="宋体"/>
          <w:szCs w:val="21"/>
        </w:rPr>
      </w:pPr>
      <w:r>
        <w:rPr>
          <w:rFonts w:hint="eastAsia" w:ascii="宋体" w:hAnsi="宋体"/>
          <w:szCs w:val="21"/>
        </w:rPr>
        <w:t>38.5　　监狱企业参加采购项目时，必须提供省级以上监狱管理局、戒毒管理局（含新疆生产建设兵　</w:t>
      </w:r>
    </w:p>
    <w:p>
      <w:pPr>
        <w:spacing w:before="46" w:after="46" w:line="320" w:lineRule="exact"/>
        <w:rPr>
          <w:rFonts w:ascii="宋体" w:hAnsi="宋体"/>
          <w:szCs w:val="21"/>
        </w:rPr>
      </w:pPr>
      <w:r>
        <w:rPr>
          <w:rFonts w:hint="eastAsia" w:ascii="宋体" w:hAnsi="宋体"/>
          <w:szCs w:val="21"/>
        </w:rPr>
        <w:t xml:space="preserve">　　　　团）出具的属于监狱企业证明文件。 </w:t>
      </w:r>
    </w:p>
    <w:p>
      <w:pPr>
        <w:spacing w:before="46" w:after="46" w:line="320" w:lineRule="exact"/>
        <w:rPr>
          <w:rFonts w:ascii="宋体" w:hAnsi="宋体"/>
          <w:szCs w:val="21"/>
        </w:rPr>
      </w:pPr>
      <w:r>
        <w:rPr>
          <w:rFonts w:hint="eastAsia" w:ascii="宋体" w:hAnsi="宋体"/>
          <w:szCs w:val="21"/>
        </w:rPr>
        <w:t>38.6　　监狱企业视同小型、微型企业，享受评审中价格扣除等政府促进中小企业发展的政府采购政策。</w:t>
      </w:r>
    </w:p>
    <w:p>
      <w:pPr>
        <w:spacing w:before="46" w:after="46" w:line="320" w:lineRule="exact"/>
        <w:ind w:left="840" w:hanging="840" w:hangingChars="400"/>
        <w:rPr>
          <w:rFonts w:ascii="宋体" w:hAnsi="宋体"/>
          <w:szCs w:val="21"/>
        </w:rPr>
      </w:pPr>
      <w:r>
        <w:rPr>
          <w:rFonts w:hint="eastAsia" w:ascii="宋体" w:hAnsi="宋体"/>
          <w:szCs w:val="21"/>
        </w:rPr>
        <w:t xml:space="preserve">38.7 　 符合条件的残疾人福利性单位，应当提供《残疾人福利性单位声明函》证明文件，残疾人福利性单位属于小型、微型企业的，不重复享受政策。 </w:t>
      </w:r>
    </w:p>
    <w:p>
      <w:pPr>
        <w:spacing w:before="46" w:after="46" w:line="320" w:lineRule="exact"/>
        <w:rPr>
          <w:rFonts w:ascii="宋体" w:hAnsi="宋体"/>
          <w:b/>
          <w:bCs/>
          <w:szCs w:val="21"/>
        </w:rPr>
      </w:pPr>
      <w:r>
        <w:rPr>
          <w:rFonts w:hint="eastAsia" w:ascii="宋体" w:hAnsi="宋体"/>
          <w:b/>
          <w:bCs/>
          <w:szCs w:val="21"/>
        </w:rPr>
        <w:t xml:space="preserve">39． 节能、环保产品 </w:t>
      </w:r>
    </w:p>
    <w:p>
      <w:pPr>
        <w:spacing w:before="46" w:after="46" w:line="320" w:lineRule="exact"/>
        <w:rPr>
          <w:rFonts w:ascii="宋体" w:hAnsi="宋体"/>
          <w:szCs w:val="21"/>
        </w:rPr>
      </w:pPr>
      <w:r>
        <w:rPr>
          <w:rFonts w:hint="eastAsia" w:ascii="宋体" w:hAnsi="宋体"/>
          <w:szCs w:val="21"/>
        </w:rPr>
        <w:t xml:space="preserve">39.1　  节能产品是指列入《节能产品政府采购清单》的产品； </w:t>
      </w:r>
    </w:p>
    <w:p>
      <w:pPr>
        <w:spacing w:before="46" w:after="46" w:line="320" w:lineRule="exact"/>
        <w:rPr>
          <w:rFonts w:ascii="宋体" w:hAnsi="宋体"/>
          <w:szCs w:val="21"/>
        </w:rPr>
      </w:pPr>
      <w:r>
        <w:rPr>
          <w:rFonts w:hint="eastAsia" w:ascii="宋体" w:hAnsi="宋体"/>
          <w:szCs w:val="21"/>
        </w:rPr>
        <w:t xml:space="preserve">39.2　  环保产品是指列入《环境标志产品政府采购清单》的产品； </w:t>
      </w:r>
    </w:p>
    <w:p>
      <w:pPr>
        <w:spacing w:before="46" w:after="46" w:line="320" w:lineRule="exact"/>
        <w:ind w:left="840" w:hanging="840" w:hangingChars="400"/>
        <w:rPr>
          <w:rFonts w:ascii="宋体" w:hAnsi="宋体"/>
          <w:szCs w:val="21"/>
        </w:rPr>
      </w:pPr>
      <w:r>
        <w:rPr>
          <w:rFonts w:hint="eastAsia" w:ascii="宋体" w:hAnsi="宋体"/>
          <w:szCs w:val="21"/>
        </w:rPr>
        <w:t xml:space="preserve">39.3　 《节能产品政府采购清单》《环境标志产品政府采购清单》以《中国政府采购网》发布的最新一期为准； </w:t>
      </w:r>
    </w:p>
    <w:p>
      <w:pPr>
        <w:spacing w:before="46" w:after="46" w:line="320" w:lineRule="exact"/>
        <w:rPr>
          <w:rFonts w:ascii="宋体" w:hAnsi="宋体"/>
          <w:szCs w:val="21"/>
        </w:rPr>
      </w:pPr>
      <w:r>
        <w:rPr>
          <w:rFonts w:hint="eastAsia" w:ascii="宋体" w:hAnsi="宋体"/>
          <w:szCs w:val="21"/>
        </w:rPr>
        <w:t xml:space="preserve">39.4 　 如属节能、环保产品需提供所在清单页的复印件或截图； </w:t>
      </w:r>
    </w:p>
    <w:p>
      <w:pPr>
        <w:spacing w:before="46" w:after="46" w:line="320" w:lineRule="exact"/>
        <w:rPr>
          <w:rFonts w:ascii="宋体" w:hAnsi="宋体"/>
          <w:szCs w:val="21"/>
        </w:rPr>
      </w:pPr>
      <w:r>
        <w:rPr>
          <w:rFonts w:hint="eastAsia" w:ascii="宋体" w:hAnsi="宋体"/>
          <w:szCs w:val="21"/>
        </w:rPr>
        <w:t>39.5　　优先采购节能、环保产品。</w:t>
      </w:r>
    </w:p>
    <w:p>
      <w:pPr>
        <w:pStyle w:val="6"/>
        <w:spacing w:before="46" w:after="46" w:line="320" w:lineRule="exact"/>
        <w:ind w:left="899" w:hanging="899"/>
        <w:rPr>
          <w:rFonts w:hAnsi="宋体"/>
          <w:sz w:val="21"/>
          <w:szCs w:val="21"/>
        </w:rPr>
      </w:pPr>
      <w:bookmarkStart w:id="117" w:name="_Toc464464220"/>
      <w:r>
        <w:rPr>
          <w:rFonts w:hint="eastAsia" w:hAnsi="宋体"/>
          <w:sz w:val="21"/>
          <w:szCs w:val="21"/>
        </w:rPr>
        <w:t>40.  解释权</w:t>
      </w:r>
      <w:bookmarkEnd w:id="117"/>
    </w:p>
    <w:p>
      <w:pPr>
        <w:spacing w:before="46" w:after="46" w:line="320" w:lineRule="exact"/>
        <w:ind w:left="900" w:hanging="900"/>
        <w:rPr>
          <w:rFonts w:ascii="宋体" w:hAnsi="宋体"/>
          <w:szCs w:val="21"/>
        </w:rPr>
      </w:pPr>
      <w:r>
        <w:rPr>
          <w:rFonts w:hint="eastAsia" w:ascii="宋体" w:hAnsi="宋体"/>
          <w:szCs w:val="21"/>
        </w:rPr>
        <w:t xml:space="preserve">    本磋商文件是根据国家有关法律、法规以及政府采购管理有关规定编制，解释权属本招标代理机构。</w:t>
      </w:r>
    </w:p>
    <w:p>
      <w:pPr>
        <w:spacing w:before="46" w:after="46" w:line="360" w:lineRule="exact"/>
        <w:rPr>
          <w:rFonts w:ascii="宋体" w:hAnsi="宋体"/>
          <w:b/>
          <w:sz w:val="32"/>
          <w:szCs w:val="32"/>
        </w:rPr>
      </w:pPr>
      <w:bookmarkStart w:id="118" w:name="_Toc314063841"/>
    </w:p>
    <w:p>
      <w:pPr>
        <w:spacing w:before="46" w:after="46" w:line="360" w:lineRule="exact"/>
        <w:ind w:firstLine="2731" w:firstLineChars="850"/>
        <w:rPr>
          <w:rFonts w:ascii="宋体" w:hAnsi="宋体"/>
          <w:b/>
          <w:sz w:val="32"/>
          <w:szCs w:val="32"/>
        </w:rPr>
      </w:pPr>
    </w:p>
    <w:p>
      <w:pPr>
        <w:spacing w:before="46" w:after="46" w:line="360" w:lineRule="exact"/>
        <w:ind w:firstLine="2731" w:firstLineChars="850"/>
        <w:rPr>
          <w:rFonts w:ascii="宋体" w:hAnsi="宋体"/>
          <w:b/>
          <w:sz w:val="32"/>
          <w:szCs w:val="32"/>
        </w:rPr>
      </w:pPr>
    </w:p>
    <w:p>
      <w:pPr>
        <w:spacing w:before="46" w:after="46" w:line="360" w:lineRule="exact"/>
        <w:ind w:firstLine="2731" w:firstLineChars="850"/>
        <w:rPr>
          <w:rFonts w:ascii="宋体" w:hAnsi="宋体"/>
          <w:b/>
          <w:sz w:val="32"/>
          <w:szCs w:val="32"/>
        </w:rPr>
      </w:pPr>
    </w:p>
    <w:p>
      <w:pPr>
        <w:spacing w:before="46" w:after="46" w:line="360" w:lineRule="exact"/>
        <w:ind w:firstLine="2731" w:firstLineChars="850"/>
        <w:rPr>
          <w:rFonts w:ascii="宋体" w:hAnsi="宋体"/>
          <w:b/>
          <w:sz w:val="32"/>
          <w:szCs w:val="32"/>
        </w:rPr>
      </w:pPr>
    </w:p>
    <w:p>
      <w:pPr>
        <w:spacing w:before="46" w:after="46" w:line="360" w:lineRule="exact"/>
        <w:ind w:firstLine="2731" w:firstLineChars="850"/>
        <w:rPr>
          <w:rFonts w:ascii="宋体" w:hAnsi="宋体"/>
          <w:b/>
          <w:sz w:val="32"/>
          <w:szCs w:val="32"/>
        </w:rPr>
      </w:pPr>
    </w:p>
    <w:p>
      <w:pPr>
        <w:spacing w:before="46" w:after="46" w:line="360" w:lineRule="exact"/>
        <w:ind w:firstLine="2731" w:firstLineChars="850"/>
        <w:rPr>
          <w:rFonts w:ascii="宋体" w:hAnsi="宋体"/>
          <w:b/>
          <w:sz w:val="32"/>
          <w:szCs w:val="32"/>
        </w:rPr>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
      <w:pPr>
        <w:pStyle w:val="2"/>
      </w:pPr>
    </w:p>
    <w:p>
      <w:pPr>
        <w:spacing w:before="46" w:after="46" w:line="360" w:lineRule="exact"/>
        <w:rPr>
          <w:rFonts w:ascii="宋体" w:hAnsi="宋体"/>
          <w:b/>
          <w:sz w:val="32"/>
          <w:szCs w:val="32"/>
        </w:rPr>
      </w:pPr>
    </w:p>
    <w:p>
      <w:pPr>
        <w:spacing w:before="46" w:after="46" w:line="360" w:lineRule="exact"/>
        <w:rPr>
          <w:rFonts w:ascii="宋体" w:hAnsi="宋体"/>
          <w:b/>
          <w:sz w:val="32"/>
          <w:szCs w:val="32"/>
        </w:rPr>
      </w:pPr>
    </w:p>
    <w:p>
      <w:pPr>
        <w:spacing w:before="46" w:after="46" w:line="360" w:lineRule="exact"/>
        <w:rPr>
          <w:rFonts w:hint="eastAsia" w:ascii="宋体" w:hAnsi="宋体"/>
          <w:b/>
          <w:sz w:val="32"/>
          <w:szCs w:val="32"/>
        </w:rPr>
      </w:pPr>
    </w:p>
    <w:p>
      <w:pPr>
        <w:pStyle w:val="2"/>
      </w:pPr>
    </w:p>
    <w:p>
      <w:pPr>
        <w:spacing w:before="46" w:after="46" w:line="360" w:lineRule="exact"/>
        <w:jc w:val="center"/>
        <w:rPr>
          <w:rFonts w:hint="eastAsia" w:ascii="宋体" w:hAnsi="宋体"/>
          <w:b/>
          <w:sz w:val="32"/>
          <w:szCs w:val="32"/>
        </w:rPr>
      </w:pPr>
    </w:p>
    <w:p>
      <w:pPr>
        <w:pStyle w:val="2"/>
      </w:pPr>
    </w:p>
    <w:p>
      <w:pPr>
        <w:pStyle w:val="2"/>
        <w:jc w:val="center"/>
      </w:pPr>
    </w:p>
    <w:p>
      <w:pPr>
        <w:spacing w:before="46" w:after="46" w:line="360" w:lineRule="exact"/>
        <w:ind w:firstLine="3213" w:firstLineChars="1000"/>
        <w:jc w:val="both"/>
        <w:rPr>
          <w:rFonts w:ascii="宋体" w:hAnsi="宋体"/>
          <w:b/>
          <w:sz w:val="32"/>
          <w:szCs w:val="32"/>
        </w:rPr>
      </w:pPr>
      <w:r>
        <w:rPr>
          <w:rFonts w:hint="eastAsia" w:ascii="宋体" w:hAnsi="宋体"/>
          <w:b/>
          <w:sz w:val="32"/>
          <w:szCs w:val="32"/>
        </w:rPr>
        <w:t>第三章 响应文件格式</w:t>
      </w:r>
    </w:p>
    <w:p>
      <w:pPr>
        <w:snapToGrid w:val="0"/>
        <w:spacing w:before="165" w:beforeLines="50" w:after="50" w:line="380" w:lineRule="exact"/>
        <w:rPr>
          <w:b/>
          <w:sz w:val="24"/>
        </w:rPr>
      </w:pPr>
    </w:p>
    <w:p>
      <w:pPr>
        <w:outlineLvl w:val="1"/>
        <w:rPr>
          <w:rFonts w:ascii="宋体" w:hAnsi="宋体" w:cs="宋体"/>
          <w:bCs/>
          <w:sz w:val="24"/>
          <w:szCs w:val="24"/>
        </w:rPr>
      </w:pPr>
      <w:r>
        <w:rPr>
          <w:rFonts w:hint="eastAsia" w:ascii="宋体" w:hAnsi="宋体" w:cs="宋体"/>
          <w:bCs/>
          <w:sz w:val="24"/>
          <w:szCs w:val="24"/>
        </w:rPr>
        <w:t>附件1</w:t>
      </w:r>
    </w:p>
    <w:p>
      <w:pPr>
        <w:outlineLvl w:val="1"/>
        <w:rPr>
          <w:rFonts w:ascii="宋体" w:hAnsi="宋体" w:cs="宋体"/>
          <w:bCs/>
          <w:sz w:val="28"/>
          <w:szCs w:val="28"/>
        </w:rPr>
      </w:pPr>
    </w:p>
    <w:p>
      <w:pPr>
        <w:outlineLvl w:val="1"/>
        <w:rPr>
          <w:rFonts w:ascii="宋体" w:hAnsi="宋体" w:cs="宋体"/>
          <w:bCs/>
          <w:sz w:val="28"/>
          <w:szCs w:val="28"/>
        </w:rPr>
      </w:pPr>
    </w:p>
    <w:p>
      <w:pPr>
        <w:outlineLvl w:val="1"/>
        <w:rPr>
          <w:rFonts w:ascii="宋体" w:hAnsi="宋体" w:cs="宋体"/>
          <w:bCs/>
          <w:sz w:val="32"/>
          <w:szCs w:val="32"/>
        </w:rPr>
      </w:pPr>
      <w:r>
        <w:rPr>
          <w:rFonts w:hint="eastAsia" w:ascii="宋体" w:hAnsi="宋体" w:cs="宋体"/>
          <w:sz w:val="32"/>
          <w:szCs w:val="32"/>
        </w:rPr>
        <mc:AlternateContent>
          <mc:Choice Requires="wps">
            <w:drawing>
              <wp:anchor distT="0" distB="0" distL="114300" distR="114300" simplePos="0" relativeHeight="251659264" behindDoc="0" locked="0" layoutInCell="1" allowOverlap="1">
                <wp:simplePos x="0" y="0"/>
                <wp:positionH relativeFrom="column">
                  <wp:posOffset>4705985</wp:posOffset>
                </wp:positionH>
                <wp:positionV relativeFrom="paragraph">
                  <wp:posOffset>-155575</wp:posOffset>
                </wp:positionV>
                <wp:extent cx="1137285" cy="498475"/>
                <wp:effectExtent l="4445" t="5080" r="20320" b="10795"/>
                <wp:wrapNone/>
                <wp:docPr id="4" name="文本框 67"/>
                <wp:cNvGraphicFramePr/>
                <a:graphic xmlns:a="http://schemas.openxmlformats.org/drawingml/2006/main">
                  <a:graphicData uri="http://schemas.microsoft.com/office/word/2010/wordprocessingShape">
                    <wps:wsp>
                      <wps:cNvSpPr txBox="1">
                        <a:spLocks noChangeArrowheads="1"/>
                      </wps:cNvSpPr>
                      <wps:spPr bwMode="auto">
                        <a:xfrm>
                          <a:off x="0" y="0"/>
                          <a:ext cx="1137285" cy="498475"/>
                        </a:xfrm>
                        <a:prstGeom prst="rect">
                          <a:avLst/>
                        </a:prstGeom>
                        <a:solidFill>
                          <a:srgbClr val="FFFFFF"/>
                        </a:solidFill>
                        <a:ln w="9525">
                          <a:solidFill>
                            <a:srgbClr val="000000"/>
                          </a:solidFill>
                          <a:miter lim="800000"/>
                        </a:ln>
                      </wps:spPr>
                      <wps:txbx>
                        <w:txbxContent>
                          <w:p>
                            <w:pPr>
                              <w:rPr>
                                <w:rFonts w:ascii="黑体" w:eastAsia="黑体"/>
                                <w:b/>
                                <w:sz w:val="28"/>
                                <w:szCs w:val="28"/>
                              </w:rPr>
                            </w:pPr>
                            <w:r>
                              <w:rPr>
                                <w:rFonts w:hint="eastAsia" w:ascii="黑体" w:hAnsi="宋体" w:eastAsia="黑体"/>
                                <w:b/>
                                <w:sz w:val="28"/>
                                <w:szCs w:val="28"/>
                              </w:rPr>
                              <w:t>正本或副本</w:t>
                            </w:r>
                          </w:p>
                        </w:txbxContent>
                      </wps:txbx>
                      <wps:bodyPr rot="0" vert="horz" wrap="square" lIns="91440" tIns="45720" rIns="91440" bIns="45720" anchor="t" anchorCtr="0" upright="1">
                        <a:spAutoFit/>
                      </wps:bodyPr>
                    </wps:wsp>
                  </a:graphicData>
                </a:graphic>
                <wp14:sizeRelH relativeFrom="page">
                  <wp14:pctWidth>0</wp14:pctWidth>
                </wp14:sizeRelH>
                <wp14:sizeRelV relativeFrom="margin">
                  <wp14:pctHeight>20000</wp14:pctHeight>
                </wp14:sizeRelV>
              </wp:anchor>
            </w:drawing>
          </mc:Choice>
          <mc:Fallback>
            <w:pict>
              <v:shape id="文本框 67" o:spid="_x0000_s1026" o:spt="202" type="#_x0000_t202" style="position:absolute;left:0pt;margin-left:370.55pt;margin-top:-12.25pt;height:39.25pt;width:89.55pt;z-index:251659264;mso-width-relative:page;mso-height-relative:margin;mso-height-percent:200;" fillcolor="#FFFFFF" filled="t" stroked="t" coordsize="21600,21600" o:gfxdata="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d&#10;A4GP2AAAAAoBAAAPAAAAAAAAAAEAIAAAACIAAABkcnMvZG93bnJldi54bWxQSwECFAAUAAAACACH&#10;TuJAhumj3iQCAAA6BAAADgAAAAAAAAABACAAAAAnAQAAZHJzL2Uyb0RvYy54bWxQSwUGAAAAAAYA&#10;BgBZAQAAvQUAAAAA&#10;">
                <v:fill on="t" focussize="0,0"/>
                <v:stroke color="#000000" miterlimit="8" joinstyle="miter"/>
                <v:imagedata o:title=""/>
                <o:lock v:ext="edit" aspectratio="f"/>
                <v:textbox style="mso-fit-shape-to-text:t;">
                  <w:txbxContent>
                    <w:p>
                      <w:pPr>
                        <w:rPr>
                          <w:rFonts w:ascii="黑体" w:eastAsia="黑体"/>
                          <w:b/>
                          <w:sz w:val="28"/>
                          <w:szCs w:val="28"/>
                        </w:rPr>
                      </w:pPr>
                      <w:r>
                        <w:rPr>
                          <w:rFonts w:hint="eastAsia" w:ascii="黑体" w:hAnsi="宋体" w:eastAsia="黑体"/>
                          <w:b/>
                          <w:sz w:val="28"/>
                          <w:szCs w:val="28"/>
                        </w:rPr>
                        <w:t>正本或副本</w:t>
                      </w:r>
                    </w:p>
                  </w:txbxContent>
                </v:textbox>
              </v:shape>
            </w:pict>
          </mc:Fallback>
        </mc:AlternateContent>
      </w:r>
      <w:r>
        <w:rPr>
          <w:rFonts w:hint="eastAsia" w:ascii="宋体" w:hAnsi="宋体" w:cs="宋体"/>
          <w:bCs/>
          <w:sz w:val="28"/>
          <w:szCs w:val="28"/>
        </w:rPr>
        <w:t>响应文件封面格式</w:t>
      </w:r>
    </w:p>
    <w:p>
      <w:pPr>
        <w:jc w:val="right"/>
        <w:rPr>
          <w:rFonts w:ascii="宋体" w:hAnsi="宋体" w:cs="宋体"/>
          <w:sz w:val="32"/>
          <w:szCs w:val="32"/>
        </w:rPr>
      </w:pPr>
    </w:p>
    <w:p>
      <w:pPr>
        <w:jc w:val="right"/>
        <w:rPr>
          <w:rFonts w:ascii="宋体" w:hAnsi="宋体" w:cs="宋体"/>
          <w:b/>
          <w:spacing w:val="78"/>
          <w:sz w:val="32"/>
          <w:szCs w:val="32"/>
        </w:rPr>
      </w:pPr>
    </w:p>
    <w:p>
      <w:pPr>
        <w:jc w:val="left"/>
        <w:rPr>
          <w:rFonts w:ascii="宋体" w:hAnsi="宋体" w:cs="宋体"/>
          <w:b/>
          <w:spacing w:val="78"/>
          <w:sz w:val="32"/>
          <w:szCs w:val="32"/>
        </w:rPr>
      </w:pPr>
      <w:r>
        <w:rPr>
          <w:rFonts w:hint="eastAsia" w:ascii="宋体" w:hAnsi="宋体" w:cs="宋体"/>
          <w:b/>
          <w:spacing w:val="78"/>
          <w:sz w:val="32"/>
          <w:szCs w:val="32"/>
        </w:rPr>
        <w:t xml:space="preserve">            </w:t>
      </w:r>
      <w:r>
        <w:rPr>
          <w:rFonts w:hint="eastAsia" w:ascii="宋体" w:hAnsi="宋体" w:cs="宋体"/>
          <w:b/>
          <w:spacing w:val="78"/>
          <w:sz w:val="48"/>
          <w:szCs w:val="48"/>
        </w:rPr>
        <w:t>项目名称</w:t>
      </w:r>
    </w:p>
    <w:p>
      <w:pPr>
        <w:rPr>
          <w:rFonts w:ascii="黑体" w:hAnsi="黑体" w:eastAsia="黑体" w:cs="黑体"/>
          <w:b/>
          <w:spacing w:val="78"/>
          <w:sz w:val="52"/>
          <w:szCs w:val="52"/>
        </w:rPr>
      </w:pPr>
    </w:p>
    <w:p>
      <w:pPr>
        <w:jc w:val="center"/>
        <w:rPr>
          <w:rFonts w:ascii="黑体" w:hAnsi="黑体" w:eastAsia="黑体" w:cs="黑体"/>
          <w:b/>
          <w:spacing w:val="78"/>
          <w:sz w:val="52"/>
          <w:szCs w:val="52"/>
        </w:rPr>
      </w:pPr>
      <w:r>
        <w:rPr>
          <w:rFonts w:hint="eastAsia" w:ascii="黑体" w:hAnsi="黑体" w:eastAsia="黑体" w:cs="黑体"/>
          <w:b/>
          <w:spacing w:val="78"/>
          <w:sz w:val="52"/>
          <w:szCs w:val="52"/>
        </w:rPr>
        <w:t>响 应 文 件</w:t>
      </w:r>
    </w:p>
    <w:p>
      <w:pPr>
        <w:rPr>
          <w:rFonts w:ascii="宋体" w:hAnsi="宋体" w:cs="宋体"/>
          <w:b/>
          <w:bCs/>
          <w:sz w:val="32"/>
          <w:szCs w:val="32"/>
        </w:rPr>
      </w:pPr>
      <w:r>
        <w:rPr>
          <w:rFonts w:hint="eastAsia" w:ascii="宋体" w:hAnsi="宋体" w:cs="宋体"/>
          <w:b/>
          <w:bCs/>
          <w:sz w:val="32"/>
          <w:szCs w:val="32"/>
        </w:rPr>
        <w:t xml:space="preserve">                         项目编号：</w:t>
      </w:r>
    </w:p>
    <w:p>
      <w:pPr>
        <w:snapToGrid w:val="0"/>
        <w:spacing w:before="165" w:beforeLines="50" w:after="50" w:line="380" w:lineRule="exact"/>
        <w:jc w:val="center"/>
        <w:rPr>
          <w:b/>
          <w:sz w:val="24"/>
        </w:rPr>
      </w:pPr>
    </w:p>
    <w:p>
      <w:pPr>
        <w:snapToGrid w:val="0"/>
        <w:spacing w:before="165" w:beforeLines="50" w:after="50" w:line="380" w:lineRule="exact"/>
        <w:jc w:val="center"/>
        <w:rPr>
          <w:b/>
          <w:sz w:val="24"/>
        </w:rPr>
      </w:pPr>
    </w:p>
    <w:p>
      <w:pPr>
        <w:rPr>
          <w:rFonts w:ascii="宋体" w:hAnsi="宋体" w:cs="宋体"/>
          <w:b/>
          <w:bCs/>
          <w:sz w:val="32"/>
          <w:szCs w:val="32"/>
        </w:rPr>
      </w:pPr>
      <w:r>
        <w:rPr>
          <w:rFonts w:hint="eastAsia" w:ascii="宋体" w:hAnsi="宋体" w:cs="宋体"/>
          <w:b/>
          <w:bCs/>
          <w:sz w:val="32"/>
          <w:szCs w:val="32"/>
        </w:rPr>
        <w:t xml:space="preserve">             供应商（加盖公章）：</w:t>
      </w:r>
      <w:r>
        <w:rPr>
          <w:rFonts w:hint="eastAsia" w:ascii="宋体" w:hAnsi="宋体" w:cs="宋体"/>
          <w:b/>
          <w:bCs/>
          <w:sz w:val="32"/>
          <w:szCs w:val="32"/>
          <w:u w:val="single"/>
        </w:rPr>
        <w:t xml:space="preserve">            </w:t>
      </w:r>
    </w:p>
    <w:p>
      <w:pPr>
        <w:ind w:left="1890" w:leftChars="900"/>
        <w:rPr>
          <w:rFonts w:ascii="宋体" w:hAnsi="宋体" w:cs="宋体"/>
          <w:b/>
          <w:bCs/>
          <w:sz w:val="32"/>
          <w:szCs w:val="32"/>
        </w:rPr>
      </w:pPr>
    </w:p>
    <w:p>
      <w:pPr>
        <w:ind w:left="1890" w:leftChars="900"/>
        <w:rPr>
          <w:rFonts w:ascii="宋体" w:hAnsi="宋体" w:cs="宋体"/>
          <w:b/>
          <w:bCs/>
          <w:spacing w:val="-40"/>
          <w:sz w:val="32"/>
          <w:szCs w:val="32"/>
        </w:rPr>
      </w:pPr>
      <w:r>
        <w:rPr>
          <w:rFonts w:hint="eastAsia" w:ascii="宋体" w:hAnsi="宋体" w:cs="宋体"/>
          <w:b/>
          <w:bCs/>
          <w:spacing w:val="-24"/>
          <w:sz w:val="32"/>
          <w:szCs w:val="32"/>
        </w:rPr>
        <w:t xml:space="preserve"> 法定代表人或其委托代理人签字</w:t>
      </w:r>
      <w:r>
        <w:rPr>
          <w:rFonts w:hint="eastAsia" w:ascii="宋体" w:hAnsi="宋体" w:cs="宋体"/>
          <w:b/>
          <w:bCs/>
          <w:spacing w:val="-40"/>
          <w:sz w:val="32"/>
          <w:szCs w:val="32"/>
        </w:rPr>
        <w:t>：</w:t>
      </w:r>
      <w:r>
        <w:rPr>
          <w:rFonts w:hint="eastAsia" w:ascii="宋体" w:hAnsi="宋体" w:cs="宋体"/>
          <w:b/>
          <w:bCs/>
          <w:spacing w:val="-40"/>
          <w:sz w:val="32"/>
          <w:szCs w:val="32"/>
          <w:u w:val="single"/>
        </w:rPr>
        <w:t xml:space="preserve">                   </w:t>
      </w:r>
    </w:p>
    <w:p>
      <w:pPr>
        <w:jc w:val="center"/>
        <w:rPr>
          <w:rFonts w:ascii="宋体" w:hAnsi="宋体" w:cs="宋体"/>
          <w:b/>
          <w:bCs/>
          <w:sz w:val="32"/>
          <w:szCs w:val="32"/>
        </w:rPr>
      </w:pPr>
    </w:p>
    <w:p>
      <w:pPr>
        <w:outlineLvl w:val="1"/>
        <w:rPr>
          <w:rFonts w:hint="eastAsia" w:ascii="宋体" w:hAnsi="宋体" w:cs="宋体"/>
          <w:b/>
          <w:bCs/>
          <w:sz w:val="32"/>
          <w:szCs w:val="32"/>
        </w:rPr>
      </w:pPr>
      <w:r>
        <w:rPr>
          <w:rFonts w:hint="eastAsia" w:ascii="宋体" w:hAnsi="宋体" w:cs="宋体"/>
          <w:b/>
          <w:bCs/>
          <w:sz w:val="32"/>
          <w:szCs w:val="32"/>
        </w:rPr>
        <w:t xml:space="preserve">            日期：      年   月    日</w:t>
      </w:r>
    </w:p>
    <w:p>
      <w:pPr>
        <w:outlineLvl w:val="1"/>
        <w:rPr>
          <w:rFonts w:hint="eastAsia" w:ascii="宋体" w:hAnsi="宋体" w:cs="宋体"/>
          <w:b/>
          <w:bCs/>
          <w:sz w:val="32"/>
          <w:szCs w:val="32"/>
        </w:rPr>
      </w:pPr>
    </w:p>
    <w:p>
      <w:pPr>
        <w:outlineLvl w:val="1"/>
        <w:rPr>
          <w:rFonts w:ascii="宋体" w:hAnsi="宋体" w:cs="宋体"/>
          <w:bCs/>
          <w:sz w:val="24"/>
          <w:szCs w:val="24"/>
        </w:rPr>
      </w:pPr>
      <w:r>
        <w:rPr>
          <w:rFonts w:hint="eastAsia" w:ascii="宋体" w:hAnsi="宋体" w:cs="宋体"/>
          <w:bCs/>
          <w:sz w:val="24"/>
          <w:szCs w:val="24"/>
        </w:rPr>
        <w:t>附件2</w:t>
      </w:r>
    </w:p>
    <w:p>
      <w:pPr>
        <w:snapToGrid w:val="0"/>
        <w:spacing w:before="165" w:beforeLines="50" w:after="50" w:line="380" w:lineRule="exact"/>
        <w:rPr>
          <w:b/>
          <w:sz w:val="24"/>
        </w:rPr>
      </w:pPr>
    </w:p>
    <w:p>
      <w:pPr>
        <w:snapToGrid w:val="0"/>
        <w:spacing w:before="165" w:beforeLines="50" w:after="50" w:line="380" w:lineRule="exact"/>
        <w:ind w:firstLine="3012" w:firstLineChars="1250"/>
        <w:rPr>
          <w:b/>
          <w:sz w:val="24"/>
        </w:rPr>
      </w:pPr>
      <w:r>
        <w:rPr>
          <w:rFonts w:hint="eastAsia"/>
          <w:b/>
          <w:sz w:val="24"/>
        </w:rPr>
        <w:t xml:space="preserve">  法定代表人授权书</w:t>
      </w:r>
    </w:p>
    <w:p>
      <w:pPr>
        <w:snapToGrid w:val="0"/>
        <w:spacing w:before="165" w:beforeLines="50" w:after="50" w:line="380" w:lineRule="exact"/>
        <w:rPr>
          <w:b/>
          <w:sz w:val="24"/>
        </w:rPr>
      </w:pPr>
    </w:p>
    <w:p>
      <w:pPr>
        <w:snapToGrid w:val="0"/>
        <w:spacing w:before="165" w:beforeLines="50" w:after="50" w:line="380" w:lineRule="exact"/>
        <w:rPr>
          <w:b/>
          <w:sz w:val="24"/>
        </w:rPr>
      </w:pPr>
    </w:p>
    <w:p>
      <w:pPr>
        <w:pStyle w:val="2"/>
        <w:spacing w:line="360" w:lineRule="exact"/>
        <w:rPr>
          <w:rFonts w:hAnsi="宋体"/>
          <w:szCs w:val="21"/>
        </w:rPr>
      </w:pPr>
      <w:r>
        <w:rPr>
          <w:rFonts w:hint="eastAsia" w:hAnsi="宋体"/>
          <w:bCs/>
          <w:szCs w:val="21"/>
        </w:rPr>
        <w:t>致：</w:t>
      </w:r>
      <w:r>
        <w:rPr>
          <w:rFonts w:hAnsi="宋体"/>
          <w:bCs/>
          <w:szCs w:val="21"/>
        </w:rPr>
        <w:t>__________</w:t>
      </w:r>
      <w:r>
        <w:rPr>
          <w:rFonts w:hint="eastAsia" w:hAnsi="宋体"/>
          <w:bCs/>
          <w:szCs w:val="21"/>
        </w:rPr>
        <w:t xml:space="preserve">（采购机构名称） </w:t>
      </w:r>
      <w:r>
        <w:rPr>
          <w:rFonts w:hAnsi="宋体"/>
          <w:bCs/>
          <w:szCs w:val="21"/>
        </w:rPr>
        <w:t>：</w:t>
      </w:r>
    </w:p>
    <w:p>
      <w:pPr>
        <w:pStyle w:val="2"/>
        <w:spacing w:line="360" w:lineRule="exact"/>
        <w:ind w:firstLine="472" w:firstLineChars="225"/>
        <w:rPr>
          <w:rFonts w:hAnsi="宋体"/>
          <w:szCs w:val="21"/>
        </w:rPr>
      </w:pPr>
      <w:r>
        <w:rPr>
          <w:rFonts w:hint="eastAsia" w:hAnsi="宋体"/>
          <w:szCs w:val="21"/>
        </w:rPr>
        <w:t>兹授权</w:t>
      </w:r>
      <w:r>
        <w:rPr>
          <w:rFonts w:hint="eastAsia" w:hAnsi="宋体"/>
          <w:szCs w:val="21"/>
          <w:u w:val="single"/>
        </w:rPr>
        <w:t xml:space="preserve">                     </w:t>
      </w:r>
      <w:r>
        <w:rPr>
          <w:rFonts w:hint="eastAsia" w:hAnsi="宋体"/>
          <w:szCs w:val="21"/>
        </w:rPr>
        <w:t>同志为我方参加</w:t>
      </w:r>
      <w:r>
        <w:rPr>
          <w:rFonts w:hint="eastAsia" w:hAnsi="宋体"/>
          <w:szCs w:val="21"/>
          <w:u w:val="single"/>
        </w:rPr>
        <w:t xml:space="preserve">            </w:t>
      </w:r>
      <w:r>
        <w:rPr>
          <w:rFonts w:hint="eastAsia" w:hAnsi="宋体"/>
          <w:szCs w:val="21"/>
        </w:rPr>
        <w:t>（项目编号：</w:t>
      </w:r>
      <w:r>
        <w:rPr>
          <w:rFonts w:hint="eastAsia" w:hAnsi="宋体"/>
          <w:szCs w:val="21"/>
          <w:u w:val="single"/>
        </w:rPr>
        <w:t xml:space="preserve">                </w:t>
      </w:r>
      <w:r>
        <w:rPr>
          <w:rFonts w:hint="eastAsia" w:hAnsi="宋体"/>
          <w:szCs w:val="21"/>
        </w:rPr>
        <w:t>）磋商代理人，并代表我方全权办理针对上述项目的磋商、响应、评审、签约等具体事务和签署相关文件。本授权书于签字盖章后生效，特此声明。</w:t>
      </w:r>
    </w:p>
    <w:p>
      <w:pPr>
        <w:pStyle w:val="2"/>
        <w:spacing w:line="360" w:lineRule="exact"/>
        <w:ind w:firstLine="472" w:firstLineChars="225"/>
        <w:rPr>
          <w:rFonts w:hAnsi="宋体"/>
          <w:szCs w:val="21"/>
        </w:rPr>
      </w:pPr>
    </w:p>
    <w:p>
      <w:pPr>
        <w:pStyle w:val="2"/>
        <w:spacing w:line="360" w:lineRule="exact"/>
        <w:ind w:firstLine="472" w:firstLineChars="225"/>
        <w:rPr>
          <w:rFonts w:hAnsi="宋体"/>
          <w:szCs w:val="21"/>
        </w:rPr>
      </w:pPr>
    </w:p>
    <w:p>
      <w:pPr>
        <w:pStyle w:val="2"/>
        <w:spacing w:line="360" w:lineRule="exact"/>
        <w:rPr>
          <w:rFonts w:hAnsi="宋体"/>
          <w:szCs w:val="21"/>
        </w:rPr>
      </w:pPr>
      <w:r>
        <w:rPr>
          <w:rFonts w:hint="eastAsia" w:hAnsi="宋体"/>
          <w:szCs w:val="21"/>
        </w:rPr>
        <w:t>附全权代表情况：</w:t>
      </w:r>
    </w:p>
    <w:p>
      <w:pPr>
        <w:pStyle w:val="2"/>
        <w:spacing w:line="360" w:lineRule="exact"/>
        <w:rPr>
          <w:rFonts w:hAnsi="宋体"/>
          <w:szCs w:val="21"/>
        </w:rPr>
      </w:pPr>
      <w:r>
        <w:rPr>
          <w:rFonts w:hint="eastAsia" w:hAnsi="宋体"/>
          <w:szCs w:val="21"/>
        </w:rPr>
        <w:t>姓名：</w:t>
      </w:r>
      <w:r>
        <w:rPr>
          <w:rFonts w:hint="eastAsia" w:hAnsi="宋体"/>
          <w:szCs w:val="21"/>
          <w:u w:val="single"/>
        </w:rPr>
        <w:t xml:space="preserve">       </w:t>
      </w:r>
      <w:r>
        <w:rPr>
          <w:rFonts w:hint="eastAsia" w:hAnsi="宋体"/>
          <w:szCs w:val="21"/>
        </w:rPr>
        <w:t>性别：</w:t>
      </w:r>
      <w:r>
        <w:rPr>
          <w:rFonts w:hint="eastAsia" w:hAnsi="宋体"/>
          <w:szCs w:val="21"/>
          <w:u w:val="single"/>
        </w:rPr>
        <w:t xml:space="preserve">       </w:t>
      </w:r>
      <w:r>
        <w:rPr>
          <w:rFonts w:hint="eastAsia" w:hAnsi="宋体"/>
          <w:szCs w:val="21"/>
        </w:rPr>
        <w:t>身份证号码：</w:t>
      </w:r>
      <w:r>
        <w:rPr>
          <w:rFonts w:hint="eastAsia" w:hAnsi="宋体"/>
          <w:szCs w:val="21"/>
          <w:u w:val="single"/>
        </w:rPr>
        <w:t xml:space="preserve">                 </w:t>
      </w:r>
      <w:r>
        <w:rPr>
          <w:rFonts w:hint="eastAsia" w:hAnsi="宋体"/>
          <w:szCs w:val="21"/>
        </w:rPr>
        <w:t xml:space="preserve"> </w:t>
      </w:r>
    </w:p>
    <w:p>
      <w:pPr>
        <w:pStyle w:val="2"/>
        <w:spacing w:line="360" w:lineRule="exact"/>
        <w:rPr>
          <w:rFonts w:hAnsi="宋体"/>
          <w:szCs w:val="21"/>
        </w:rPr>
      </w:pPr>
      <w:r>
        <w:rPr>
          <w:rFonts w:hint="eastAsia" w:hAnsi="宋体"/>
          <w:szCs w:val="21"/>
        </w:rPr>
        <w:t>部门：</w:t>
      </w:r>
      <w:r>
        <w:rPr>
          <w:rFonts w:hint="eastAsia" w:hAnsi="宋体"/>
          <w:b/>
          <w:bCs/>
          <w:szCs w:val="21"/>
          <w:u w:val="single"/>
        </w:rPr>
        <w:t xml:space="preserve">                    </w:t>
      </w:r>
      <w:r>
        <w:rPr>
          <w:rFonts w:hint="eastAsia" w:hAnsi="宋体"/>
          <w:szCs w:val="21"/>
        </w:rPr>
        <w:t>职      务：</w:t>
      </w:r>
      <w:r>
        <w:rPr>
          <w:rFonts w:hint="eastAsia" w:hAnsi="宋体"/>
          <w:b/>
          <w:bCs/>
          <w:szCs w:val="21"/>
          <w:u w:val="single"/>
        </w:rPr>
        <w:t xml:space="preserve">                 </w:t>
      </w:r>
      <w:r>
        <w:rPr>
          <w:rFonts w:hint="eastAsia" w:hAnsi="宋体"/>
          <w:b/>
          <w:bCs/>
          <w:szCs w:val="21"/>
        </w:rPr>
        <w:t xml:space="preserve"> </w:t>
      </w:r>
    </w:p>
    <w:p>
      <w:pPr>
        <w:pStyle w:val="2"/>
        <w:spacing w:line="360" w:lineRule="exact"/>
        <w:rPr>
          <w:rFonts w:hAnsi="宋体"/>
          <w:szCs w:val="21"/>
        </w:rPr>
      </w:pPr>
      <w:r>
        <w:rPr>
          <w:rFonts w:hint="eastAsia" w:hAnsi="宋体"/>
          <w:szCs w:val="21"/>
        </w:rPr>
        <w:t>通讯地址：</w:t>
      </w:r>
      <w:r>
        <w:rPr>
          <w:rFonts w:hint="eastAsia" w:hAnsi="宋体"/>
          <w:szCs w:val="21"/>
          <w:u w:val="single"/>
        </w:rPr>
        <w:t xml:space="preserve">                      </w:t>
      </w:r>
      <w:r>
        <w:rPr>
          <w:rFonts w:hint="eastAsia" w:hAnsi="宋体"/>
          <w:szCs w:val="21"/>
        </w:rPr>
        <w:t>邮政编码：</w:t>
      </w:r>
      <w:r>
        <w:rPr>
          <w:rFonts w:hint="eastAsia" w:hAnsi="宋体"/>
          <w:szCs w:val="21"/>
          <w:u w:val="single"/>
        </w:rPr>
        <w:t xml:space="preserve">             </w:t>
      </w:r>
    </w:p>
    <w:p>
      <w:pPr>
        <w:pStyle w:val="2"/>
        <w:spacing w:line="360" w:lineRule="exact"/>
        <w:rPr>
          <w:rFonts w:hAnsi="宋体"/>
          <w:szCs w:val="21"/>
        </w:rPr>
      </w:pPr>
      <w:r>
        <w:rPr>
          <w:rFonts w:hint="eastAsia" w:hAnsi="宋体"/>
          <w:szCs w:val="21"/>
        </w:rPr>
        <w:t>电话：</w:t>
      </w:r>
      <w:r>
        <w:rPr>
          <w:rFonts w:hint="eastAsia" w:hAnsi="宋体"/>
          <w:szCs w:val="21"/>
          <w:u w:val="single"/>
        </w:rPr>
        <w:t xml:space="preserve">                    </w:t>
      </w:r>
      <w:r>
        <w:rPr>
          <w:rFonts w:hint="eastAsia" w:hAnsi="宋体"/>
          <w:szCs w:val="21"/>
        </w:rPr>
        <w:t xml:space="preserve"> 传     真：</w:t>
      </w:r>
      <w:r>
        <w:rPr>
          <w:rFonts w:hint="eastAsia" w:hAnsi="宋体"/>
          <w:szCs w:val="21"/>
          <w:u w:val="single"/>
        </w:rPr>
        <w:t xml:space="preserve">                 </w:t>
      </w:r>
    </w:p>
    <w:p>
      <w:pPr>
        <w:pStyle w:val="2"/>
        <w:spacing w:line="360" w:lineRule="exact"/>
        <w:ind w:firstLine="420"/>
        <w:rPr>
          <w:rFonts w:hAnsi="宋体"/>
          <w:szCs w:val="21"/>
        </w:rPr>
      </w:pPr>
    </w:p>
    <w:p>
      <w:pPr>
        <w:pStyle w:val="2"/>
        <w:spacing w:line="360" w:lineRule="exact"/>
        <w:jc w:val="center"/>
        <w:rPr>
          <w:rFonts w:hAnsi="宋体"/>
          <w:szCs w:val="21"/>
        </w:rPr>
      </w:pPr>
    </w:p>
    <w:p>
      <w:pPr>
        <w:pStyle w:val="2"/>
        <w:spacing w:line="360" w:lineRule="exact"/>
        <w:jc w:val="center"/>
        <w:rPr>
          <w:rFonts w:hAnsi="宋体"/>
          <w:szCs w:val="21"/>
        </w:rPr>
      </w:pPr>
    </w:p>
    <w:p>
      <w:pPr>
        <w:rPr>
          <w:rFonts w:ascii="宋体" w:hAnsi="宋体"/>
          <w:szCs w:val="21"/>
        </w:rPr>
      </w:pPr>
      <w:r>
        <w:rPr>
          <w:rFonts w:hint="eastAsia" w:ascii="宋体" w:hAnsi="宋体"/>
          <w:szCs w:val="21"/>
        </w:rPr>
        <mc:AlternateContent>
          <mc:Choice Requires="wpg">
            <w:drawing>
              <wp:anchor distT="0" distB="0" distL="114300" distR="114300" simplePos="0" relativeHeight="251657216" behindDoc="0" locked="1" layoutInCell="1" allowOverlap="1">
                <wp:simplePos x="0" y="0"/>
                <wp:positionH relativeFrom="column">
                  <wp:posOffset>235585</wp:posOffset>
                </wp:positionH>
                <wp:positionV relativeFrom="paragraph">
                  <wp:posOffset>225425</wp:posOffset>
                </wp:positionV>
                <wp:extent cx="4359910" cy="2332990"/>
                <wp:effectExtent l="3175" t="0" r="0" b="3810"/>
                <wp:wrapNone/>
                <wp:docPr id="1" name="Group 24"/>
                <wp:cNvGraphicFramePr/>
                <a:graphic xmlns:a="http://schemas.openxmlformats.org/drawingml/2006/main">
                  <a:graphicData uri="http://schemas.microsoft.com/office/word/2010/wordprocessingGroup">
                    <wpg:wgp>
                      <wpg:cNvGrpSpPr/>
                      <wpg:grpSpPr>
                        <a:xfrm>
                          <a:off x="0" y="0"/>
                          <a:ext cx="4359910" cy="2332990"/>
                          <a:chOff x="0" y="0"/>
                          <a:chExt cx="6417" cy="4107"/>
                        </a:xfrm>
                      </wpg:grpSpPr>
                      <wps:wsp>
                        <wps:cNvPr id="2" name="Picture 25"/>
                        <wps:cNvSpPr>
                          <a:spLocks noChangeAspect="1" noChangeArrowheads="1"/>
                        </wps:cNvSpPr>
                        <wps:spPr bwMode="auto">
                          <a:xfrm>
                            <a:off x="0" y="0"/>
                            <a:ext cx="6417" cy="4107"/>
                          </a:xfrm>
                          <a:prstGeom prst="rect">
                            <a:avLst/>
                          </a:prstGeom>
                          <a:noFill/>
                          <a:ln>
                            <a:noFill/>
                          </a:ln>
                        </wps:spPr>
                        <wps:bodyPr rot="0" vert="horz" wrap="square" lIns="91440" tIns="45720" rIns="91440" bIns="45720" anchor="t" anchorCtr="0" upright="1">
                          <a:noAutofit/>
                        </wps:bodyPr>
                      </wps:wsp>
                      <wps:wsp>
                        <wps:cNvPr id="3" name="Text Box 26"/>
                        <wps:cNvSpPr txBox="1">
                          <a:spLocks noChangeArrowheads="1"/>
                        </wps:cNvSpPr>
                        <wps:spPr bwMode="auto">
                          <a:xfrm>
                            <a:off x="626" y="152"/>
                            <a:ext cx="5478" cy="3651"/>
                          </a:xfrm>
                          <a:prstGeom prst="rect">
                            <a:avLst/>
                          </a:prstGeom>
                          <a:solidFill>
                            <a:srgbClr val="FFFFFF"/>
                          </a:solidFill>
                          <a:ln w="9525">
                            <a:solidFill>
                              <a:srgbClr val="000000"/>
                            </a:solidFill>
                            <a:miter lim="800000"/>
                          </a:ln>
                        </wps:spPr>
                        <wps:txbx>
                          <w:txbxContent>
                            <w:p>
                              <w:pPr>
                                <w:jc w:val="center"/>
                              </w:pPr>
                            </w:p>
                            <w:p>
                              <w:pPr>
                                <w:jc w:val="center"/>
                              </w:pPr>
                            </w:p>
                            <w:p>
                              <w:pPr>
                                <w:jc w:val="center"/>
                                <w:rPr>
                                  <w:rFonts w:ascii="宋体" w:hAnsi="宋体"/>
                                  <w:szCs w:val="21"/>
                                </w:rPr>
                              </w:pPr>
                              <w:r>
                                <w:rPr>
                                  <w:rFonts w:hint="eastAsia" w:ascii="宋体" w:hAnsi="宋体"/>
                                  <w:szCs w:val="21"/>
                                </w:rPr>
                                <w:t>法定代表人及被授权人身份证复印件</w:t>
                              </w:r>
                            </w:p>
                            <w:p>
                              <w:pPr>
                                <w:jc w:val="center"/>
                                <w:rPr>
                                  <w:rFonts w:ascii="宋体" w:hAnsi="宋体"/>
                                  <w:szCs w:val="21"/>
                                </w:rPr>
                              </w:pPr>
                              <w:r>
                                <w:rPr>
                                  <w:rFonts w:hint="eastAsia" w:ascii="宋体" w:hAnsi="宋体"/>
                                  <w:szCs w:val="21"/>
                                </w:rPr>
                                <w:t>（现场查验被授权人身份证原件）</w:t>
                              </w:r>
                            </w:p>
                          </w:txbxContent>
                        </wps:txbx>
                        <wps:bodyPr rot="0" vert="horz" wrap="square" lIns="91440" tIns="45720" rIns="91440" bIns="45720" anchor="t" anchorCtr="0" upright="1">
                          <a:noAutofit/>
                        </wps:bodyPr>
                      </wps:wsp>
                    </wpg:wgp>
                  </a:graphicData>
                </a:graphic>
              </wp:anchor>
            </w:drawing>
          </mc:Choice>
          <mc:Fallback>
            <w:pict>
              <v:group id="Group 24" o:spid="_x0000_s1026" o:spt="203" style="position:absolute;left:0pt;margin-left:18.55pt;margin-top:17.75pt;height:183.7pt;width:343.3pt;z-index:251657216;mso-width-relative:page;mso-height-relative:page;" coordsize="6417,4107" o:gfxdata="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">
                <o:lock v:ext="edit" aspectratio="f"/>
                <v:rect id="Picture 25" o:spid="_x0000_s1026" o:spt="1" style="position:absolute;left:0;top:0;height:4107;width:6417;" filled="f" stroked="f" coordsize="21600,21600" o:gfxdata="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zqtzq8AAAA&#10;2gAAAA8AAAAAAAAAAQAgAAAAIgAAAGRycy9kb3ducmV2LnhtbFBLAQIUABQAAAAIAIdO4kAzLwWe&#10;OwAAADkAAAAQAAAAAAAAAAEAIAAAAAsBAABkcnMvc2hhcGV4bWwueG1sUEsFBgAAAAAGAAYAWwEA&#10;ALUDAAAAAA==&#10;">
                  <v:fill on="f" focussize="0,0"/>
                  <v:stroke on="f"/>
                  <v:imagedata o:title=""/>
                  <o:lock v:ext="edit" aspectratio="t"/>
                </v:rect>
                <v:shape id="Text Box 26" o:spid="_x0000_s1026" o:spt="202" type="#_x0000_t202" style="position:absolute;left:626;top:152;height:3651;width:5478;" fillcolor="#FFFFFF" filled="t" stroked="t" coordsize="21600,21600" o:gfxdata="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gSUnWvQAA&#10;ANo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w:txbxContent>
                      <w:p>
                        <w:pPr>
                          <w:jc w:val="center"/>
                        </w:pPr>
                      </w:p>
                      <w:p>
                        <w:pPr>
                          <w:jc w:val="center"/>
                        </w:pPr>
                      </w:p>
                      <w:p>
                        <w:pPr>
                          <w:jc w:val="center"/>
                          <w:rPr>
                            <w:rFonts w:ascii="宋体" w:hAnsi="宋体"/>
                            <w:szCs w:val="21"/>
                          </w:rPr>
                        </w:pPr>
                        <w:r>
                          <w:rPr>
                            <w:rFonts w:hint="eastAsia" w:ascii="宋体" w:hAnsi="宋体"/>
                            <w:szCs w:val="21"/>
                          </w:rPr>
                          <w:t>法定代表人及被授权人身份证复印件</w:t>
                        </w:r>
                      </w:p>
                      <w:p>
                        <w:pPr>
                          <w:jc w:val="center"/>
                          <w:rPr>
                            <w:rFonts w:ascii="宋体" w:hAnsi="宋体"/>
                            <w:szCs w:val="21"/>
                          </w:rPr>
                        </w:pPr>
                        <w:r>
                          <w:rPr>
                            <w:rFonts w:hint="eastAsia" w:ascii="宋体" w:hAnsi="宋体"/>
                            <w:szCs w:val="21"/>
                          </w:rPr>
                          <w:t>（现场查验被授权人身份证原件）</w:t>
                        </w:r>
                      </w:p>
                    </w:txbxContent>
                  </v:textbox>
                </v:shape>
                <w10:anchorlock/>
              </v:group>
            </w:pict>
          </mc:Fallback>
        </mc:AlternateContent>
      </w: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pStyle w:val="2"/>
        <w:spacing w:line="360" w:lineRule="exact"/>
        <w:rPr>
          <w:rFonts w:hAnsi="宋体"/>
          <w:szCs w:val="21"/>
        </w:rPr>
      </w:pPr>
    </w:p>
    <w:p>
      <w:pPr>
        <w:pStyle w:val="2"/>
        <w:spacing w:line="360" w:lineRule="exact"/>
        <w:rPr>
          <w:rFonts w:hAnsi="宋体"/>
          <w:szCs w:val="21"/>
        </w:rPr>
      </w:pPr>
      <w:r>
        <w:rPr>
          <w:rFonts w:hint="eastAsia" w:hAnsi="宋体"/>
          <w:szCs w:val="21"/>
        </w:rPr>
        <w:t xml:space="preserve">                法定代表人（签字）：</w:t>
      </w:r>
    </w:p>
    <w:p>
      <w:pPr>
        <w:pStyle w:val="2"/>
        <w:spacing w:line="360" w:lineRule="exact"/>
        <w:rPr>
          <w:rFonts w:hAnsi="宋体"/>
          <w:szCs w:val="21"/>
        </w:rPr>
      </w:pPr>
    </w:p>
    <w:p>
      <w:pPr>
        <w:pStyle w:val="2"/>
        <w:spacing w:line="360" w:lineRule="exact"/>
        <w:jc w:val="center"/>
        <w:rPr>
          <w:rFonts w:hAnsi="宋体"/>
          <w:szCs w:val="21"/>
        </w:rPr>
      </w:pPr>
      <w:r>
        <w:rPr>
          <w:rFonts w:hint="eastAsia" w:hAnsi="宋体"/>
          <w:szCs w:val="21"/>
        </w:rPr>
        <w:t xml:space="preserve">                                       </w:t>
      </w:r>
    </w:p>
    <w:p>
      <w:pPr>
        <w:snapToGrid w:val="0"/>
        <w:spacing w:before="165" w:beforeLines="50" w:after="50" w:line="300" w:lineRule="auto"/>
        <w:rPr>
          <w:rFonts w:ascii="宋体" w:hAnsi="宋体"/>
          <w:bCs/>
          <w:szCs w:val="21"/>
        </w:rPr>
      </w:pPr>
    </w:p>
    <w:p>
      <w:pPr>
        <w:pStyle w:val="2"/>
        <w:spacing w:line="360" w:lineRule="exact"/>
        <w:rPr>
          <w:rFonts w:hAnsi="宋体" w:cs="宋体"/>
          <w:szCs w:val="21"/>
        </w:rPr>
      </w:pPr>
      <w:r>
        <w:rPr>
          <w:rFonts w:hint="eastAsia" w:hAnsi="宋体" w:cs="宋体"/>
          <w:szCs w:val="21"/>
        </w:rPr>
        <w:t>磋商单位（盖章）：                 法定代表人（签字）：</w:t>
      </w:r>
    </w:p>
    <w:p>
      <w:pPr>
        <w:pStyle w:val="2"/>
        <w:spacing w:line="360" w:lineRule="exact"/>
        <w:jc w:val="center"/>
        <w:rPr>
          <w:rFonts w:hAnsi="宋体"/>
          <w:bCs/>
          <w:szCs w:val="21"/>
        </w:rPr>
      </w:pPr>
      <w:r>
        <w:rPr>
          <w:rFonts w:hint="eastAsia" w:hAnsi="宋体" w:cs="宋体"/>
          <w:szCs w:val="21"/>
        </w:rPr>
        <w:t xml:space="preserve">                                         年   月   日</w:t>
      </w:r>
    </w:p>
    <w:p>
      <w:pPr>
        <w:rPr>
          <w:rFonts w:ascii="宋体" w:hAnsi="宋体"/>
          <w:bCs/>
          <w:szCs w:val="21"/>
        </w:rPr>
      </w:pPr>
    </w:p>
    <w:p>
      <w:pPr>
        <w:outlineLvl w:val="1"/>
        <w:rPr>
          <w:rFonts w:ascii="宋体" w:hAnsi="宋体" w:cs="宋体"/>
          <w:bCs/>
          <w:sz w:val="24"/>
          <w:szCs w:val="24"/>
        </w:rPr>
      </w:pPr>
    </w:p>
    <w:p>
      <w:pPr>
        <w:pStyle w:val="2"/>
      </w:pPr>
    </w:p>
    <w:p>
      <w:pPr>
        <w:outlineLvl w:val="1"/>
        <w:rPr>
          <w:rFonts w:ascii="宋体" w:hAnsi="宋体" w:cs="宋体"/>
          <w:bCs/>
          <w:sz w:val="24"/>
          <w:szCs w:val="24"/>
        </w:rPr>
      </w:pPr>
    </w:p>
    <w:p>
      <w:pPr>
        <w:outlineLvl w:val="1"/>
        <w:rPr>
          <w:rFonts w:ascii="宋体" w:hAnsi="宋体"/>
          <w:sz w:val="24"/>
        </w:rPr>
      </w:pPr>
      <w:r>
        <w:rPr>
          <w:rFonts w:hint="eastAsia" w:ascii="宋体" w:hAnsi="宋体" w:cs="宋体"/>
          <w:bCs/>
          <w:sz w:val="24"/>
          <w:szCs w:val="24"/>
        </w:rPr>
        <w:t>附件3</w:t>
      </w:r>
    </w:p>
    <w:p>
      <w:pPr>
        <w:spacing w:before="165" w:beforeLines="50" w:after="165" w:afterLines="50" w:line="300" w:lineRule="auto"/>
        <w:ind w:right="105" w:rightChars="50"/>
        <w:jc w:val="center"/>
        <w:rPr>
          <w:b/>
          <w:sz w:val="24"/>
        </w:rPr>
      </w:pPr>
    </w:p>
    <w:p>
      <w:pPr>
        <w:spacing w:before="165" w:beforeLines="50" w:after="165" w:afterLines="50" w:line="300" w:lineRule="auto"/>
        <w:ind w:right="105" w:rightChars="50"/>
        <w:jc w:val="center"/>
        <w:rPr>
          <w:b/>
          <w:sz w:val="24"/>
        </w:rPr>
      </w:pPr>
      <w:r>
        <w:rPr>
          <w:rFonts w:hint="eastAsia"/>
          <w:b/>
          <w:sz w:val="24"/>
        </w:rPr>
        <w:t>投 标 函</w:t>
      </w:r>
    </w:p>
    <w:p>
      <w:pPr>
        <w:snapToGrid w:val="0"/>
        <w:spacing w:line="300" w:lineRule="auto"/>
        <w:rPr>
          <w:rFonts w:ascii="宋体" w:hAnsi="宋体"/>
          <w:szCs w:val="21"/>
          <w:u w:val="single"/>
        </w:rPr>
      </w:pPr>
      <w:r>
        <w:rPr>
          <w:rFonts w:hint="eastAsia" w:ascii="宋体" w:hAnsi="宋体"/>
          <w:szCs w:val="21"/>
        </w:rPr>
        <w:t>致：</w:t>
      </w:r>
      <w:r>
        <w:rPr>
          <w:rFonts w:hint="eastAsia" w:hAnsi="宋体"/>
          <w:szCs w:val="21"/>
          <w:u w:val="single"/>
        </w:rPr>
        <w:t>江西久和招标服务有限公司</w:t>
      </w:r>
    </w:p>
    <w:p>
      <w:pPr>
        <w:snapToGrid w:val="0"/>
        <w:spacing w:line="300" w:lineRule="auto"/>
        <w:ind w:firstLine="630" w:firstLineChars="300"/>
        <w:rPr>
          <w:rFonts w:ascii="宋体" w:hAnsi="宋体"/>
          <w:szCs w:val="21"/>
        </w:rPr>
      </w:pPr>
      <w:r>
        <w:rPr>
          <w:rFonts w:hint="eastAsia" w:ascii="宋体" w:hAnsi="宋体"/>
          <w:szCs w:val="21"/>
        </w:rPr>
        <w:t xml:space="preserve">根据贵方磋商文件的要求，正式授权下述签字人 </w:t>
      </w:r>
      <w:r>
        <w:rPr>
          <w:rFonts w:hint="eastAsia" w:ascii="宋体" w:hAnsi="宋体"/>
          <w:szCs w:val="21"/>
          <w:u w:val="single"/>
        </w:rPr>
        <w:t>(姓名)</w:t>
      </w:r>
      <w:r>
        <w:rPr>
          <w:rFonts w:hint="eastAsia" w:ascii="宋体" w:hAnsi="宋体"/>
          <w:szCs w:val="21"/>
        </w:rPr>
        <w:t xml:space="preserve">代表供应商 </w:t>
      </w:r>
      <w:r>
        <w:rPr>
          <w:rFonts w:hint="eastAsia" w:ascii="宋体" w:hAnsi="宋体"/>
          <w:szCs w:val="21"/>
          <w:u w:val="single"/>
        </w:rPr>
        <w:t>（供应商名称）</w:t>
      </w:r>
      <w:r>
        <w:rPr>
          <w:rFonts w:hint="eastAsia" w:ascii="宋体" w:hAnsi="宋体"/>
          <w:szCs w:val="21"/>
        </w:rPr>
        <w:t xml:space="preserve"> ，提交下述文件。据此函，签字人兹宣布同意如下：</w:t>
      </w:r>
    </w:p>
    <w:p>
      <w:pPr>
        <w:snapToGrid w:val="0"/>
        <w:spacing w:line="336" w:lineRule="auto"/>
        <w:ind w:firstLine="540"/>
        <w:rPr>
          <w:rFonts w:ascii="宋体" w:hAnsi="宋体"/>
          <w:szCs w:val="21"/>
        </w:rPr>
      </w:pPr>
      <w:r>
        <w:rPr>
          <w:rFonts w:hint="eastAsia" w:ascii="宋体" w:hAnsi="宋体"/>
          <w:szCs w:val="21"/>
        </w:rPr>
        <w:t>1.我方已仔细研究了______________(项目名称) 的磋商文件的全部内容，愿意承诺以下内容：</w:t>
      </w:r>
    </w:p>
    <w:p>
      <w:pPr>
        <w:snapToGrid w:val="0"/>
        <w:spacing w:line="336" w:lineRule="auto"/>
        <w:ind w:firstLine="540"/>
        <w:rPr>
          <w:rFonts w:ascii="宋体" w:hAnsi="宋体"/>
          <w:szCs w:val="21"/>
        </w:rPr>
      </w:pPr>
      <w:r>
        <w:rPr>
          <w:rFonts w:hint="eastAsia" w:ascii="宋体" w:hAnsi="宋体"/>
          <w:szCs w:val="21"/>
        </w:rPr>
        <w:t>人民币(大写) ________ 元（小写________ 元）的磋商总报价，</w:t>
      </w:r>
    </w:p>
    <w:p>
      <w:pPr>
        <w:snapToGrid w:val="0"/>
        <w:spacing w:line="336" w:lineRule="auto"/>
        <w:ind w:firstLine="540"/>
        <w:rPr>
          <w:rFonts w:ascii="宋体" w:hAnsi="宋体"/>
          <w:szCs w:val="21"/>
        </w:rPr>
      </w:pPr>
      <w:r>
        <w:rPr>
          <w:rFonts w:hint="eastAsia" w:ascii="宋体" w:hAnsi="宋体"/>
          <w:szCs w:val="21"/>
        </w:rPr>
        <w:t>2.我方在磋商之前已经与贵方进行了充分的沟通，完全理解并接受磋商文件的各项规定和要求，对磋商文件的合理性、合法性不再有异议。（包括修改文件）</w:t>
      </w:r>
    </w:p>
    <w:p>
      <w:pPr>
        <w:snapToGrid w:val="0"/>
        <w:spacing w:line="336" w:lineRule="auto"/>
        <w:ind w:firstLine="540"/>
        <w:rPr>
          <w:rFonts w:ascii="宋体" w:hAnsi="宋体"/>
          <w:szCs w:val="21"/>
        </w:rPr>
      </w:pPr>
      <w:r>
        <w:rPr>
          <w:rFonts w:hint="eastAsia" w:ascii="宋体" w:hAnsi="宋体"/>
          <w:szCs w:val="21"/>
        </w:rPr>
        <w:t>3.我方承诺在磋商有效期内（从磋商之日起90天），其响应文件中的所有内容对我方具有约束力。如在此有效期内，我方出现下列行为之一者，同意无条件不予退回我方的磋商保证金。</w:t>
      </w:r>
    </w:p>
    <w:p>
      <w:pPr>
        <w:snapToGrid w:val="0"/>
        <w:spacing w:line="336" w:lineRule="auto"/>
        <w:ind w:firstLine="540"/>
        <w:rPr>
          <w:rFonts w:ascii="宋体" w:hAnsi="宋体"/>
          <w:szCs w:val="21"/>
        </w:rPr>
      </w:pPr>
      <w:r>
        <w:rPr>
          <w:rFonts w:hint="eastAsia" w:ascii="宋体" w:hAnsi="宋体"/>
          <w:szCs w:val="21"/>
        </w:rPr>
        <w:t>1）在磋商有效期内撤回响应文件；</w:t>
      </w:r>
    </w:p>
    <w:p>
      <w:pPr>
        <w:snapToGrid w:val="0"/>
        <w:spacing w:line="336" w:lineRule="auto"/>
        <w:ind w:firstLine="540"/>
        <w:rPr>
          <w:rFonts w:ascii="宋体" w:hAnsi="宋体"/>
          <w:szCs w:val="21"/>
        </w:rPr>
      </w:pPr>
      <w:r>
        <w:rPr>
          <w:rFonts w:hint="eastAsia" w:ascii="宋体" w:hAnsi="宋体"/>
          <w:szCs w:val="21"/>
        </w:rPr>
        <w:t>2）在磋商过程中弄虚作假、提供虚假材料的；</w:t>
      </w:r>
    </w:p>
    <w:p>
      <w:pPr>
        <w:snapToGrid w:val="0"/>
        <w:spacing w:line="336" w:lineRule="auto"/>
        <w:ind w:firstLine="540"/>
        <w:rPr>
          <w:rFonts w:ascii="宋体" w:hAnsi="宋体"/>
          <w:szCs w:val="21"/>
        </w:rPr>
      </w:pPr>
      <w:r>
        <w:rPr>
          <w:rFonts w:hint="eastAsia" w:ascii="宋体" w:hAnsi="宋体"/>
          <w:szCs w:val="21"/>
        </w:rPr>
        <w:t>3）如果中标不与采购人签订合同的；</w:t>
      </w:r>
    </w:p>
    <w:p>
      <w:pPr>
        <w:snapToGrid w:val="0"/>
        <w:spacing w:line="336" w:lineRule="auto"/>
        <w:ind w:firstLine="540"/>
        <w:rPr>
          <w:rFonts w:ascii="宋体" w:hAnsi="宋体"/>
          <w:szCs w:val="21"/>
        </w:rPr>
      </w:pPr>
      <w:r>
        <w:rPr>
          <w:rFonts w:hint="eastAsia" w:ascii="宋体" w:hAnsi="宋体"/>
          <w:szCs w:val="21"/>
        </w:rPr>
        <w:t>4）有其他严重扰乱磋商程序的。</w:t>
      </w:r>
    </w:p>
    <w:p>
      <w:pPr>
        <w:snapToGrid w:val="0"/>
        <w:spacing w:line="336" w:lineRule="auto"/>
        <w:ind w:firstLine="540"/>
        <w:rPr>
          <w:rFonts w:ascii="宋体" w:hAnsi="宋体"/>
          <w:szCs w:val="21"/>
        </w:rPr>
      </w:pPr>
      <w:r>
        <w:rPr>
          <w:rFonts w:hint="eastAsia" w:ascii="宋体" w:hAnsi="宋体"/>
          <w:szCs w:val="21"/>
        </w:rPr>
        <w:t>4.如我方中标，我方承诺：</w:t>
      </w:r>
    </w:p>
    <w:p>
      <w:pPr>
        <w:snapToGrid w:val="0"/>
        <w:spacing w:line="336" w:lineRule="auto"/>
        <w:ind w:firstLine="540"/>
        <w:rPr>
          <w:rFonts w:ascii="宋体" w:hAnsi="宋体"/>
          <w:szCs w:val="21"/>
        </w:rPr>
      </w:pPr>
      <w:r>
        <w:rPr>
          <w:rFonts w:hint="eastAsia" w:ascii="宋体" w:hAnsi="宋体"/>
          <w:szCs w:val="21"/>
        </w:rPr>
        <w:t>1）收到中标通知书后，在中标通知书规定的期限内与采购人签订合同。</w:t>
      </w:r>
    </w:p>
    <w:p>
      <w:pPr>
        <w:snapToGrid w:val="0"/>
        <w:spacing w:line="336" w:lineRule="auto"/>
        <w:ind w:firstLine="540"/>
        <w:rPr>
          <w:rFonts w:ascii="宋体" w:hAnsi="宋体"/>
          <w:szCs w:val="21"/>
        </w:rPr>
      </w:pPr>
      <w:r>
        <w:rPr>
          <w:rFonts w:hint="eastAsia" w:ascii="宋体" w:hAnsi="宋体"/>
          <w:szCs w:val="21"/>
        </w:rPr>
        <w:t>2）在合同约定的期限内完成并移交全部合同工程。</w:t>
      </w:r>
    </w:p>
    <w:p>
      <w:pPr>
        <w:snapToGrid w:val="0"/>
        <w:spacing w:line="336" w:lineRule="auto"/>
        <w:ind w:firstLine="540"/>
        <w:rPr>
          <w:rFonts w:ascii="宋体" w:hAnsi="宋体"/>
          <w:szCs w:val="21"/>
        </w:rPr>
      </w:pPr>
      <w:r>
        <w:rPr>
          <w:rFonts w:hint="eastAsia" w:ascii="宋体" w:hAnsi="宋体"/>
          <w:szCs w:val="21"/>
        </w:rPr>
        <w:t>5.我方在此声明，所递交的响应文件及有关资料内容完整、真实和准确。</w:t>
      </w:r>
    </w:p>
    <w:p>
      <w:pPr>
        <w:snapToGrid w:val="0"/>
        <w:spacing w:line="336" w:lineRule="auto"/>
        <w:ind w:firstLine="540"/>
        <w:rPr>
          <w:rFonts w:ascii="宋体" w:hAnsi="宋体"/>
          <w:szCs w:val="21"/>
        </w:rPr>
      </w:pPr>
      <w:r>
        <w:rPr>
          <w:rFonts w:hint="eastAsia" w:ascii="宋体" w:hAnsi="宋体"/>
          <w:szCs w:val="21"/>
        </w:rPr>
        <w:t>6.我方理解贵方不一定接受最低报价的供应商，且对磋商文件中规定的付款方式无异议。</w:t>
      </w:r>
    </w:p>
    <w:p>
      <w:pPr>
        <w:snapToGrid w:val="0"/>
        <w:spacing w:line="336" w:lineRule="auto"/>
        <w:ind w:left="2640" w:leftChars="257" w:hanging="2100" w:hangingChars="1000"/>
        <w:rPr>
          <w:rFonts w:ascii="宋体" w:hAnsi="宋体"/>
          <w:szCs w:val="21"/>
        </w:rPr>
      </w:pPr>
      <w:r>
        <w:rPr>
          <w:rFonts w:hint="eastAsia" w:ascii="宋体" w:hAnsi="宋体"/>
          <w:szCs w:val="21"/>
        </w:rPr>
        <w:t xml:space="preserve">7.__________________________________（供应商认为需要的其他补充说明）。                    </w:t>
      </w:r>
    </w:p>
    <w:p>
      <w:pPr>
        <w:pStyle w:val="2"/>
        <w:spacing w:line="420" w:lineRule="exact"/>
        <w:ind w:left="100" w:firstLine="420"/>
        <w:rPr>
          <w:rFonts w:hAnsi="宋体"/>
          <w:b/>
          <w:szCs w:val="21"/>
        </w:rPr>
      </w:pPr>
      <w:r>
        <w:rPr>
          <w:rFonts w:hint="eastAsia" w:hAnsi="宋体"/>
          <w:b/>
          <w:szCs w:val="21"/>
        </w:rPr>
        <w:t xml:space="preserve">  </w:t>
      </w:r>
    </w:p>
    <w:p>
      <w:pPr>
        <w:pStyle w:val="2"/>
        <w:spacing w:line="420" w:lineRule="exact"/>
        <w:ind w:left="100" w:firstLine="420"/>
        <w:rPr>
          <w:rFonts w:hAnsi="宋体"/>
          <w:szCs w:val="21"/>
        </w:rPr>
      </w:pPr>
      <w:r>
        <w:rPr>
          <w:rFonts w:hint="eastAsia" w:hAnsi="宋体"/>
          <w:b/>
          <w:sz w:val="24"/>
        </w:rPr>
        <w:t xml:space="preserve"> </w:t>
      </w:r>
      <w:r>
        <w:rPr>
          <w:rFonts w:hint="eastAsia" w:hAnsi="宋体"/>
          <w:szCs w:val="21"/>
        </w:rPr>
        <w:t>与本磋商有关的正式通讯地址为:</w:t>
      </w:r>
    </w:p>
    <w:p>
      <w:pPr>
        <w:pStyle w:val="2"/>
        <w:spacing w:line="420" w:lineRule="exact"/>
        <w:ind w:left="100" w:firstLine="420"/>
        <w:rPr>
          <w:rFonts w:hAnsi="宋体"/>
          <w:szCs w:val="21"/>
        </w:rPr>
      </w:pPr>
      <w:r>
        <w:rPr>
          <w:rFonts w:hint="eastAsia" w:hAnsi="宋体"/>
          <w:szCs w:val="21"/>
        </w:rPr>
        <w:t>地址:</w:t>
      </w:r>
      <w:r>
        <w:rPr>
          <w:rFonts w:hint="eastAsia" w:hAnsi="宋体"/>
          <w:szCs w:val="21"/>
          <w:u w:val="single"/>
        </w:rPr>
        <w:t xml:space="preserve">              </w:t>
      </w:r>
      <w:r>
        <w:rPr>
          <w:rFonts w:hint="eastAsia" w:hAnsi="宋体"/>
          <w:szCs w:val="21"/>
        </w:rPr>
        <w:t xml:space="preserve"> 邮政编码:</w:t>
      </w:r>
      <w:r>
        <w:rPr>
          <w:rFonts w:hint="eastAsia" w:hAnsi="宋体"/>
          <w:szCs w:val="21"/>
          <w:u w:val="single"/>
        </w:rPr>
        <w:t xml:space="preserve">        </w:t>
      </w:r>
      <w:r>
        <w:rPr>
          <w:rFonts w:hint="eastAsia" w:hAnsi="宋体"/>
          <w:szCs w:val="21"/>
        </w:rPr>
        <w:t>电话、传真:</w:t>
      </w:r>
      <w:r>
        <w:rPr>
          <w:rFonts w:hint="eastAsia" w:hAnsi="宋体"/>
          <w:szCs w:val="21"/>
          <w:u w:val="single"/>
        </w:rPr>
        <w:t xml:space="preserve">             </w:t>
      </w:r>
    </w:p>
    <w:p>
      <w:pPr>
        <w:pStyle w:val="2"/>
        <w:spacing w:line="420" w:lineRule="exact"/>
        <w:ind w:left="100" w:firstLine="420"/>
        <w:rPr>
          <w:rFonts w:hAnsi="宋体"/>
          <w:szCs w:val="21"/>
          <w:u w:val="single"/>
        </w:rPr>
      </w:pPr>
      <w:r>
        <w:rPr>
          <w:rFonts w:hint="eastAsia" w:hAnsi="宋体"/>
          <w:szCs w:val="21"/>
        </w:rPr>
        <w:t>开户名称:</w:t>
      </w:r>
      <w:r>
        <w:rPr>
          <w:rFonts w:hint="eastAsia" w:hAnsi="宋体"/>
          <w:szCs w:val="21"/>
          <w:u w:val="single"/>
        </w:rPr>
        <w:t xml:space="preserve">                                                    </w:t>
      </w:r>
    </w:p>
    <w:p>
      <w:pPr>
        <w:pStyle w:val="2"/>
        <w:spacing w:line="420" w:lineRule="exact"/>
        <w:ind w:left="100" w:firstLine="420"/>
        <w:rPr>
          <w:rFonts w:hAnsi="宋体"/>
          <w:szCs w:val="21"/>
          <w:u w:val="single"/>
        </w:rPr>
      </w:pPr>
      <w:r>
        <w:rPr>
          <w:rFonts w:hint="eastAsia" w:hAnsi="宋体"/>
          <w:szCs w:val="21"/>
        </w:rPr>
        <w:t>开户银行:</w:t>
      </w:r>
      <w:r>
        <w:rPr>
          <w:rFonts w:hint="eastAsia" w:hAnsi="宋体"/>
          <w:szCs w:val="21"/>
          <w:u w:val="single"/>
        </w:rPr>
        <w:t xml:space="preserve">                                                    </w:t>
      </w:r>
    </w:p>
    <w:p>
      <w:pPr>
        <w:pStyle w:val="2"/>
        <w:spacing w:line="420" w:lineRule="exact"/>
        <w:ind w:left="100" w:firstLine="420"/>
        <w:rPr>
          <w:rFonts w:hAnsi="宋体"/>
          <w:szCs w:val="21"/>
          <w:u w:val="single"/>
        </w:rPr>
      </w:pPr>
      <w:r>
        <w:rPr>
          <w:rFonts w:hint="eastAsia" w:hAnsi="宋体"/>
          <w:szCs w:val="21"/>
        </w:rPr>
        <w:t>账号:</w:t>
      </w:r>
      <w:r>
        <w:rPr>
          <w:rFonts w:hint="eastAsia" w:hAnsi="宋体"/>
          <w:szCs w:val="21"/>
          <w:u w:val="single"/>
        </w:rPr>
        <w:t xml:space="preserve">                                                        </w:t>
      </w:r>
    </w:p>
    <w:p>
      <w:pPr>
        <w:pStyle w:val="2"/>
        <w:spacing w:line="420" w:lineRule="exact"/>
        <w:ind w:left="100" w:firstLine="420"/>
        <w:rPr>
          <w:rFonts w:hAnsi="宋体"/>
          <w:szCs w:val="21"/>
        </w:rPr>
      </w:pPr>
      <w:r>
        <w:rPr>
          <w:rFonts w:hint="eastAsia" w:hAnsi="宋体"/>
          <w:szCs w:val="21"/>
        </w:rPr>
        <w:t>法定代表人或委托代理人签名:</w:t>
      </w:r>
      <w:r>
        <w:rPr>
          <w:rFonts w:hint="eastAsia" w:hAnsi="宋体"/>
          <w:szCs w:val="21"/>
          <w:u w:val="single"/>
        </w:rPr>
        <w:t xml:space="preserve">                                  </w:t>
      </w:r>
    </w:p>
    <w:p>
      <w:pPr>
        <w:pStyle w:val="2"/>
        <w:spacing w:line="420" w:lineRule="exact"/>
        <w:ind w:left="100" w:firstLine="420"/>
        <w:rPr>
          <w:rFonts w:hAnsi="宋体"/>
          <w:szCs w:val="21"/>
        </w:rPr>
      </w:pPr>
      <w:r>
        <w:rPr>
          <w:rFonts w:hint="eastAsia" w:hAnsi="宋体"/>
          <w:szCs w:val="21"/>
        </w:rPr>
        <w:t>供应商（公章）:</w:t>
      </w:r>
      <w:r>
        <w:rPr>
          <w:rFonts w:hint="eastAsia" w:hAnsi="宋体"/>
          <w:szCs w:val="21"/>
          <w:u w:val="single"/>
        </w:rPr>
        <w:t xml:space="preserve">                                               </w:t>
      </w:r>
    </w:p>
    <w:p>
      <w:pPr>
        <w:pStyle w:val="2"/>
        <w:spacing w:line="420" w:lineRule="exact"/>
        <w:ind w:left="100" w:firstLine="420"/>
        <w:rPr>
          <w:rFonts w:hAnsi="宋体"/>
          <w:szCs w:val="21"/>
          <w:u w:val="single"/>
        </w:rPr>
      </w:pPr>
      <w:r>
        <w:rPr>
          <w:rFonts w:hint="eastAsia" w:hAnsi="宋体"/>
          <w:szCs w:val="21"/>
        </w:rPr>
        <w:t>磋商日期:</w:t>
      </w:r>
      <w:r>
        <w:rPr>
          <w:rFonts w:hint="eastAsia" w:hAnsi="宋体"/>
          <w:szCs w:val="21"/>
          <w:u w:val="single"/>
        </w:rPr>
        <w:t xml:space="preserve">                                                   </w:t>
      </w:r>
    </w:p>
    <w:p>
      <w:pPr>
        <w:pStyle w:val="2"/>
        <w:tabs>
          <w:tab w:val="left" w:pos="5580"/>
        </w:tabs>
        <w:ind w:left="420"/>
        <w:rPr>
          <w:rFonts w:hAnsi="宋体"/>
          <w:bCs/>
          <w:kern w:val="0"/>
        </w:rPr>
      </w:pPr>
      <w:r>
        <w:rPr>
          <w:rFonts w:hint="eastAsia" w:hAnsi="宋体"/>
        </w:rPr>
        <w:t>注:未按照本磋商函要求填报的磋商函将被视为非实质性响应，从而导致该磋商被拒绝。</w:t>
      </w:r>
      <w:r>
        <w:rPr>
          <w:rFonts w:hint="eastAsia" w:hAnsi="宋体"/>
          <w:bCs/>
          <w:kern w:val="0"/>
        </w:rPr>
        <w:t xml:space="preserve"> </w:t>
      </w:r>
    </w:p>
    <w:p>
      <w:pPr>
        <w:pStyle w:val="2"/>
        <w:tabs>
          <w:tab w:val="left" w:pos="5580"/>
        </w:tabs>
        <w:ind w:left="420"/>
        <w:rPr>
          <w:rFonts w:hAnsi="宋体"/>
          <w:bCs/>
          <w:kern w:val="0"/>
        </w:rPr>
      </w:pPr>
    </w:p>
    <w:p>
      <w:pPr>
        <w:outlineLvl w:val="1"/>
        <w:rPr>
          <w:rFonts w:ascii="宋体" w:hAnsi="宋体" w:cs="宋体"/>
          <w:bCs/>
          <w:sz w:val="24"/>
          <w:szCs w:val="24"/>
        </w:rPr>
      </w:pPr>
    </w:p>
    <w:p>
      <w:pPr>
        <w:outlineLvl w:val="1"/>
        <w:rPr>
          <w:rFonts w:ascii="宋体" w:cs="宋体"/>
          <w:b/>
          <w:kern w:val="0"/>
          <w:sz w:val="28"/>
          <w:szCs w:val="28"/>
        </w:rPr>
      </w:pPr>
      <w:r>
        <w:rPr>
          <w:rFonts w:hint="eastAsia" w:ascii="宋体" w:hAnsi="宋体" w:cs="宋体"/>
          <w:bCs/>
          <w:sz w:val="24"/>
          <w:szCs w:val="24"/>
        </w:rPr>
        <w:t>附件4</w:t>
      </w:r>
    </w:p>
    <w:p>
      <w:pPr>
        <w:autoSpaceDE w:val="0"/>
        <w:autoSpaceDN w:val="0"/>
        <w:adjustRightInd w:val="0"/>
        <w:ind w:firstLine="4076" w:firstLineChars="1450"/>
        <w:rPr>
          <w:rFonts w:ascii="宋体" w:cs="宋体"/>
          <w:b/>
          <w:kern w:val="0"/>
          <w:sz w:val="28"/>
          <w:szCs w:val="28"/>
        </w:rPr>
      </w:pPr>
    </w:p>
    <w:p>
      <w:pPr>
        <w:pStyle w:val="154"/>
        <w:jc w:val="center"/>
        <w:rPr>
          <w:rFonts w:hAnsi="宋体" w:eastAsia="宋体"/>
          <w:bCs/>
          <w:sz w:val="32"/>
          <w:szCs w:val="32"/>
        </w:rPr>
      </w:pPr>
      <w:r>
        <w:rPr>
          <w:rFonts w:hint="eastAsia" w:hAnsi="宋体" w:eastAsia="宋体"/>
          <w:bCs/>
          <w:sz w:val="32"/>
          <w:szCs w:val="32"/>
        </w:rPr>
        <w:t>磋商一览表</w:t>
      </w:r>
    </w:p>
    <w:p>
      <w:pPr>
        <w:pStyle w:val="154"/>
        <w:jc w:val="left"/>
        <w:rPr>
          <w:rFonts w:hAnsi="宋体" w:eastAsia="宋体"/>
          <w:bCs/>
          <w:sz w:val="21"/>
          <w:szCs w:val="21"/>
        </w:rPr>
      </w:pPr>
      <w:r>
        <w:rPr>
          <w:rFonts w:hint="eastAsia" w:hAnsi="宋体" w:eastAsia="宋体"/>
          <w:bCs/>
          <w:sz w:val="21"/>
          <w:szCs w:val="21"/>
        </w:rPr>
        <w:t>项目名称：</w:t>
      </w:r>
    </w:p>
    <w:p>
      <w:pPr>
        <w:pStyle w:val="154"/>
        <w:jc w:val="left"/>
        <w:rPr>
          <w:rFonts w:hAnsi="宋体" w:eastAsia="宋体"/>
          <w:bCs/>
          <w:sz w:val="21"/>
          <w:szCs w:val="21"/>
        </w:rPr>
      </w:pPr>
      <w:r>
        <w:rPr>
          <w:rFonts w:hint="eastAsia" w:hAnsi="宋体" w:eastAsia="宋体"/>
          <w:bCs/>
          <w:sz w:val="21"/>
          <w:szCs w:val="21"/>
        </w:rPr>
        <w:t>项目编号：</w:t>
      </w:r>
    </w:p>
    <w:p>
      <w:pPr>
        <w:pStyle w:val="154"/>
        <w:jc w:val="left"/>
        <w:rPr>
          <w:rFonts w:hAnsi="宋体" w:eastAsia="宋体"/>
          <w:bCs/>
          <w:sz w:val="21"/>
          <w:szCs w:val="21"/>
        </w:rPr>
      </w:pPr>
      <w:r>
        <w:rPr>
          <w:rFonts w:hint="eastAsia" w:hAnsi="宋体" w:eastAsia="宋体"/>
          <w:bCs/>
          <w:sz w:val="21"/>
          <w:szCs w:val="21"/>
        </w:rPr>
        <w:t>交货期（日历天）：</w:t>
      </w:r>
    </w:p>
    <w:tbl>
      <w:tblPr>
        <w:tblStyle w:val="28"/>
        <w:tblW w:w="9568"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1"/>
        <w:gridCol w:w="3129"/>
        <w:gridCol w:w="1620"/>
        <w:gridCol w:w="1740"/>
        <w:gridCol w:w="1275"/>
        <w:gridCol w:w="1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411" w:type="dxa"/>
            <w:vAlign w:val="center"/>
          </w:tcPr>
          <w:p>
            <w:pPr>
              <w:pStyle w:val="154"/>
              <w:spacing w:line="400" w:lineRule="exact"/>
              <w:jc w:val="center"/>
              <w:rPr>
                <w:rFonts w:hAnsi="宋体" w:eastAsia="宋体"/>
                <w:bCs/>
                <w:sz w:val="21"/>
                <w:szCs w:val="21"/>
              </w:rPr>
            </w:pPr>
            <w:r>
              <w:rPr>
                <w:rFonts w:hint="eastAsia" w:hAnsi="宋体" w:eastAsia="宋体"/>
                <w:bCs/>
                <w:sz w:val="21"/>
                <w:szCs w:val="21"/>
              </w:rPr>
              <w:t>序号</w:t>
            </w:r>
          </w:p>
        </w:tc>
        <w:tc>
          <w:tcPr>
            <w:tcW w:w="3129" w:type="dxa"/>
            <w:vAlign w:val="center"/>
          </w:tcPr>
          <w:p>
            <w:pPr>
              <w:pStyle w:val="154"/>
              <w:spacing w:line="400" w:lineRule="exact"/>
              <w:jc w:val="center"/>
              <w:rPr>
                <w:rFonts w:hAnsi="宋体" w:eastAsia="宋体"/>
                <w:bCs/>
                <w:sz w:val="21"/>
                <w:szCs w:val="21"/>
              </w:rPr>
            </w:pPr>
            <w:r>
              <w:rPr>
                <w:rFonts w:hint="eastAsia" w:hAnsi="宋体" w:eastAsia="宋体"/>
                <w:bCs/>
                <w:sz w:val="21"/>
                <w:szCs w:val="21"/>
              </w:rPr>
              <w:t>项目名称</w:t>
            </w:r>
          </w:p>
        </w:tc>
        <w:tc>
          <w:tcPr>
            <w:tcW w:w="1620" w:type="dxa"/>
            <w:vAlign w:val="center"/>
          </w:tcPr>
          <w:p>
            <w:pPr>
              <w:pStyle w:val="154"/>
              <w:spacing w:line="400" w:lineRule="exact"/>
              <w:jc w:val="center"/>
              <w:rPr>
                <w:rFonts w:hAnsi="宋体" w:eastAsia="宋体"/>
                <w:bCs/>
                <w:sz w:val="21"/>
                <w:szCs w:val="21"/>
              </w:rPr>
            </w:pPr>
            <w:r>
              <w:rPr>
                <w:rFonts w:hint="eastAsia" w:hAnsi="宋体" w:eastAsia="宋体"/>
                <w:bCs/>
                <w:sz w:val="21"/>
                <w:szCs w:val="21"/>
              </w:rPr>
              <w:t>数量</w:t>
            </w:r>
          </w:p>
        </w:tc>
        <w:tc>
          <w:tcPr>
            <w:tcW w:w="1740" w:type="dxa"/>
            <w:vAlign w:val="center"/>
          </w:tcPr>
          <w:p>
            <w:pPr>
              <w:pStyle w:val="154"/>
              <w:spacing w:line="400" w:lineRule="exact"/>
              <w:jc w:val="center"/>
              <w:rPr>
                <w:rFonts w:hAnsi="宋体" w:eastAsia="宋体"/>
                <w:bCs/>
                <w:sz w:val="21"/>
                <w:szCs w:val="21"/>
              </w:rPr>
            </w:pPr>
            <w:r>
              <w:rPr>
                <w:rFonts w:hint="eastAsia" w:hAnsi="宋体" w:eastAsia="宋体"/>
                <w:bCs/>
                <w:sz w:val="21"/>
                <w:szCs w:val="21"/>
              </w:rPr>
              <w:t>规格与型号</w:t>
            </w:r>
          </w:p>
        </w:tc>
        <w:tc>
          <w:tcPr>
            <w:tcW w:w="1275" w:type="dxa"/>
            <w:vAlign w:val="center"/>
          </w:tcPr>
          <w:p>
            <w:pPr>
              <w:pStyle w:val="154"/>
              <w:spacing w:line="400" w:lineRule="exact"/>
              <w:jc w:val="center"/>
              <w:rPr>
                <w:rFonts w:hAnsi="宋体" w:eastAsia="宋体"/>
                <w:bCs/>
                <w:sz w:val="21"/>
                <w:szCs w:val="21"/>
              </w:rPr>
            </w:pPr>
            <w:r>
              <w:rPr>
                <w:rFonts w:hint="eastAsia" w:hAnsi="宋体" w:eastAsia="宋体"/>
                <w:bCs/>
                <w:sz w:val="21"/>
                <w:szCs w:val="21"/>
              </w:rPr>
              <w:t>单价</w:t>
            </w:r>
          </w:p>
        </w:tc>
        <w:tc>
          <w:tcPr>
            <w:tcW w:w="1393" w:type="dxa"/>
            <w:vAlign w:val="center"/>
          </w:tcPr>
          <w:p>
            <w:pPr>
              <w:pStyle w:val="154"/>
              <w:spacing w:line="400" w:lineRule="exact"/>
              <w:jc w:val="center"/>
              <w:rPr>
                <w:rFonts w:hAnsi="宋体" w:eastAsia="宋体"/>
                <w:bCs/>
                <w:sz w:val="21"/>
                <w:szCs w:val="21"/>
              </w:rPr>
            </w:pPr>
            <w:r>
              <w:rPr>
                <w:rFonts w:hint="eastAsia" w:hAnsi="宋体" w:eastAsia="宋体"/>
                <w:bCs/>
                <w:sz w:val="21"/>
                <w:szCs w:val="21"/>
              </w:rPr>
              <w:t>磋商总价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411" w:type="dxa"/>
            <w:vAlign w:val="center"/>
          </w:tcPr>
          <w:p>
            <w:pPr>
              <w:spacing w:line="400" w:lineRule="exact"/>
              <w:jc w:val="center"/>
              <w:rPr>
                <w:rFonts w:ascii="宋体" w:hAnsi="宋体"/>
                <w:bCs/>
                <w:szCs w:val="21"/>
              </w:rPr>
            </w:pPr>
            <w:r>
              <w:rPr>
                <w:rFonts w:hint="eastAsia" w:ascii="宋体" w:hAnsi="宋体"/>
                <w:bCs/>
                <w:szCs w:val="21"/>
              </w:rPr>
              <w:t>1</w:t>
            </w:r>
          </w:p>
        </w:tc>
        <w:tc>
          <w:tcPr>
            <w:tcW w:w="3129" w:type="dxa"/>
            <w:vAlign w:val="center"/>
          </w:tcPr>
          <w:p>
            <w:pPr>
              <w:pStyle w:val="154"/>
              <w:spacing w:line="400" w:lineRule="exact"/>
              <w:jc w:val="center"/>
              <w:rPr>
                <w:rFonts w:hAnsi="宋体" w:eastAsia="宋体"/>
                <w:bCs/>
                <w:sz w:val="21"/>
                <w:szCs w:val="21"/>
              </w:rPr>
            </w:pPr>
          </w:p>
        </w:tc>
        <w:tc>
          <w:tcPr>
            <w:tcW w:w="1620" w:type="dxa"/>
            <w:vAlign w:val="center"/>
          </w:tcPr>
          <w:p>
            <w:pPr>
              <w:spacing w:line="400" w:lineRule="exact"/>
              <w:jc w:val="center"/>
              <w:rPr>
                <w:rFonts w:ascii="宋体" w:hAnsi="宋体"/>
                <w:bCs/>
                <w:szCs w:val="21"/>
              </w:rPr>
            </w:pPr>
          </w:p>
        </w:tc>
        <w:tc>
          <w:tcPr>
            <w:tcW w:w="1740" w:type="dxa"/>
            <w:vAlign w:val="center"/>
          </w:tcPr>
          <w:p>
            <w:pPr>
              <w:spacing w:line="400" w:lineRule="exact"/>
              <w:jc w:val="center"/>
              <w:rPr>
                <w:rFonts w:ascii="宋体" w:hAnsi="宋体"/>
                <w:bCs/>
                <w:szCs w:val="21"/>
              </w:rPr>
            </w:pPr>
          </w:p>
        </w:tc>
        <w:tc>
          <w:tcPr>
            <w:tcW w:w="1275" w:type="dxa"/>
            <w:vAlign w:val="center"/>
          </w:tcPr>
          <w:p>
            <w:pPr>
              <w:spacing w:line="400" w:lineRule="exact"/>
              <w:jc w:val="center"/>
              <w:rPr>
                <w:rFonts w:ascii="宋体" w:hAnsi="宋体"/>
                <w:bCs/>
                <w:szCs w:val="21"/>
              </w:rPr>
            </w:pPr>
          </w:p>
        </w:tc>
        <w:tc>
          <w:tcPr>
            <w:tcW w:w="1393" w:type="dxa"/>
            <w:vAlign w:val="center"/>
          </w:tcPr>
          <w:p>
            <w:pPr>
              <w:spacing w:line="400" w:lineRule="exact"/>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411" w:type="dxa"/>
            <w:vAlign w:val="center"/>
          </w:tcPr>
          <w:p>
            <w:pPr>
              <w:spacing w:line="400" w:lineRule="exact"/>
              <w:jc w:val="center"/>
              <w:rPr>
                <w:rFonts w:ascii="宋体" w:hAnsi="宋体"/>
                <w:bCs/>
                <w:szCs w:val="21"/>
              </w:rPr>
            </w:pPr>
            <w:r>
              <w:rPr>
                <w:rFonts w:hint="eastAsia" w:ascii="宋体" w:hAnsi="宋体"/>
                <w:bCs/>
                <w:szCs w:val="21"/>
              </w:rPr>
              <w:t>2</w:t>
            </w:r>
          </w:p>
        </w:tc>
        <w:tc>
          <w:tcPr>
            <w:tcW w:w="3129" w:type="dxa"/>
            <w:vAlign w:val="center"/>
          </w:tcPr>
          <w:p>
            <w:pPr>
              <w:pStyle w:val="154"/>
              <w:spacing w:line="400" w:lineRule="exact"/>
              <w:jc w:val="center"/>
              <w:rPr>
                <w:rFonts w:hAnsi="宋体" w:eastAsia="宋体"/>
                <w:bCs/>
                <w:sz w:val="21"/>
                <w:szCs w:val="21"/>
              </w:rPr>
            </w:pPr>
          </w:p>
        </w:tc>
        <w:tc>
          <w:tcPr>
            <w:tcW w:w="1620" w:type="dxa"/>
            <w:vAlign w:val="center"/>
          </w:tcPr>
          <w:p>
            <w:pPr>
              <w:spacing w:line="400" w:lineRule="exact"/>
              <w:jc w:val="center"/>
              <w:rPr>
                <w:rFonts w:ascii="宋体" w:hAnsi="宋体"/>
                <w:bCs/>
                <w:szCs w:val="21"/>
              </w:rPr>
            </w:pPr>
          </w:p>
        </w:tc>
        <w:tc>
          <w:tcPr>
            <w:tcW w:w="1740" w:type="dxa"/>
            <w:vAlign w:val="center"/>
          </w:tcPr>
          <w:p>
            <w:pPr>
              <w:spacing w:line="400" w:lineRule="exact"/>
              <w:jc w:val="center"/>
              <w:rPr>
                <w:rFonts w:ascii="宋体" w:hAnsi="宋体"/>
                <w:bCs/>
                <w:szCs w:val="21"/>
              </w:rPr>
            </w:pPr>
          </w:p>
        </w:tc>
        <w:tc>
          <w:tcPr>
            <w:tcW w:w="1275" w:type="dxa"/>
            <w:vAlign w:val="center"/>
          </w:tcPr>
          <w:p>
            <w:pPr>
              <w:spacing w:line="400" w:lineRule="exact"/>
              <w:jc w:val="center"/>
              <w:rPr>
                <w:rFonts w:ascii="宋体" w:hAnsi="宋体"/>
                <w:bCs/>
                <w:szCs w:val="21"/>
              </w:rPr>
            </w:pPr>
          </w:p>
        </w:tc>
        <w:tc>
          <w:tcPr>
            <w:tcW w:w="1393" w:type="dxa"/>
            <w:vAlign w:val="center"/>
          </w:tcPr>
          <w:p>
            <w:pPr>
              <w:spacing w:line="400" w:lineRule="exact"/>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9568" w:type="dxa"/>
            <w:gridSpan w:val="6"/>
            <w:vAlign w:val="center"/>
          </w:tcPr>
          <w:p>
            <w:pPr>
              <w:pStyle w:val="154"/>
              <w:spacing w:line="400" w:lineRule="exact"/>
              <w:jc w:val="center"/>
              <w:rPr>
                <w:rFonts w:hAnsi="宋体" w:eastAsia="宋体"/>
                <w:bCs/>
                <w:sz w:val="21"/>
                <w:szCs w:val="21"/>
              </w:rPr>
            </w:pPr>
            <w:r>
              <w:rPr>
                <w:rFonts w:hint="eastAsia" w:hAnsi="宋体" w:eastAsia="宋体"/>
                <w:bCs/>
                <w:sz w:val="21"/>
                <w:szCs w:val="21"/>
              </w:rPr>
              <w:t>磋商</w:t>
            </w:r>
            <w:r>
              <w:rPr>
                <w:rFonts w:hAnsi="宋体" w:eastAsia="宋体"/>
                <w:bCs/>
                <w:sz w:val="21"/>
                <w:szCs w:val="21"/>
              </w:rPr>
              <w:t>总报价（人民币）：金额大写              元      （¥：         元）</w:t>
            </w:r>
          </w:p>
        </w:tc>
      </w:tr>
    </w:tbl>
    <w:p>
      <w:pPr>
        <w:rPr>
          <w:rFonts w:ascii="宋体" w:hAnsi="宋体"/>
          <w:bCs/>
          <w:szCs w:val="21"/>
        </w:rPr>
      </w:pPr>
    </w:p>
    <w:p>
      <w:pPr>
        <w:pStyle w:val="154"/>
        <w:spacing w:line="360" w:lineRule="auto"/>
        <w:ind w:firstLine="525" w:firstLineChars="250"/>
        <w:rPr>
          <w:rFonts w:hAnsi="宋体" w:eastAsia="宋体"/>
          <w:bCs/>
          <w:sz w:val="21"/>
          <w:szCs w:val="21"/>
        </w:rPr>
      </w:pPr>
      <w:r>
        <w:rPr>
          <w:rFonts w:hint="eastAsia" w:hAnsi="宋体" w:eastAsia="宋体"/>
          <w:bCs/>
          <w:sz w:val="21"/>
          <w:szCs w:val="21"/>
        </w:rPr>
        <w:t>联系人（签字）：                                  供应商：（单位盖章）</w:t>
      </w:r>
    </w:p>
    <w:p>
      <w:pPr>
        <w:pStyle w:val="154"/>
        <w:spacing w:line="360" w:lineRule="auto"/>
        <w:ind w:firstLine="525" w:firstLineChars="250"/>
        <w:rPr>
          <w:rFonts w:hAnsi="宋体" w:eastAsia="宋体"/>
          <w:bCs/>
          <w:sz w:val="21"/>
          <w:szCs w:val="21"/>
        </w:rPr>
      </w:pPr>
      <w:r>
        <w:rPr>
          <w:rFonts w:hint="eastAsia" w:hAnsi="宋体" w:eastAsia="宋体"/>
          <w:bCs/>
          <w:sz w:val="21"/>
          <w:szCs w:val="21"/>
        </w:rPr>
        <w:t xml:space="preserve">地址：                                          </w:t>
      </w:r>
    </w:p>
    <w:p>
      <w:pPr>
        <w:pStyle w:val="154"/>
        <w:spacing w:line="360" w:lineRule="auto"/>
        <w:ind w:firstLine="525" w:firstLineChars="250"/>
        <w:rPr>
          <w:rFonts w:hAnsi="宋体" w:eastAsia="宋体"/>
          <w:bCs/>
          <w:sz w:val="21"/>
          <w:szCs w:val="21"/>
        </w:rPr>
      </w:pPr>
      <w:r>
        <w:rPr>
          <w:rFonts w:hint="eastAsia" w:hAnsi="宋体" w:eastAsia="宋体"/>
          <w:bCs/>
          <w:sz w:val="21"/>
          <w:szCs w:val="21"/>
        </w:rPr>
        <w:t>联系电话：                               法定代表人或授权委托人：（签字或盖章）</w:t>
      </w:r>
    </w:p>
    <w:p>
      <w:pPr>
        <w:pStyle w:val="154"/>
        <w:tabs>
          <w:tab w:val="left" w:pos="7965"/>
        </w:tabs>
        <w:spacing w:line="360" w:lineRule="auto"/>
        <w:ind w:firstLine="420" w:firstLineChars="200"/>
        <w:jc w:val="right"/>
        <w:rPr>
          <w:rFonts w:hAnsi="宋体" w:eastAsia="宋体"/>
          <w:bCs/>
          <w:sz w:val="21"/>
          <w:szCs w:val="21"/>
        </w:rPr>
      </w:pPr>
      <w:r>
        <w:rPr>
          <w:rFonts w:hint="eastAsia" w:hAnsi="宋体" w:eastAsia="宋体"/>
          <w:bCs/>
          <w:sz w:val="21"/>
          <w:szCs w:val="21"/>
        </w:rPr>
        <w:t xml:space="preserve">                                                                                                                  </w:t>
      </w:r>
    </w:p>
    <w:p>
      <w:pPr>
        <w:pStyle w:val="154"/>
        <w:spacing w:line="480" w:lineRule="auto"/>
        <w:rPr>
          <w:rFonts w:hAnsi="宋体" w:eastAsia="宋体"/>
          <w:bCs/>
          <w:sz w:val="21"/>
          <w:szCs w:val="21"/>
        </w:rPr>
      </w:pPr>
      <w:r>
        <w:rPr>
          <w:rFonts w:hint="eastAsia" w:hAnsi="宋体" w:eastAsia="宋体"/>
          <w:bCs/>
          <w:sz w:val="21"/>
          <w:szCs w:val="21"/>
        </w:rPr>
        <w:t>说明： 1、磋商总价应填小写，单位：元；</w:t>
      </w:r>
    </w:p>
    <w:p>
      <w:pPr>
        <w:pStyle w:val="154"/>
        <w:spacing w:line="480" w:lineRule="auto"/>
        <w:ind w:firstLine="630" w:firstLineChars="300"/>
        <w:rPr>
          <w:rFonts w:hAnsi="宋体" w:eastAsia="宋体"/>
          <w:bCs/>
          <w:sz w:val="21"/>
          <w:szCs w:val="21"/>
        </w:rPr>
      </w:pPr>
      <w:r>
        <w:rPr>
          <w:rFonts w:hint="eastAsia" w:hAnsi="宋体" w:eastAsia="宋体"/>
          <w:bCs/>
          <w:sz w:val="21"/>
          <w:szCs w:val="21"/>
        </w:rPr>
        <w:t xml:space="preserve"> 2、如因供应商填写有误，导致无法唱标，责任由供应商自负；</w:t>
      </w:r>
    </w:p>
    <w:p>
      <w:pPr>
        <w:pStyle w:val="154"/>
        <w:spacing w:line="480" w:lineRule="auto"/>
        <w:ind w:firstLine="630" w:firstLineChars="300"/>
        <w:rPr>
          <w:rFonts w:hAnsi="宋体" w:eastAsia="宋体"/>
          <w:bCs/>
          <w:sz w:val="21"/>
          <w:szCs w:val="21"/>
        </w:rPr>
      </w:pPr>
      <w:r>
        <w:rPr>
          <w:rFonts w:hint="eastAsia" w:hAnsi="宋体" w:eastAsia="宋体"/>
          <w:bCs/>
          <w:sz w:val="21"/>
          <w:szCs w:val="21"/>
        </w:rPr>
        <w:t>3、</w:t>
      </w:r>
      <w:r>
        <w:rPr>
          <w:rFonts w:hint="eastAsia" w:hAnsi="宋体" w:eastAsia="宋体"/>
          <w:bCs/>
          <w:sz w:val="21"/>
          <w:szCs w:val="21"/>
          <w:lang w:val="en-US" w:eastAsia="zh-CN"/>
        </w:rPr>
        <w:t xml:space="preserve"> </w:t>
      </w:r>
      <w:r>
        <w:rPr>
          <w:rFonts w:hint="eastAsia" w:hAnsi="宋体" w:eastAsia="宋体"/>
          <w:bCs/>
          <w:sz w:val="21"/>
          <w:szCs w:val="21"/>
        </w:rPr>
        <w:t>磋商一览表必须加盖公章并签字，否则无效。</w:t>
      </w:r>
    </w:p>
    <w:p>
      <w:pPr>
        <w:spacing w:before="165" w:beforeLines="50" w:after="165" w:afterLines="50" w:line="480" w:lineRule="exact"/>
        <w:ind w:left="105" w:leftChars="50" w:right="105" w:rightChars="50"/>
        <w:rPr>
          <w:rFonts w:hAnsi="宋体"/>
          <w:b/>
          <w:sz w:val="24"/>
        </w:rPr>
      </w:pPr>
      <w:r>
        <w:rPr>
          <w:rFonts w:hint="eastAsia" w:hAnsi="宋体"/>
          <w:bCs/>
          <w:szCs w:val="21"/>
        </w:rPr>
        <w:t>年</w:t>
      </w:r>
      <w:r>
        <w:rPr>
          <w:rFonts w:hAnsi="宋体"/>
          <w:bCs/>
          <w:szCs w:val="21"/>
        </w:rPr>
        <w:t xml:space="preserve">  </w:t>
      </w:r>
      <w:r>
        <w:rPr>
          <w:rFonts w:hint="eastAsia" w:hAnsi="宋体"/>
          <w:bCs/>
          <w:szCs w:val="21"/>
        </w:rPr>
        <w:t xml:space="preserve"> </w:t>
      </w:r>
      <w:r>
        <w:rPr>
          <w:rFonts w:hAnsi="宋体"/>
          <w:bCs/>
          <w:szCs w:val="21"/>
        </w:rPr>
        <w:t xml:space="preserve">  </w:t>
      </w:r>
      <w:r>
        <w:rPr>
          <w:rFonts w:hint="eastAsia" w:hAnsi="宋体"/>
          <w:bCs/>
          <w:szCs w:val="21"/>
        </w:rPr>
        <w:t>月</w:t>
      </w:r>
      <w:r>
        <w:rPr>
          <w:rFonts w:hAnsi="宋体"/>
          <w:bCs/>
          <w:szCs w:val="21"/>
        </w:rPr>
        <w:t xml:space="preserve"> </w:t>
      </w:r>
      <w:r>
        <w:rPr>
          <w:rFonts w:hint="eastAsia" w:hAnsi="宋体"/>
          <w:bCs/>
          <w:szCs w:val="21"/>
        </w:rPr>
        <w:t xml:space="preserve">   </w:t>
      </w:r>
      <w:r>
        <w:rPr>
          <w:rFonts w:hAnsi="宋体"/>
          <w:bCs/>
          <w:szCs w:val="21"/>
        </w:rPr>
        <w:t xml:space="preserve"> </w:t>
      </w:r>
      <w:r>
        <w:rPr>
          <w:rFonts w:hint="eastAsia" w:hAnsi="宋体"/>
          <w:bCs/>
          <w:szCs w:val="21"/>
        </w:rPr>
        <w:t>日</w:t>
      </w:r>
    </w:p>
    <w:p>
      <w:pPr>
        <w:spacing w:before="165" w:beforeLines="50" w:after="165" w:afterLines="50" w:line="480" w:lineRule="exact"/>
        <w:ind w:left="105" w:leftChars="50" w:right="105" w:rightChars="50"/>
        <w:rPr>
          <w:rFonts w:hAnsi="宋体"/>
          <w:b/>
          <w:sz w:val="24"/>
        </w:rPr>
      </w:pPr>
    </w:p>
    <w:p>
      <w:pPr>
        <w:spacing w:before="165" w:beforeLines="50" w:after="165" w:afterLines="50" w:line="480" w:lineRule="exact"/>
        <w:ind w:left="105" w:leftChars="50" w:right="105" w:rightChars="50"/>
        <w:rPr>
          <w:rFonts w:hAnsi="宋体"/>
          <w:b/>
          <w:sz w:val="24"/>
        </w:rPr>
      </w:pPr>
    </w:p>
    <w:p>
      <w:pPr>
        <w:spacing w:before="165" w:beforeLines="50" w:after="165" w:afterLines="50" w:line="480" w:lineRule="exact"/>
        <w:ind w:left="105" w:leftChars="50" w:right="105" w:rightChars="50"/>
        <w:rPr>
          <w:rFonts w:hAnsi="宋体"/>
          <w:b/>
          <w:sz w:val="24"/>
        </w:rPr>
      </w:pPr>
    </w:p>
    <w:p>
      <w:pPr>
        <w:spacing w:before="165" w:beforeLines="50" w:after="165" w:afterLines="50" w:line="480" w:lineRule="exact"/>
        <w:ind w:left="105" w:leftChars="50" w:right="105" w:rightChars="50"/>
        <w:rPr>
          <w:rFonts w:hAnsi="宋体"/>
          <w:b/>
          <w:sz w:val="24"/>
        </w:rPr>
      </w:pPr>
    </w:p>
    <w:p>
      <w:pPr>
        <w:spacing w:before="165" w:beforeLines="50" w:after="165" w:afterLines="50" w:line="480" w:lineRule="exact"/>
        <w:ind w:left="105" w:leftChars="50" w:right="105" w:rightChars="50"/>
        <w:rPr>
          <w:rFonts w:hAnsi="宋体"/>
          <w:b/>
          <w:sz w:val="24"/>
        </w:rPr>
      </w:pPr>
    </w:p>
    <w:p>
      <w:pPr>
        <w:outlineLvl w:val="1"/>
        <w:rPr>
          <w:rFonts w:hAnsi="宋体"/>
          <w:b/>
          <w:sz w:val="24"/>
        </w:rPr>
      </w:pPr>
      <w:r>
        <w:rPr>
          <w:rFonts w:hint="eastAsia" w:ascii="宋体" w:hAnsi="宋体" w:cs="宋体"/>
          <w:bCs/>
          <w:sz w:val="24"/>
          <w:szCs w:val="24"/>
        </w:rPr>
        <w:t>附件5</w:t>
      </w:r>
    </w:p>
    <w:p>
      <w:pPr>
        <w:spacing w:line="300" w:lineRule="auto"/>
        <w:jc w:val="center"/>
        <w:rPr>
          <w:rFonts w:ascii="宋体" w:hAnsi="宋体" w:cs="宋体"/>
          <w:b/>
          <w:sz w:val="24"/>
          <w:szCs w:val="24"/>
        </w:rPr>
      </w:pPr>
      <w:r>
        <w:rPr>
          <w:rFonts w:hint="eastAsia" w:ascii="宋体" w:hAnsi="宋体" w:cs="宋体"/>
          <w:b/>
          <w:sz w:val="24"/>
          <w:szCs w:val="24"/>
        </w:rPr>
        <w:t>磋商报价分项表（可根据项目实际情况自行设计格式）</w:t>
      </w:r>
    </w:p>
    <w:p>
      <w:pPr>
        <w:spacing w:line="300" w:lineRule="auto"/>
        <w:rPr>
          <w:rFonts w:ascii="宋体" w:hAnsi="宋体" w:cs="宋体"/>
          <w:szCs w:val="21"/>
        </w:rPr>
      </w:pPr>
      <w:r>
        <w:rPr>
          <w:rFonts w:hint="eastAsia" w:ascii="宋体" w:hAnsi="宋体" w:cs="宋体"/>
          <w:szCs w:val="21"/>
        </w:rPr>
        <w:t>采购编号：</w:t>
      </w:r>
    </w:p>
    <w:tbl>
      <w:tblPr>
        <w:tblStyle w:val="28"/>
        <w:tblW w:w="93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1"/>
        <w:gridCol w:w="1125"/>
        <w:gridCol w:w="883"/>
        <w:gridCol w:w="1609"/>
        <w:gridCol w:w="1291"/>
        <w:gridCol w:w="1228"/>
        <w:gridCol w:w="1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1941" w:type="dxa"/>
            <w:vAlign w:val="center"/>
          </w:tcPr>
          <w:p>
            <w:pPr>
              <w:spacing w:line="300" w:lineRule="auto"/>
              <w:rPr>
                <w:rFonts w:ascii="宋体" w:hAnsi="宋体" w:cs="宋体"/>
                <w:szCs w:val="21"/>
              </w:rPr>
            </w:pPr>
            <w:r>
              <w:rPr>
                <w:rFonts w:hint="eastAsia" w:ascii="宋体" w:hAnsi="宋体" w:cs="宋体"/>
                <w:szCs w:val="21"/>
              </w:rPr>
              <w:t>项目名称</w:t>
            </w:r>
          </w:p>
        </w:tc>
        <w:tc>
          <w:tcPr>
            <w:tcW w:w="1125" w:type="dxa"/>
            <w:vAlign w:val="center"/>
          </w:tcPr>
          <w:p>
            <w:pPr>
              <w:spacing w:line="300" w:lineRule="auto"/>
              <w:rPr>
                <w:rFonts w:ascii="宋体" w:hAnsi="宋体" w:cs="宋体"/>
                <w:szCs w:val="21"/>
              </w:rPr>
            </w:pPr>
            <w:r>
              <w:rPr>
                <w:rFonts w:hint="eastAsia" w:ascii="宋体" w:hAnsi="宋体" w:cs="宋体"/>
                <w:szCs w:val="21"/>
              </w:rPr>
              <w:t>原产地</w:t>
            </w:r>
          </w:p>
        </w:tc>
        <w:tc>
          <w:tcPr>
            <w:tcW w:w="883" w:type="dxa"/>
            <w:vAlign w:val="center"/>
          </w:tcPr>
          <w:p>
            <w:pPr>
              <w:spacing w:line="300" w:lineRule="auto"/>
              <w:rPr>
                <w:rFonts w:ascii="宋体" w:hAnsi="宋体" w:cs="宋体"/>
                <w:szCs w:val="21"/>
              </w:rPr>
            </w:pPr>
            <w:r>
              <w:rPr>
                <w:rFonts w:hint="eastAsia" w:ascii="宋体" w:hAnsi="宋体" w:cs="宋体"/>
                <w:szCs w:val="21"/>
              </w:rPr>
              <w:t>品牌</w:t>
            </w:r>
          </w:p>
        </w:tc>
        <w:tc>
          <w:tcPr>
            <w:tcW w:w="1609" w:type="dxa"/>
            <w:vAlign w:val="center"/>
          </w:tcPr>
          <w:p>
            <w:pPr>
              <w:spacing w:line="300" w:lineRule="auto"/>
              <w:rPr>
                <w:rFonts w:ascii="宋体" w:hAnsi="宋体" w:cs="宋体"/>
                <w:szCs w:val="21"/>
              </w:rPr>
            </w:pPr>
            <w:r>
              <w:rPr>
                <w:rFonts w:hint="eastAsia" w:ascii="宋体" w:hAnsi="宋体" w:cs="宋体"/>
                <w:szCs w:val="21"/>
              </w:rPr>
              <w:t>型号与规格</w:t>
            </w:r>
          </w:p>
        </w:tc>
        <w:tc>
          <w:tcPr>
            <w:tcW w:w="1291" w:type="dxa"/>
            <w:vAlign w:val="center"/>
          </w:tcPr>
          <w:p>
            <w:pPr>
              <w:spacing w:line="300" w:lineRule="auto"/>
              <w:rPr>
                <w:rFonts w:ascii="宋体" w:hAnsi="宋体" w:cs="宋体"/>
                <w:szCs w:val="21"/>
              </w:rPr>
            </w:pPr>
            <w:r>
              <w:rPr>
                <w:rFonts w:hint="eastAsia" w:ascii="宋体" w:hAnsi="宋体" w:cs="宋体"/>
                <w:szCs w:val="21"/>
              </w:rPr>
              <w:t>数量（套）</w:t>
            </w:r>
          </w:p>
        </w:tc>
        <w:tc>
          <w:tcPr>
            <w:tcW w:w="1228" w:type="dxa"/>
            <w:vAlign w:val="center"/>
          </w:tcPr>
          <w:p>
            <w:pPr>
              <w:spacing w:line="300" w:lineRule="auto"/>
              <w:rPr>
                <w:rFonts w:ascii="宋体" w:hAnsi="宋体" w:cs="宋体"/>
                <w:szCs w:val="21"/>
              </w:rPr>
            </w:pPr>
            <w:r>
              <w:rPr>
                <w:rFonts w:hint="eastAsia" w:ascii="宋体" w:hAnsi="宋体" w:cs="宋体"/>
                <w:szCs w:val="21"/>
              </w:rPr>
              <w:t>单价（元）</w:t>
            </w:r>
          </w:p>
        </w:tc>
        <w:tc>
          <w:tcPr>
            <w:tcW w:w="1228" w:type="dxa"/>
            <w:vAlign w:val="center"/>
          </w:tcPr>
          <w:p>
            <w:pPr>
              <w:spacing w:line="300" w:lineRule="auto"/>
              <w:rPr>
                <w:rFonts w:ascii="宋体" w:hAnsi="宋体" w:cs="宋体"/>
                <w:szCs w:val="21"/>
              </w:rPr>
            </w:pPr>
            <w:r>
              <w:rPr>
                <w:rFonts w:hint="eastAsia" w:ascii="宋体" w:hAnsi="宋体" w:cs="宋体"/>
                <w:szCs w:val="21"/>
              </w:rPr>
              <w:t>合价（元）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1941" w:type="dxa"/>
            <w:vAlign w:val="center"/>
          </w:tcPr>
          <w:p>
            <w:pPr>
              <w:spacing w:line="300" w:lineRule="auto"/>
              <w:rPr>
                <w:rFonts w:ascii="宋体" w:hAnsi="宋体" w:cs="宋体"/>
                <w:szCs w:val="21"/>
              </w:rPr>
            </w:pPr>
            <w:r>
              <w:rPr>
                <w:rFonts w:hint="eastAsia" w:ascii="宋体" w:hAnsi="宋体" w:cs="宋体"/>
                <w:szCs w:val="21"/>
              </w:rPr>
              <w:t>设备价格</w:t>
            </w:r>
          </w:p>
        </w:tc>
        <w:tc>
          <w:tcPr>
            <w:tcW w:w="1125" w:type="dxa"/>
          </w:tcPr>
          <w:p>
            <w:pPr>
              <w:spacing w:line="300" w:lineRule="auto"/>
              <w:rPr>
                <w:rFonts w:ascii="宋体" w:hAnsi="宋体" w:cs="宋体"/>
                <w:szCs w:val="21"/>
              </w:rPr>
            </w:pPr>
            <w:r>
              <w:rPr>
                <w:rFonts w:hint="eastAsia" w:ascii="宋体" w:hAnsi="宋体" w:cs="宋体"/>
                <w:szCs w:val="21"/>
              </w:rPr>
              <w:t>1</w:t>
            </w:r>
          </w:p>
        </w:tc>
        <w:tc>
          <w:tcPr>
            <w:tcW w:w="883" w:type="dxa"/>
          </w:tcPr>
          <w:p>
            <w:pPr>
              <w:spacing w:line="300" w:lineRule="auto"/>
              <w:rPr>
                <w:rFonts w:ascii="宋体" w:hAnsi="宋体" w:cs="宋体"/>
                <w:szCs w:val="21"/>
              </w:rPr>
            </w:pPr>
            <w:r>
              <w:rPr>
                <w:rFonts w:hint="eastAsia" w:ascii="宋体" w:hAnsi="宋体" w:cs="宋体"/>
                <w:szCs w:val="21"/>
              </w:rPr>
              <w:t>2</w:t>
            </w:r>
          </w:p>
        </w:tc>
        <w:tc>
          <w:tcPr>
            <w:tcW w:w="1609" w:type="dxa"/>
          </w:tcPr>
          <w:p>
            <w:pPr>
              <w:spacing w:line="300" w:lineRule="auto"/>
              <w:rPr>
                <w:rFonts w:ascii="宋体" w:hAnsi="宋体" w:cs="宋体"/>
                <w:szCs w:val="21"/>
              </w:rPr>
            </w:pPr>
            <w:r>
              <w:rPr>
                <w:rFonts w:hint="eastAsia" w:ascii="宋体" w:hAnsi="宋体" w:cs="宋体"/>
                <w:szCs w:val="21"/>
              </w:rPr>
              <w:t>3</w:t>
            </w:r>
          </w:p>
        </w:tc>
        <w:tc>
          <w:tcPr>
            <w:tcW w:w="1291" w:type="dxa"/>
          </w:tcPr>
          <w:p>
            <w:pPr>
              <w:spacing w:line="300" w:lineRule="auto"/>
              <w:rPr>
                <w:rFonts w:ascii="宋体" w:hAnsi="宋体" w:cs="宋体"/>
                <w:szCs w:val="21"/>
              </w:rPr>
            </w:pPr>
            <w:r>
              <w:rPr>
                <w:rFonts w:hint="eastAsia" w:ascii="宋体" w:hAnsi="宋体" w:cs="宋体"/>
                <w:szCs w:val="21"/>
              </w:rPr>
              <w:t>4</w:t>
            </w:r>
          </w:p>
        </w:tc>
        <w:tc>
          <w:tcPr>
            <w:tcW w:w="1228" w:type="dxa"/>
          </w:tcPr>
          <w:p>
            <w:pPr>
              <w:spacing w:line="300" w:lineRule="auto"/>
              <w:rPr>
                <w:rFonts w:ascii="宋体" w:hAnsi="宋体" w:cs="宋体"/>
                <w:szCs w:val="21"/>
              </w:rPr>
            </w:pPr>
            <w:r>
              <w:rPr>
                <w:rFonts w:hint="eastAsia" w:ascii="宋体" w:hAnsi="宋体" w:cs="宋体"/>
                <w:szCs w:val="21"/>
              </w:rPr>
              <w:t>5</w:t>
            </w:r>
          </w:p>
        </w:tc>
        <w:tc>
          <w:tcPr>
            <w:tcW w:w="1228" w:type="dxa"/>
          </w:tcPr>
          <w:p>
            <w:pPr>
              <w:spacing w:line="300" w:lineRule="auto"/>
              <w:rPr>
                <w:rFonts w:ascii="宋体" w:hAnsi="宋体" w:cs="宋体"/>
                <w:szCs w:val="21"/>
              </w:rPr>
            </w:pPr>
            <w:r>
              <w:rPr>
                <w:rFonts w:hint="eastAsia" w:ascii="宋体" w:hAnsi="宋体" w:cs="宋体"/>
                <w:szCs w:val="21"/>
              </w:rPr>
              <w:t>6=4*5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1941" w:type="dxa"/>
            <w:vAlign w:val="center"/>
          </w:tcPr>
          <w:p>
            <w:pPr>
              <w:spacing w:line="300" w:lineRule="auto"/>
              <w:rPr>
                <w:rFonts w:ascii="宋体" w:hAnsi="宋体" w:cs="宋体"/>
                <w:szCs w:val="21"/>
              </w:rPr>
            </w:pPr>
            <w:r>
              <w:rPr>
                <w:rFonts w:hint="eastAsia" w:ascii="宋体" w:hAnsi="宋体" w:cs="宋体"/>
                <w:szCs w:val="21"/>
              </w:rPr>
              <w:t>运杂费</w:t>
            </w:r>
          </w:p>
        </w:tc>
        <w:tc>
          <w:tcPr>
            <w:tcW w:w="1125" w:type="dxa"/>
          </w:tcPr>
          <w:p>
            <w:pPr>
              <w:spacing w:line="300" w:lineRule="auto"/>
              <w:rPr>
                <w:rFonts w:ascii="宋体" w:hAnsi="宋体" w:cs="宋体"/>
                <w:szCs w:val="21"/>
              </w:rPr>
            </w:pPr>
          </w:p>
        </w:tc>
        <w:tc>
          <w:tcPr>
            <w:tcW w:w="883" w:type="dxa"/>
          </w:tcPr>
          <w:p>
            <w:pPr>
              <w:spacing w:line="300" w:lineRule="auto"/>
              <w:rPr>
                <w:rFonts w:ascii="宋体" w:hAnsi="宋体" w:cs="宋体"/>
                <w:szCs w:val="21"/>
              </w:rPr>
            </w:pPr>
          </w:p>
        </w:tc>
        <w:tc>
          <w:tcPr>
            <w:tcW w:w="1609" w:type="dxa"/>
          </w:tcPr>
          <w:p>
            <w:pPr>
              <w:spacing w:line="300" w:lineRule="auto"/>
              <w:rPr>
                <w:rFonts w:ascii="宋体" w:hAnsi="宋体" w:cs="宋体"/>
                <w:szCs w:val="21"/>
              </w:rPr>
            </w:pPr>
          </w:p>
        </w:tc>
        <w:tc>
          <w:tcPr>
            <w:tcW w:w="1291" w:type="dxa"/>
          </w:tcPr>
          <w:p>
            <w:pPr>
              <w:spacing w:line="300" w:lineRule="auto"/>
              <w:rPr>
                <w:rFonts w:ascii="宋体" w:hAnsi="宋体" w:cs="宋体"/>
                <w:szCs w:val="21"/>
              </w:rPr>
            </w:pPr>
          </w:p>
        </w:tc>
        <w:tc>
          <w:tcPr>
            <w:tcW w:w="1228" w:type="dxa"/>
          </w:tcPr>
          <w:p>
            <w:pPr>
              <w:spacing w:line="300" w:lineRule="auto"/>
              <w:rPr>
                <w:rFonts w:ascii="宋体" w:hAnsi="宋体" w:cs="宋体"/>
                <w:szCs w:val="21"/>
              </w:rPr>
            </w:pPr>
          </w:p>
        </w:tc>
        <w:tc>
          <w:tcPr>
            <w:tcW w:w="1228" w:type="dxa"/>
          </w:tcPr>
          <w:p>
            <w:pPr>
              <w:spacing w:line="30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1941" w:type="dxa"/>
            <w:vAlign w:val="center"/>
          </w:tcPr>
          <w:p>
            <w:pPr>
              <w:spacing w:line="300" w:lineRule="auto"/>
              <w:rPr>
                <w:rFonts w:ascii="宋体" w:hAnsi="宋体" w:cs="宋体"/>
                <w:szCs w:val="21"/>
              </w:rPr>
            </w:pPr>
            <w:r>
              <w:rPr>
                <w:rFonts w:hint="eastAsia" w:ascii="宋体" w:hAnsi="宋体" w:cs="宋体"/>
                <w:szCs w:val="21"/>
              </w:rPr>
              <w:t>安装与调试费</w:t>
            </w:r>
          </w:p>
        </w:tc>
        <w:tc>
          <w:tcPr>
            <w:tcW w:w="1125" w:type="dxa"/>
          </w:tcPr>
          <w:p>
            <w:pPr>
              <w:spacing w:line="300" w:lineRule="auto"/>
              <w:rPr>
                <w:rFonts w:ascii="宋体" w:hAnsi="宋体" w:cs="宋体"/>
                <w:szCs w:val="21"/>
              </w:rPr>
            </w:pPr>
          </w:p>
        </w:tc>
        <w:tc>
          <w:tcPr>
            <w:tcW w:w="883" w:type="dxa"/>
          </w:tcPr>
          <w:p>
            <w:pPr>
              <w:spacing w:line="300" w:lineRule="auto"/>
              <w:rPr>
                <w:rFonts w:ascii="宋体" w:hAnsi="宋体" w:cs="宋体"/>
                <w:szCs w:val="21"/>
              </w:rPr>
            </w:pPr>
          </w:p>
        </w:tc>
        <w:tc>
          <w:tcPr>
            <w:tcW w:w="1609" w:type="dxa"/>
          </w:tcPr>
          <w:p>
            <w:pPr>
              <w:spacing w:line="300" w:lineRule="auto"/>
              <w:rPr>
                <w:rFonts w:ascii="宋体" w:hAnsi="宋体" w:cs="宋体"/>
                <w:szCs w:val="21"/>
              </w:rPr>
            </w:pPr>
          </w:p>
        </w:tc>
        <w:tc>
          <w:tcPr>
            <w:tcW w:w="1291" w:type="dxa"/>
          </w:tcPr>
          <w:p>
            <w:pPr>
              <w:spacing w:line="300" w:lineRule="auto"/>
              <w:rPr>
                <w:rFonts w:ascii="宋体" w:hAnsi="宋体" w:cs="宋体"/>
                <w:szCs w:val="21"/>
              </w:rPr>
            </w:pPr>
          </w:p>
        </w:tc>
        <w:tc>
          <w:tcPr>
            <w:tcW w:w="1228" w:type="dxa"/>
          </w:tcPr>
          <w:p>
            <w:pPr>
              <w:spacing w:line="300" w:lineRule="auto"/>
              <w:rPr>
                <w:rFonts w:ascii="宋体" w:hAnsi="宋体" w:cs="宋体"/>
                <w:szCs w:val="21"/>
              </w:rPr>
            </w:pPr>
          </w:p>
        </w:tc>
        <w:tc>
          <w:tcPr>
            <w:tcW w:w="1228" w:type="dxa"/>
          </w:tcPr>
          <w:p>
            <w:pPr>
              <w:spacing w:line="30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1941" w:type="dxa"/>
            <w:vAlign w:val="center"/>
          </w:tcPr>
          <w:p>
            <w:pPr>
              <w:spacing w:line="300" w:lineRule="auto"/>
              <w:rPr>
                <w:rFonts w:ascii="宋体" w:hAnsi="宋体" w:cs="宋体"/>
                <w:szCs w:val="21"/>
              </w:rPr>
            </w:pPr>
            <w:r>
              <w:rPr>
                <w:rFonts w:hint="eastAsia" w:ascii="宋体" w:hAnsi="宋体" w:cs="宋体"/>
                <w:szCs w:val="21"/>
              </w:rPr>
              <w:t>培训费</w:t>
            </w:r>
          </w:p>
        </w:tc>
        <w:tc>
          <w:tcPr>
            <w:tcW w:w="1125" w:type="dxa"/>
          </w:tcPr>
          <w:p>
            <w:pPr>
              <w:spacing w:line="300" w:lineRule="auto"/>
              <w:rPr>
                <w:rFonts w:ascii="宋体" w:hAnsi="宋体" w:cs="宋体"/>
                <w:szCs w:val="21"/>
              </w:rPr>
            </w:pPr>
          </w:p>
        </w:tc>
        <w:tc>
          <w:tcPr>
            <w:tcW w:w="883" w:type="dxa"/>
          </w:tcPr>
          <w:p>
            <w:pPr>
              <w:spacing w:line="300" w:lineRule="auto"/>
              <w:rPr>
                <w:rFonts w:ascii="宋体" w:hAnsi="宋体" w:cs="宋体"/>
                <w:szCs w:val="21"/>
              </w:rPr>
            </w:pPr>
          </w:p>
        </w:tc>
        <w:tc>
          <w:tcPr>
            <w:tcW w:w="1609" w:type="dxa"/>
          </w:tcPr>
          <w:p>
            <w:pPr>
              <w:spacing w:line="300" w:lineRule="auto"/>
              <w:rPr>
                <w:rFonts w:ascii="宋体" w:hAnsi="宋体" w:cs="宋体"/>
                <w:szCs w:val="21"/>
              </w:rPr>
            </w:pPr>
          </w:p>
        </w:tc>
        <w:tc>
          <w:tcPr>
            <w:tcW w:w="1291" w:type="dxa"/>
          </w:tcPr>
          <w:p>
            <w:pPr>
              <w:spacing w:line="300" w:lineRule="auto"/>
              <w:rPr>
                <w:rFonts w:ascii="宋体" w:hAnsi="宋体" w:cs="宋体"/>
                <w:szCs w:val="21"/>
              </w:rPr>
            </w:pPr>
          </w:p>
        </w:tc>
        <w:tc>
          <w:tcPr>
            <w:tcW w:w="1228" w:type="dxa"/>
          </w:tcPr>
          <w:p>
            <w:pPr>
              <w:spacing w:line="300" w:lineRule="auto"/>
              <w:rPr>
                <w:rFonts w:ascii="宋体" w:hAnsi="宋体" w:cs="宋体"/>
                <w:szCs w:val="21"/>
              </w:rPr>
            </w:pPr>
          </w:p>
        </w:tc>
        <w:tc>
          <w:tcPr>
            <w:tcW w:w="1228" w:type="dxa"/>
          </w:tcPr>
          <w:p>
            <w:pPr>
              <w:spacing w:line="30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941" w:type="dxa"/>
            <w:vAlign w:val="center"/>
          </w:tcPr>
          <w:p>
            <w:pPr>
              <w:spacing w:line="300" w:lineRule="auto"/>
              <w:rPr>
                <w:rFonts w:ascii="宋体" w:hAnsi="宋体" w:cs="宋体"/>
                <w:szCs w:val="21"/>
              </w:rPr>
            </w:pPr>
            <w:r>
              <w:rPr>
                <w:rFonts w:hint="eastAsia" w:ascii="宋体" w:hAnsi="宋体" w:cs="宋体"/>
                <w:szCs w:val="21"/>
              </w:rPr>
              <w:t>税费</w:t>
            </w:r>
          </w:p>
        </w:tc>
        <w:tc>
          <w:tcPr>
            <w:tcW w:w="1125" w:type="dxa"/>
          </w:tcPr>
          <w:p>
            <w:pPr>
              <w:spacing w:line="300" w:lineRule="auto"/>
              <w:rPr>
                <w:rFonts w:ascii="宋体" w:hAnsi="宋体" w:cs="宋体"/>
                <w:szCs w:val="21"/>
              </w:rPr>
            </w:pPr>
          </w:p>
        </w:tc>
        <w:tc>
          <w:tcPr>
            <w:tcW w:w="883" w:type="dxa"/>
          </w:tcPr>
          <w:p>
            <w:pPr>
              <w:spacing w:line="300" w:lineRule="auto"/>
              <w:rPr>
                <w:rFonts w:ascii="宋体" w:hAnsi="宋体" w:cs="宋体"/>
                <w:szCs w:val="21"/>
              </w:rPr>
            </w:pPr>
          </w:p>
        </w:tc>
        <w:tc>
          <w:tcPr>
            <w:tcW w:w="1609" w:type="dxa"/>
          </w:tcPr>
          <w:p>
            <w:pPr>
              <w:spacing w:line="300" w:lineRule="auto"/>
              <w:rPr>
                <w:rFonts w:ascii="宋体" w:hAnsi="宋体" w:cs="宋体"/>
                <w:szCs w:val="21"/>
              </w:rPr>
            </w:pPr>
          </w:p>
        </w:tc>
        <w:tc>
          <w:tcPr>
            <w:tcW w:w="1291" w:type="dxa"/>
          </w:tcPr>
          <w:p>
            <w:pPr>
              <w:spacing w:line="300" w:lineRule="auto"/>
              <w:rPr>
                <w:rFonts w:ascii="宋体" w:hAnsi="宋体" w:cs="宋体"/>
                <w:szCs w:val="21"/>
              </w:rPr>
            </w:pPr>
          </w:p>
        </w:tc>
        <w:tc>
          <w:tcPr>
            <w:tcW w:w="1228" w:type="dxa"/>
          </w:tcPr>
          <w:p>
            <w:pPr>
              <w:spacing w:line="300" w:lineRule="auto"/>
              <w:rPr>
                <w:rFonts w:ascii="宋体" w:hAnsi="宋体" w:cs="宋体"/>
                <w:szCs w:val="21"/>
              </w:rPr>
            </w:pPr>
          </w:p>
        </w:tc>
        <w:tc>
          <w:tcPr>
            <w:tcW w:w="1228" w:type="dxa"/>
          </w:tcPr>
          <w:p>
            <w:pPr>
              <w:spacing w:line="30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1941" w:type="dxa"/>
            <w:vAlign w:val="center"/>
          </w:tcPr>
          <w:p>
            <w:pPr>
              <w:spacing w:line="300" w:lineRule="auto"/>
              <w:rPr>
                <w:rFonts w:ascii="宋体" w:hAnsi="宋体" w:cs="宋体"/>
                <w:szCs w:val="21"/>
              </w:rPr>
            </w:pPr>
            <w:r>
              <w:rPr>
                <w:rFonts w:hint="eastAsia" w:ascii="宋体" w:hAnsi="宋体" w:cs="宋体"/>
                <w:szCs w:val="21"/>
              </w:rPr>
              <w:t>监、检测、办证费</w:t>
            </w:r>
          </w:p>
        </w:tc>
        <w:tc>
          <w:tcPr>
            <w:tcW w:w="1125" w:type="dxa"/>
          </w:tcPr>
          <w:p>
            <w:pPr>
              <w:spacing w:line="300" w:lineRule="auto"/>
              <w:rPr>
                <w:rFonts w:ascii="宋体" w:hAnsi="宋体" w:cs="宋体"/>
                <w:szCs w:val="21"/>
              </w:rPr>
            </w:pPr>
          </w:p>
        </w:tc>
        <w:tc>
          <w:tcPr>
            <w:tcW w:w="883" w:type="dxa"/>
          </w:tcPr>
          <w:p>
            <w:pPr>
              <w:spacing w:line="300" w:lineRule="auto"/>
              <w:rPr>
                <w:rFonts w:ascii="宋体" w:hAnsi="宋体" w:cs="宋体"/>
                <w:szCs w:val="21"/>
              </w:rPr>
            </w:pPr>
          </w:p>
        </w:tc>
        <w:tc>
          <w:tcPr>
            <w:tcW w:w="1609" w:type="dxa"/>
          </w:tcPr>
          <w:p>
            <w:pPr>
              <w:spacing w:line="300" w:lineRule="auto"/>
              <w:rPr>
                <w:rFonts w:ascii="宋体" w:hAnsi="宋体" w:cs="宋体"/>
                <w:szCs w:val="21"/>
              </w:rPr>
            </w:pPr>
          </w:p>
        </w:tc>
        <w:tc>
          <w:tcPr>
            <w:tcW w:w="1291" w:type="dxa"/>
          </w:tcPr>
          <w:p>
            <w:pPr>
              <w:spacing w:line="300" w:lineRule="auto"/>
              <w:rPr>
                <w:rFonts w:ascii="宋体" w:hAnsi="宋体" w:cs="宋体"/>
                <w:szCs w:val="21"/>
              </w:rPr>
            </w:pPr>
          </w:p>
        </w:tc>
        <w:tc>
          <w:tcPr>
            <w:tcW w:w="1228" w:type="dxa"/>
          </w:tcPr>
          <w:p>
            <w:pPr>
              <w:spacing w:line="300" w:lineRule="auto"/>
              <w:rPr>
                <w:rFonts w:ascii="宋体" w:hAnsi="宋体" w:cs="宋体"/>
                <w:szCs w:val="21"/>
              </w:rPr>
            </w:pPr>
          </w:p>
        </w:tc>
        <w:tc>
          <w:tcPr>
            <w:tcW w:w="1228" w:type="dxa"/>
          </w:tcPr>
          <w:p>
            <w:pPr>
              <w:spacing w:line="30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1941" w:type="dxa"/>
            <w:vAlign w:val="center"/>
          </w:tcPr>
          <w:p>
            <w:pPr>
              <w:spacing w:line="300" w:lineRule="auto"/>
              <w:rPr>
                <w:rFonts w:ascii="宋体" w:hAnsi="宋体" w:cs="宋体"/>
                <w:szCs w:val="21"/>
              </w:rPr>
            </w:pPr>
            <w:r>
              <w:rPr>
                <w:rFonts w:hint="eastAsia" w:ascii="宋体" w:hAnsi="宋体" w:cs="宋体"/>
                <w:szCs w:val="21"/>
              </w:rPr>
              <w:t>其他费用</w:t>
            </w:r>
          </w:p>
        </w:tc>
        <w:tc>
          <w:tcPr>
            <w:tcW w:w="1125" w:type="dxa"/>
          </w:tcPr>
          <w:p>
            <w:pPr>
              <w:spacing w:line="300" w:lineRule="auto"/>
              <w:rPr>
                <w:rFonts w:ascii="宋体" w:hAnsi="宋体" w:cs="宋体"/>
                <w:szCs w:val="21"/>
              </w:rPr>
            </w:pPr>
          </w:p>
        </w:tc>
        <w:tc>
          <w:tcPr>
            <w:tcW w:w="883" w:type="dxa"/>
          </w:tcPr>
          <w:p>
            <w:pPr>
              <w:spacing w:line="300" w:lineRule="auto"/>
              <w:rPr>
                <w:rFonts w:ascii="宋体" w:hAnsi="宋体" w:cs="宋体"/>
                <w:szCs w:val="21"/>
              </w:rPr>
            </w:pPr>
          </w:p>
        </w:tc>
        <w:tc>
          <w:tcPr>
            <w:tcW w:w="1609" w:type="dxa"/>
          </w:tcPr>
          <w:p>
            <w:pPr>
              <w:spacing w:line="300" w:lineRule="auto"/>
              <w:rPr>
                <w:rFonts w:ascii="宋体" w:hAnsi="宋体" w:cs="宋体"/>
                <w:szCs w:val="21"/>
              </w:rPr>
            </w:pPr>
          </w:p>
        </w:tc>
        <w:tc>
          <w:tcPr>
            <w:tcW w:w="1291" w:type="dxa"/>
          </w:tcPr>
          <w:p>
            <w:pPr>
              <w:spacing w:line="300" w:lineRule="auto"/>
              <w:rPr>
                <w:rFonts w:ascii="宋体" w:hAnsi="宋体" w:cs="宋体"/>
                <w:szCs w:val="21"/>
              </w:rPr>
            </w:pPr>
          </w:p>
        </w:tc>
        <w:tc>
          <w:tcPr>
            <w:tcW w:w="1228" w:type="dxa"/>
          </w:tcPr>
          <w:p>
            <w:pPr>
              <w:spacing w:line="300" w:lineRule="auto"/>
              <w:rPr>
                <w:rFonts w:ascii="宋体" w:hAnsi="宋体" w:cs="宋体"/>
                <w:szCs w:val="21"/>
              </w:rPr>
            </w:pPr>
          </w:p>
        </w:tc>
        <w:tc>
          <w:tcPr>
            <w:tcW w:w="1228" w:type="dxa"/>
          </w:tcPr>
          <w:p>
            <w:pPr>
              <w:spacing w:line="30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1941" w:type="dxa"/>
            <w:vAlign w:val="center"/>
          </w:tcPr>
          <w:p>
            <w:pPr>
              <w:spacing w:line="300" w:lineRule="auto"/>
              <w:rPr>
                <w:rFonts w:ascii="宋体" w:hAnsi="宋体" w:cs="宋体"/>
                <w:szCs w:val="21"/>
              </w:rPr>
            </w:pPr>
          </w:p>
        </w:tc>
        <w:tc>
          <w:tcPr>
            <w:tcW w:w="1125" w:type="dxa"/>
          </w:tcPr>
          <w:p>
            <w:pPr>
              <w:spacing w:line="300" w:lineRule="auto"/>
              <w:rPr>
                <w:rFonts w:ascii="宋体" w:hAnsi="宋体" w:cs="宋体"/>
                <w:szCs w:val="21"/>
              </w:rPr>
            </w:pPr>
          </w:p>
        </w:tc>
        <w:tc>
          <w:tcPr>
            <w:tcW w:w="883" w:type="dxa"/>
          </w:tcPr>
          <w:p>
            <w:pPr>
              <w:spacing w:line="300" w:lineRule="auto"/>
              <w:rPr>
                <w:rFonts w:ascii="宋体" w:hAnsi="宋体" w:cs="宋体"/>
                <w:szCs w:val="21"/>
              </w:rPr>
            </w:pPr>
          </w:p>
        </w:tc>
        <w:tc>
          <w:tcPr>
            <w:tcW w:w="1609" w:type="dxa"/>
          </w:tcPr>
          <w:p>
            <w:pPr>
              <w:spacing w:line="300" w:lineRule="auto"/>
              <w:rPr>
                <w:rFonts w:ascii="宋体" w:hAnsi="宋体" w:cs="宋体"/>
                <w:szCs w:val="21"/>
              </w:rPr>
            </w:pPr>
          </w:p>
        </w:tc>
        <w:tc>
          <w:tcPr>
            <w:tcW w:w="1291" w:type="dxa"/>
          </w:tcPr>
          <w:p>
            <w:pPr>
              <w:spacing w:line="300" w:lineRule="auto"/>
              <w:rPr>
                <w:rFonts w:ascii="宋体" w:hAnsi="宋体" w:cs="宋体"/>
                <w:szCs w:val="21"/>
              </w:rPr>
            </w:pPr>
          </w:p>
        </w:tc>
        <w:tc>
          <w:tcPr>
            <w:tcW w:w="1228" w:type="dxa"/>
          </w:tcPr>
          <w:p>
            <w:pPr>
              <w:spacing w:line="300" w:lineRule="auto"/>
              <w:rPr>
                <w:rFonts w:ascii="宋体" w:hAnsi="宋体" w:cs="宋体"/>
                <w:szCs w:val="21"/>
              </w:rPr>
            </w:pPr>
          </w:p>
        </w:tc>
        <w:tc>
          <w:tcPr>
            <w:tcW w:w="1228" w:type="dxa"/>
          </w:tcPr>
          <w:p>
            <w:pPr>
              <w:spacing w:line="30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2" w:hRule="atLeast"/>
        </w:trPr>
        <w:tc>
          <w:tcPr>
            <w:tcW w:w="1941" w:type="dxa"/>
            <w:vAlign w:val="center"/>
          </w:tcPr>
          <w:p>
            <w:pPr>
              <w:spacing w:line="300" w:lineRule="auto"/>
              <w:rPr>
                <w:rFonts w:ascii="宋体" w:hAnsi="宋体" w:cs="宋体"/>
                <w:szCs w:val="21"/>
              </w:rPr>
            </w:pPr>
            <w:r>
              <w:rPr>
                <w:rFonts w:hint="eastAsia" w:ascii="宋体" w:hAnsi="宋体" w:cs="宋体"/>
                <w:szCs w:val="21"/>
              </w:rPr>
              <w:t>磋商总报价</w:t>
            </w:r>
          </w:p>
        </w:tc>
        <w:tc>
          <w:tcPr>
            <w:tcW w:w="7364" w:type="dxa"/>
            <w:gridSpan w:val="6"/>
          </w:tcPr>
          <w:p>
            <w:pPr>
              <w:spacing w:line="300" w:lineRule="auto"/>
              <w:rPr>
                <w:rFonts w:ascii="宋体" w:hAnsi="宋体" w:cs="宋体"/>
                <w:szCs w:val="21"/>
              </w:rPr>
            </w:pPr>
            <w:r>
              <w:rPr>
                <w:rFonts w:hint="eastAsia" w:ascii="宋体" w:hAnsi="宋体" w:cs="宋体"/>
                <w:szCs w:val="21"/>
              </w:rPr>
              <w:t>人民币（大写）                          （¥：             ）</w:t>
            </w:r>
          </w:p>
        </w:tc>
      </w:tr>
    </w:tbl>
    <w:p>
      <w:pPr>
        <w:spacing w:line="300" w:lineRule="auto"/>
        <w:rPr>
          <w:rFonts w:ascii="宋体" w:hAnsi="宋体" w:cs="宋体"/>
          <w:szCs w:val="21"/>
        </w:rPr>
      </w:pPr>
      <w:r>
        <w:rPr>
          <w:rFonts w:hint="eastAsia" w:ascii="宋体" w:hAnsi="宋体" w:cs="宋体"/>
          <w:szCs w:val="21"/>
        </w:rPr>
        <w:t>供应商：（单位盖章）</w:t>
      </w:r>
    </w:p>
    <w:p>
      <w:pPr>
        <w:spacing w:line="300" w:lineRule="auto"/>
        <w:rPr>
          <w:rFonts w:ascii="宋体" w:hAnsi="宋体" w:cs="宋体"/>
          <w:szCs w:val="21"/>
        </w:rPr>
      </w:pPr>
      <w:r>
        <w:rPr>
          <w:rFonts w:hint="eastAsia" w:ascii="宋体" w:hAnsi="宋体" w:cs="宋体"/>
          <w:szCs w:val="21"/>
        </w:rPr>
        <w:t>法定代表人或其授权委托人：（签字或盖章）              日期：   年   月  日</w:t>
      </w:r>
    </w:p>
    <w:p>
      <w:pPr>
        <w:spacing w:line="300" w:lineRule="auto"/>
        <w:rPr>
          <w:rFonts w:ascii="宋体" w:hAnsi="宋体"/>
          <w:b/>
          <w:spacing w:val="20"/>
          <w:position w:val="2"/>
          <w:szCs w:val="21"/>
        </w:rPr>
      </w:pPr>
      <w:r>
        <w:rPr>
          <w:rFonts w:hint="eastAsia" w:ascii="宋体" w:hAnsi="宋体" w:cs="宋体"/>
          <w:szCs w:val="21"/>
        </w:rPr>
        <w:t>各供应商可按此格式自制表格填写，每种规格型号的设备均须单独填写。</w:t>
      </w:r>
    </w:p>
    <w:p>
      <w:pPr>
        <w:spacing w:line="300" w:lineRule="auto"/>
        <w:ind w:firstLine="3652" w:firstLineChars="1300"/>
        <w:rPr>
          <w:rFonts w:ascii="宋体" w:hAnsi="宋体"/>
          <w:b/>
          <w:spacing w:val="20"/>
          <w:position w:val="2"/>
          <w:sz w:val="24"/>
        </w:rPr>
      </w:pPr>
    </w:p>
    <w:p>
      <w:pPr>
        <w:spacing w:line="300" w:lineRule="auto"/>
        <w:ind w:firstLine="3652" w:firstLineChars="1300"/>
        <w:rPr>
          <w:rFonts w:ascii="宋体" w:hAnsi="宋体"/>
          <w:b/>
          <w:spacing w:val="20"/>
          <w:position w:val="2"/>
          <w:sz w:val="24"/>
        </w:rPr>
      </w:pPr>
    </w:p>
    <w:p>
      <w:pPr>
        <w:spacing w:line="300" w:lineRule="auto"/>
        <w:ind w:firstLine="3652" w:firstLineChars="1300"/>
        <w:rPr>
          <w:rFonts w:ascii="宋体" w:hAnsi="宋体"/>
          <w:b/>
          <w:spacing w:val="20"/>
          <w:position w:val="2"/>
          <w:sz w:val="24"/>
        </w:rPr>
      </w:pPr>
    </w:p>
    <w:p>
      <w:pPr>
        <w:spacing w:line="300" w:lineRule="auto"/>
        <w:ind w:firstLine="3652" w:firstLineChars="1300"/>
        <w:rPr>
          <w:rFonts w:ascii="宋体" w:hAnsi="宋体"/>
          <w:b/>
          <w:spacing w:val="20"/>
          <w:position w:val="2"/>
          <w:sz w:val="24"/>
        </w:rPr>
      </w:pPr>
    </w:p>
    <w:p>
      <w:pPr>
        <w:spacing w:line="300" w:lineRule="auto"/>
        <w:ind w:firstLine="3652" w:firstLineChars="1300"/>
        <w:rPr>
          <w:rFonts w:ascii="宋体" w:hAnsi="宋体"/>
          <w:b/>
          <w:spacing w:val="20"/>
          <w:position w:val="2"/>
          <w:sz w:val="24"/>
        </w:rPr>
      </w:pPr>
    </w:p>
    <w:p>
      <w:pPr>
        <w:spacing w:line="300" w:lineRule="auto"/>
        <w:ind w:firstLine="3652" w:firstLineChars="1300"/>
        <w:rPr>
          <w:rFonts w:ascii="宋体" w:hAnsi="宋体"/>
          <w:b/>
          <w:spacing w:val="20"/>
          <w:position w:val="2"/>
          <w:sz w:val="24"/>
        </w:rPr>
      </w:pPr>
    </w:p>
    <w:p>
      <w:pPr>
        <w:spacing w:line="300" w:lineRule="auto"/>
        <w:ind w:firstLine="3652" w:firstLineChars="1300"/>
        <w:rPr>
          <w:rFonts w:ascii="宋体" w:hAnsi="宋体"/>
          <w:b/>
          <w:spacing w:val="20"/>
          <w:position w:val="2"/>
          <w:sz w:val="24"/>
        </w:rPr>
      </w:pPr>
    </w:p>
    <w:p>
      <w:pPr>
        <w:spacing w:line="300" w:lineRule="auto"/>
        <w:ind w:firstLine="3652" w:firstLineChars="1300"/>
        <w:rPr>
          <w:rFonts w:ascii="宋体" w:hAnsi="宋体"/>
          <w:b/>
          <w:spacing w:val="20"/>
          <w:position w:val="2"/>
          <w:sz w:val="24"/>
        </w:rPr>
      </w:pPr>
    </w:p>
    <w:p>
      <w:pPr>
        <w:spacing w:line="300" w:lineRule="auto"/>
        <w:ind w:firstLine="3652" w:firstLineChars="1300"/>
        <w:rPr>
          <w:rFonts w:ascii="宋体" w:hAnsi="宋体"/>
          <w:b/>
          <w:spacing w:val="20"/>
          <w:position w:val="2"/>
          <w:sz w:val="24"/>
        </w:rPr>
      </w:pPr>
    </w:p>
    <w:p>
      <w:pPr>
        <w:spacing w:line="300" w:lineRule="auto"/>
        <w:ind w:firstLine="3652" w:firstLineChars="1300"/>
        <w:rPr>
          <w:rFonts w:ascii="宋体" w:hAnsi="宋体"/>
          <w:b/>
          <w:spacing w:val="20"/>
          <w:position w:val="2"/>
          <w:sz w:val="24"/>
        </w:rPr>
      </w:pPr>
    </w:p>
    <w:p>
      <w:pPr>
        <w:spacing w:line="300" w:lineRule="auto"/>
        <w:ind w:firstLine="3652" w:firstLineChars="1300"/>
        <w:rPr>
          <w:rFonts w:ascii="宋体" w:hAnsi="宋体"/>
          <w:b/>
          <w:spacing w:val="20"/>
          <w:position w:val="2"/>
          <w:sz w:val="24"/>
        </w:rPr>
      </w:pPr>
    </w:p>
    <w:p>
      <w:pPr>
        <w:spacing w:line="300" w:lineRule="auto"/>
        <w:ind w:firstLine="3652" w:firstLineChars="1300"/>
        <w:rPr>
          <w:rFonts w:ascii="宋体" w:hAnsi="宋体"/>
          <w:b/>
          <w:spacing w:val="20"/>
          <w:position w:val="2"/>
          <w:sz w:val="24"/>
        </w:rPr>
      </w:pPr>
    </w:p>
    <w:p>
      <w:pPr>
        <w:spacing w:line="300" w:lineRule="auto"/>
        <w:ind w:firstLine="3652" w:firstLineChars="1300"/>
        <w:rPr>
          <w:rFonts w:ascii="宋体" w:hAnsi="宋体"/>
          <w:b/>
          <w:spacing w:val="20"/>
          <w:position w:val="2"/>
          <w:sz w:val="24"/>
        </w:rPr>
      </w:pPr>
    </w:p>
    <w:p>
      <w:pPr>
        <w:spacing w:line="300" w:lineRule="auto"/>
        <w:ind w:firstLine="3652" w:firstLineChars="1300"/>
        <w:rPr>
          <w:rFonts w:ascii="宋体" w:hAnsi="宋体"/>
          <w:b/>
          <w:spacing w:val="20"/>
          <w:position w:val="2"/>
          <w:sz w:val="24"/>
        </w:rPr>
      </w:pPr>
    </w:p>
    <w:p>
      <w:pPr>
        <w:spacing w:line="300" w:lineRule="auto"/>
        <w:ind w:firstLine="3652" w:firstLineChars="1300"/>
        <w:rPr>
          <w:rFonts w:ascii="宋体" w:hAnsi="宋体"/>
          <w:b/>
          <w:spacing w:val="20"/>
          <w:position w:val="2"/>
          <w:sz w:val="24"/>
        </w:rPr>
      </w:pPr>
    </w:p>
    <w:p>
      <w:pPr>
        <w:pStyle w:val="2"/>
      </w:pPr>
    </w:p>
    <w:p>
      <w:pPr>
        <w:pStyle w:val="2"/>
        <w:spacing w:line="360" w:lineRule="exact"/>
        <w:outlineLvl w:val="1"/>
        <w:rPr>
          <w:rFonts w:hAnsi="宋体"/>
          <w:bCs/>
          <w:sz w:val="24"/>
          <w:szCs w:val="24"/>
        </w:rPr>
      </w:pPr>
    </w:p>
    <w:p>
      <w:pPr>
        <w:pStyle w:val="2"/>
        <w:spacing w:line="360" w:lineRule="exact"/>
        <w:outlineLvl w:val="1"/>
        <w:rPr>
          <w:rFonts w:hAnsi="宋体"/>
          <w:b/>
          <w:bCs/>
          <w:sz w:val="24"/>
          <w:szCs w:val="24"/>
        </w:rPr>
      </w:pPr>
      <w:r>
        <w:rPr>
          <w:rFonts w:hint="eastAsia" w:hAnsi="宋体"/>
          <w:bCs/>
          <w:sz w:val="24"/>
          <w:szCs w:val="24"/>
        </w:rPr>
        <w:t>附件6</w:t>
      </w:r>
      <w:r>
        <w:rPr>
          <w:rFonts w:hint="eastAsia" w:hAnsi="宋体"/>
          <w:b/>
          <w:bCs/>
          <w:sz w:val="24"/>
          <w:szCs w:val="24"/>
        </w:rPr>
        <w:t>　</w:t>
      </w:r>
    </w:p>
    <w:p>
      <w:pPr>
        <w:pStyle w:val="2"/>
        <w:spacing w:line="360" w:lineRule="exact"/>
        <w:jc w:val="center"/>
        <w:outlineLvl w:val="1"/>
        <w:rPr>
          <w:rFonts w:hAnsi="宋体"/>
          <w:b/>
          <w:bCs/>
          <w:sz w:val="24"/>
          <w:szCs w:val="24"/>
        </w:rPr>
      </w:pPr>
      <w:r>
        <w:rPr>
          <w:rFonts w:hint="eastAsia" w:hAnsi="宋体"/>
          <w:b/>
          <w:bCs/>
          <w:sz w:val="24"/>
          <w:szCs w:val="24"/>
        </w:rPr>
        <w:t>技术规格偏离表</w:t>
      </w:r>
    </w:p>
    <w:p>
      <w:pPr>
        <w:pStyle w:val="2"/>
        <w:spacing w:line="360" w:lineRule="exact"/>
        <w:ind w:left="-85" w:firstLine="210" w:firstLineChars="100"/>
        <w:rPr>
          <w:rFonts w:hAnsi="宋体"/>
          <w:szCs w:val="21"/>
        </w:rPr>
      </w:pPr>
    </w:p>
    <w:p>
      <w:pPr>
        <w:pStyle w:val="2"/>
        <w:spacing w:line="360" w:lineRule="exact"/>
        <w:rPr>
          <w:rFonts w:hAnsi="宋体"/>
          <w:szCs w:val="21"/>
        </w:rPr>
      </w:pPr>
      <w:r>
        <w:rPr>
          <w:rFonts w:hint="eastAsia" w:hAnsi="宋体"/>
          <w:szCs w:val="21"/>
        </w:rPr>
        <w:t>供应商对采购项目技术要求如有偏差，应按下列表格列出。</w:t>
      </w:r>
    </w:p>
    <w:p>
      <w:pPr>
        <w:pStyle w:val="2"/>
        <w:spacing w:line="360" w:lineRule="exact"/>
        <w:ind w:left="-85" w:firstLine="210" w:firstLineChars="100"/>
        <w:rPr>
          <w:rFonts w:hAnsi="宋体"/>
          <w:szCs w:val="21"/>
        </w:rPr>
      </w:pPr>
    </w:p>
    <w:tbl>
      <w:tblPr>
        <w:tblStyle w:val="28"/>
        <w:tblW w:w="86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2"/>
        <w:gridCol w:w="1593"/>
        <w:gridCol w:w="1800"/>
        <w:gridCol w:w="1885"/>
        <w:gridCol w:w="1035"/>
        <w:gridCol w:w="9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1392" w:type="dxa"/>
            <w:tcBorders>
              <w:top w:val="single" w:color="auto" w:sz="4" w:space="0"/>
              <w:left w:val="single" w:color="auto" w:sz="4" w:space="0"/>
              <w:bottom w:val="single" w:color="auto" w:sz="4" w:space="0"/>
              <w:right w:val="single" w:color="auto" w:sz="4" w:space="0"/>
            </w:tcBorders>
            <w:vAlign w:val="center"/>
          </w:tcPr>
          <w:p>
            <w:pPr>
              <w:pStyle w:val="2"/>
              <w:spacing w:line="360" w:lineRule="exact"/>
              <w:ind w:left="-85"/>
              <w:jc w:val="center"/>
              <w:rPr>
                <w:rFonts w:hAnsi="宋体"/>
                <w:szCs w:val="21"/>
              </w:rPr>
            </w:pPr>
            <w:r>
              <w:rPr>
                <w:rFonts w:hint="eastAsia" w:hAnsi="宋体"/>
                <w:szCs w:val="21"/>
              </w:rPr>
              <w:t>序号</w:t>
            </w:r>
          </w:p>
        </w:tc>
        <w:tc>
          <w:tcPr>
            <w:tcW w:w="1593" w:type="dxa"/>
            <w:tcBorders>
              <w:top w:val="single" w:color="auto" w:sz="4" w:space="0"/>
              <w:left w:val="single" w:color="auto" w:sz="4" w:space="0"/>
              <w:bottom w:val="single" w:color="auto" w:sz="4" w:space="0"/>
              <w:right w:val="single" w:color="auto" w:sz="4" w:space="0"/>
            </w:tcBorders>
            <w:vAlign w:val="center"/>
          </w:tcPr>
          <w:p>
            <w:pPr>
              <w:pStyle w:val="2"/>
              <w:spacing w:line="360" w:lineRule="exact"/>
              <w:ind w:left="-85"/>
              <w:jc w:val="center"/>
              <w:rPr>
                <w:rFonts w:hAnsi="宋体"/>
                <w:szCs w:val="21"/>
              </w:rPr>
            </w:pPr>
            <w:r>
              <w:rPr>
                <w:rFonts w:hint="eastAsia" w:hAnsi="宋体"/>
                <w:szCs w:val="21"/>
              </w:rPr>
              <w:t>货物名称</w:t>
            </w:r>
          </w:p>
        </w:tc>
        <w:tc>
          <w:tcPr>
            <w:tcW w:w="1800" w:type="dxa"/>
            <w:tcBorders>
              <w:top w:val="single" w:color="auto" w:sz="4" w:space="0"/>
              <w:left w:val="single" w:color="auto" w:sz="4" w:space="0"/>
              <w:bottom w:val="single" w:color="auto" w:sz="4" w:space="0"/>
              <w:right w:val="single" w:color="auto" w:sz="4" w:space="0"/>
            </w:tcBorders>
            <w:vAlign w:val="center"/>
          </w:tcPr>
          <w:p>
            <w:pPr>
              <w:pStyle w:val="2"/>
              <w:spacing w:line="360" w:lineRule="exact"/>
              <w:ind w:left="-85"/>
              <w:jc w:val="center"/>
              <w:rPr>
                <w:rFonts w:hAnsi="宋体"/>
                <w:szCs w:val="21"/>
              </w:rPr>
            </w:pPr>
            <w:r>
              <w:rPr>
                <w:rFonts w:hint="eastAsia" w:hAnsi="宋体"/>
                <w:szCs w:val="21"/>
              </w:rPr>
              <w:t>磋商规格</w:t>
            </w:r>
          </w:p>
        </w:tc>
        <w:tc>
          <w:tcPr>
            <w:tcW w:w="1885" w:type="dxa"/>
            <w:tcBorders>
              <w:top w:val="single" w:color="auto" w:sz="4" w:space="0"/>
              <w:left w:val="single" w:color="auto" w:sz="4" w:space="0"/>
              <w:bottom w:val="single" w:color="auto" w:sz="4" w:space="0"/>
              <w:right w:val="single" w:color="auto" w:sz="4" w:space="0"/>
            </w:tcBorders>
            <w:vAlign w:val="center"/>
          </w:tcPr>
          <w:p>
            <w:pPr>
              <w:pStyle w:val="2"/>
              <w:spacing w:line="360" w:lineRule="exact"/>
              <w:ind w:left="-85"/>
              <w:jc w:val="center"/>
              <w:rPr>
                <w:rFonts w:hAnsi="宋体"/>
                <w:szCs w:val="21"/>
              </w:rPr>
            </w:pPr>
            <w:r>
              <w:rPr>
                <w:rFonts w:hint="eastAsia" w:hAnsi="宋体"/>
                <w:szCs w:val="21"/>
              </w:rPr>
              <w:t>响应规格</w:t>
            </w:r>
          </w:p>
        </w:tc>
        <w:tc>
          <w:tcPr>
            <w:tcW w:w="1035" w:type="dxa"/>
            <w:tcBorders>
              <w:top w:val="single" w:color="auto" w:sz="4" w:space="0"/>
              <w:left w:val="single" w:color="auto" w:sz="4" w:space="0"/>
              <w:bottom w:val="single" w:color="auto" w:sz="4" w:space="0"/>
              <w:right w:val="single" w:color="auto" w:sz="4" w:space="0"/>
            </w:tcBorders>
            <w:vAlign w:val="center"/>
          </w:tcPr>
          <w:p>
            <w:pPr>
              <w:pStyle w:val="2"/>
              <w:spacing w:line="360" w:lineRule="exact"/>
              <w:ind w:left="-85"/>
              <w:jc w:val="center"/>
              <w:rPr>
                <w:rFonts w:hAnsi="宋体"/>
                <w:szCs w:val="21"/>
              </w:rPr>
            </w:pPr>
            <w:r>
              <w:rPr>
                <w:rFonts w:hint="eastAsia" w:hAnsi="宋体"/>
                <w:szCs w:val="21"/>
              </w:rPr>
              <w:t>偏离</w:t>
            </w:r>
          </w:p>
        </w:tc>
        <w:tc>
          <w:tcPr>
            <w:tcW w:w="959" w:type="dxa"/>
            <w:tcBorders>
              <w:top w:val="single" w:color="auto" w:sz="4" w:space="0"/>
              <w:left w:val="single" w:color="auto" w:sz="4" w:space="0"/>
              <w:bottom w:val="single" w:color="auto" w:sz="4" w:space="0"/>
              <w:right w:val="single" w:color="auto" w:sz="4" w:space="0"/>
            </w:tcBorders>
            <w:vAlign w:val="center"/>
          </w:tcPr>
          <w:p>
            <w:pPr>
              <w:pStyle w:val="2"/>
              <w:spacing w:line="360" w:lineRule="exact"/>
              <w:ind w:left="-85"/>
              <w:jc w:val="center"/>
              <w:rPr>
                <w:rFonts w:hAnsi="宋体"/>
                <w:szCs w:val="21"/>
              </w:rPr>
            </w:pPr>
            <w:r>
              <w:rPr>
                <w:rFonts w:hint="eastAsia" w:hAnsi="宋体"/>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2" w:type="dxa"/>
            <w:tcBorders>
              <w:top w:val="single" w:color="auto" w:sz="4" w:space="0"/>
              <w:left w:val="single" w:color="auto" w:sz="4" w:space="0"/>
              <w:bottom w:val="single" w:color="auto" w:sz="4" w:space="0"/>
              <w:right w:val="single" w:color="auto" w:sz="4" w:space="0"/>
            </w:tcBorders>
          </w:tcPr>
          <w:p>
            <w:pPr>
              <w:pStyle w:val="2"/>
              <w:spacing w:line="360" w:lineRule="exact"/>
              <w:ind w:left="-85"/>
              <w:jc w:val="center"/>
              <w:rPr>
                <w:rFonts w:hAnsi="宋体"/>
                <w:szCs w:val="21"/>
              </w:rPr>
            </w:pPr>
          </w:p>
        </w:tc>
        <w:tc>
          <w:tcPr>
            <w:tcW w:w="1593" w:type="dxa"/>
            <w:tcBorders>
              <w:top w:val="single" w:color="auto" w:sz="4" w:space="0"/>
              <w:left w:val="single" w:color="auto" w:sz="4" w:space="0"/>
              <w:bottom w:val="single" w:color="auto" w:sz="4" w:space="0"/>
              <w:right w:val="single" w:color="auto" w:sz="4" w:space="0"/>
            </w:tcBorders>
            <w:vAlign w:val="center"/>
          </w:tcPr>
          <w:p>
            <w:pPr>
              <w:pStyle w:val="2"/>
              <w:spacing w:line="360" w:lineRule="exact"/>
              <w:ind w:left="-85"/>
              <w:jc w:val="center"/>
              <w:rPr>
                <w:rFonts w:hAnsi="宋体"/>
                <w:szCs w:val="21"/>
              </w:rPr>
            </w:pPr>
          </w:p>
        </w:tc>
        <w:tc>
          <w:tcPr>
            <w:tcW w:w="1800" w:type="dxa"/>
            <w:tcBorders>
              <w:top w:val="single" w:color="auto" w:sz="4" w:space="0"/>
              <w:left w:val="single" w:color="auto" w:sz="4" w:space="0"/>
              <w:bottom w:val="single" w:color="auto" w:sz="4" w:space="0"/>
              <w:right w:val="single" w:color="auto" w:sz="4" w:space="0"/>
            </w:tcBorders>
            <w:vAlign w:val="center"/>
          </w:tcPr>
          <w:p>
            <w:pPr>
              <w:pStyle w:val="2"/>
              <w:spacing w:line="360" w:lineRule="exact"/>
              <w:ind w:left="-85"/>
              <w:jc w:val="center"/>
              <w:rPr>
                <w:rFonts w:hAnsi="宋体"/>
                <w:szCs w:val="21"/>
              </w:rPr>
            </w:pPr>
          </w:p>
        </w:tc>
        <w:tc>
          <w:tcPr>
            <w:tcW w:w="1885" w:type="dxa"/>
            <w:tcBorders>
              <w:top w:val="single" w:color="auto" w:sz="4" w:space="0"/>
              <w:left w:val="single" w:color="auto" w:sz="4" w:space="0"/>
              <w:bottom w:val="single" w:color="auto" w:sz="4" w:space="0"/>
              <w:right w:val="single" w:color="auto" w:sz="4" w:space="0"/>
            </w:tcBorders>
            <w:vAlign w:val="center"/>
          </w:tcPr>
          <w:p>
            <w:pPr>
              <w:pStyle w:val="2"/>
              <w:spacing w:line="360" w:lineRule="exact"/>
              <w:ind w:left="-85"/>
              <w:jc w:val="center"/>
              <w:rPr>
                <w:rFonts w:hAnsi="宋体"/>
                <w:szCs w:val="21"/>
              </w:rPr>
            </w:pPr>
          </w:p>
        </w:tc>
        <w:tc>
          <w:tcPr>
            <w:tcW w:w="1035" w:type="dxa"/>
            <w:tcBorders>
              <w:top w:val="single" w:color="auto" w:sz="4" w:space="0"/>
              <w:left w:val="single" w:color="auto" w:sz="4" w:space="0"/>
              <w:bottom w:val="single" w:color="auto" w:sz="4" w:space="0"/>
              <w:right w:val="single" w:color="auto" w:sz="4" w:space="0"/>
            </w:tcBorders>
            <w:vAlign w:val="center"/>
          </w:tcPr>
          <w:p>
            <w:pPr>
              <w:pStyle w:val="2"/>
              <w:spacing w:line="360" w:lineRule="exact"/>
              <w:ind w:left="-85"/>
              <w:jc w:val="center"/>
              <w:rPr>
                <w:rFonts w:hAnsi="宋体"/>
                <w:szCs w:val="21"/>
              </w:rPr>
            </w:pPr>
          </w:p>
        </w:tc>
        <w:tc>
          <w:tcPr>
            <w:tcW w:w="959" w:type="dxa"/>
            <w:tcBorders>
              <w:top w:val="single" w:color="auto" w:sz="4" w:space="0"/>
              <w:left w:val="single" w:color="auto" w:sz="4" w:space="0"/>
              <w:bottom w:val="single" w:color="auto" w:sz="4" w:space="0"/>
              <w:right w:val="single" w:color="auto" w:sz="4" w:space="0"/>
            </w:tcBorders>
            <w:vAlign w:val="center"/>
          </w:tcPr>
          <w:p>
            <w:pPr>
              <w:pStyle w:val="2"/>
              <w:spacing w:line="360" w:lineRule="exact"/>
              <w:ind w:left="-85"/>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2" w:type="dxa"/>
            <w:tcBorders>
              <w:top w:val="single" w:color="auto" w:sz="4" w:space="0"/>
              <w:left w:val="single" w:color="auto" w:sz="4" w:space="0"/>
              <w:bottom w:val="single" w:color="auto" w:sz="4" w:space="0"/>
              <w:right w:val="single" w:color="auto" w:sz="4" w:space="0"/>
            </w:tcBorders>
          </w:tcPr>
          <w:p>
            <w:pPr>
              <w:pStyle w:val="2"/>
              <w:spacing w:line="360" w:lineRule="exact"/>
              <w:ind w:left="-85"/>
              <w:rPr>
                <w:rFonts w:hAnsi="宋体"/>
                <w:szCs w:val="21"/>
              </w:rPr>
            </w:pPr>
          </w:p>
        </w:tc>
        <w:tc>
          <w:tcPr>
            <w:tcW w:w="1593" w:type="dxa"/>
            <w:tcBorders>
              <w:top w:val="single" w:color="auto" w:sz="4" w:space="0"/>
              <w:left w:val="single" w:color="auto" w:sz="4" w:space="0"/>
              <w:bottom w:val="single" w:color="auto" w:sz="4" w:space="0"/>
              <w:right w:val="single" w:color="auto" w:sz="4" w:space="0"/>
            </w:tcBorders>
          </w:tcPr>
          <w:p>
            <w:pPr>
              <w:pStyle w:val="2"/>
              <w:spacing w:line="360" w:lineRule="exact"/>
              <w:ind w:left="-85"/>
              <w:rPr>
                <w:rFonts w:hAnsi="宋体"/>
                <w:szCs w:val="21"/>
              </w:rPr>
            </w:pPr>
          </w:p>
        </w:tc>
        <w:tc>
          <w:tcPr>
            <w:tcW w:w="1800" w:type="dxa"/>
            <w:tcBorders>
              <w:top w:val="single" w:color="auto" w:sz="4" w:space="0"/>
              <w:left w:val="single" w:color="auto" w:sz="4" w:space="0"/>
              <w:bottom w:val="single" w:color="auto" w:sz="4" w:space="0"/>
              <w:right w:val="single" w:color="auto" w:sz="4" w:space="0"/>
            </w:tcBorders>
          </w:tcPr>
          <w:p>
            <w:pPr>
              <w:pStyle w:val="2"/>
              <w:spacing w:line="360" w:lineRule="exact"/>
              <w:ind w:left="-85"/>
              <w:rPr>
                <w:rFonts w:hAnsi="宋体"/>
                <w:szCs w:val="21"/>
              </w:rPr>
            </w:pPr>
          </w:p>
        </w:tc>
        <w:tc>
          <w:tcPr>
            <w:tcW w:w="1885" w:type="dxa"/>
            <w:tcBorders>
              <w:top w:val="single" w:color="auto" w:sz="4" w:space="0"/>
              <w:left w:val="single" w:color="auto" w:sz="4" w:space="0"/>
              <w:bottom w:val="single" w:color="auto" w:sz="4" w:space="0"/>
              <w:right w:val="single" w:color="auto" w:sz="4" w:space="0"/>
            </w:tcBorders>
          </w:tcPr>
          <w:p>
            <w:pPr>
              <w:pStyle w:val="2"/>
              <w:spacing w:line="360" w:lineRule="exact"/>
              <w:ind w:left="-85"/>
              <w:rPr>
                <w:rFonts w:hAnsi="宋体"/>
                <w:szCs w:val="21"/>
              </w:rPr>
            </w:pPr>
          </w:p>
        </w:tc>
        <w:tc>
          <w:tcPr>
            <w:tcW w:w="1035" w:type="dxa"/>
            <w:tcBorders>
              <w:top w:val="single" w:color="auto" w:sz="4" w:space="0"/>
              <w:left w:val="single" w:color="auto" w:sz="4" w:space="0"/>
              <w:bottom w:val="single" w:color="auto" w:sz="4" w:space="0"/>
              <w:right w:val="single" w:color="auto" w:sz="4" w:space="0"/>
            </w:tcBorders>
          </w:tcPr>
          <w:p>
            <w:pPr>
              <w:pStyle w:val="2"/>
              <w:spacing w:line="360" w:lineRule="exact"/>
              <w:ind w:left="-85"/>
              <w:rPr>
                <w:rFonts w:hAnsi="宋体"/>
                <w:szCs w:val="21"/>
              </w:rPr>
            </w:pPr>
          </w:p>
        </w:tc>
        <w:tc>
          <w:tcPr>
            <w:tcW w:w="959" w:type="dxa"/>
            <w:tcBorders>
              <w:top w:val="single" w:color="auto" w:sz="4" w:space="0"/>
              <w:left w:val="single" w:color="auto" w:sz="4" w:space="0"/>
              <w:bottom w:val="single" w:color="auto" w:sz="4" w:space="0"/>
              <w:right w:val="single" w:color="auto" w:sz="4" w:space="0"/>
            </w:tcBorders>
          </w:tcPr>
          <w:p>
            <w:pPr>
              <w:pStyle w:val="2"/>
              <w:spacing w:line="360" w:lineRule="exact"/>
              <w:ind w:left="-85"/>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2" w:type="dxa"/>
            <w:tcBorders>
              <w:top w:val="single" w:color="auto" w:sz="4" w:space="0"/>
              <w:left w:val="single" w:color="auto" w:sz="4" w:space="0"/>
              <w:bottom w:val="single" w:color="auto" w:sz="4" w:space="0"/>
              <w:right w:val="single" w:color="auto" w:sz="4" w:space="0"/>
            </w:tcBorders>
          </w:tcPr>
          <w:p>
            <w:pPr>
              <w:pStyle w:val="2"/>
              <w:spacing w:line="360" w:lineRule="exact"/>
              <w:ind w:left="-85"/>
              <w:rPr>
                <w:rFonts w:hAnsi="宋体"/>
                <w:szCs w:val="21"/>
              </w:rPr>
            </w:pPr>
          </w:p>
        </w:tc>
        <w:tc>
          <w:tcPr>
            <w:tcW w:w="1593" w:type="dxa"/>
            <w:tcBorders>
              <w:top w:val="single" w:color="auto" w:sz="4" w:space="0"/>
              <w:left w:val="single" w:color="auto" w:sz="4" w:space="0"/>
              <w:bottom w:val="single" w:color="auto" w:sz="4" w:space="0"/>
              <w:right w:val="single" w:color="auto" w:sz="4" w:space="0"/>
            </w:tcBorders>
          </w:tcPr>
          <w:p>
            <w:pPr>
              <w:pStyle w:val="2"/>
              <w:spacing w:line="360" w:lineRule="exact"/>
              <w:ind w:left="-85"/>
              <w:rPr>
                <w:rFonts w:hAnsi="宋体"/>
                <w:szCs w:val="21"/>
              </w:rPr>
            </w:pPr>
          </w:p>
        </w:tc>
        <w:tc>
          <w:tcPr>
            <w:tcW w:w="1800" w:type="dxa"/>
            <w:tcBorders>
              <w:top w:val="single" w:color="auto" w:sz="4" w:space="0"/>
              <w:left w:val="single" w:color="auto" w:sz="4" w:space="0"/>
              <w:bottom w:val="single" w:color="auto" w:sz="4" w:space="0"/>
              <w:right w:val="single" w:color="auto" w:sz="4" w:space="0"/>
            </w:tcBorders>
          </w:tcPr>
          <w:p>
            <w:pPr>
              <w:pStyle w:val="2"/>
              <w:spacing w:line="360" w:lineRule="exact"/>
              <w:ind w:left="-85"/>
              <w:rPr>
                <w:rFonts w:hAnsi="宋体"/>
                <w:szCs w:val="21"/>
              </w:rPr>
            </w:pPr>
          </w:p>
        </w:tc>
        <w:tc>
          <w:tcPr>
            <w:tcW w:w="1885" w:type="dxa"/>
            <w:tcBorders>
              <w:top w:val="single" w:color="auto" w:sz="4" w:space="0"/>
              <w:left w:val="single" w:color="auto" w:sz="4" w:space="0"/>
              <w:bottom w:val="single" w:color="auto" w:sz="4" w:space="0"/>
              <w:right w:val="single" w:color="auto" w:sz="4" w:space="0"/>
            </w:tcBorders>
          </w:tcPr>
          <w:p>
            <w:pPr>
              <w:pStyle w:val="2"/>
              <w:spacing w:line="360" w:lineRule="exact"/>
              <w:ind w:left="-85"/>
              <w:rPr>
                <w:rFonts w:hAnsi="宋体"/>
                <w:szCs w:val="21"/>
              </w:rPr>
            </w:pPr>
          </w:p>
        </w:tc>
        <w:tc>
          <w:tcPr>
            <w:tcW w:w="1035" w:type="dxa"/>
            <w:tcBorders>
              <w:top w:val="single" w:color="auto" w:sz="4" w:space="0"/>
              <w:left w:val="single" w:color="auto" w:sz="4" w:space="0"/>
              <w:bottom w:val="single" w:color="auto" w:sz="4" w:space="0"/>
              <w:right w:val="single" w:color="auto" w:sz="4" w:space="0"/>
            </w:tcBorders>
          </w:tcPr>
          <w:p>
            <w:pPr>
              <w:pStyle w:val="2"/>
              <w:spacing w:line="360" w:lineRule="exact"/>
              <w:ind w:left="-85"/>
              <w:rPr>
                <w:rFonts w:hAnsi="宋体"/>
                <w:szCs w:val="21"/>
              </w:rPr>
            </w:pPr>
          </w:p>
        </w:tc>
        <w:tc>
          <w:tcPr>
            <w:tcW w:w="959" w:type="dxa"/>
            <w:tcBorders>
              <w:top w:val="single" w:color="auto" w:sz="4" w:space="0"/>
              <w:left w:val="single" w:color="auto" w:sz="4" w:space="0"/>
              <w:bottom w:val="single" w:color="auto" w:sz="4" w:space="0"/>
              <w:right w:val="single" w:color="auto" w:sz="4" w:space="0"/>
            </w:tcBorders>
          </w:tcPr>
          <w:p>
            <w:pPr>
              <w:pStyle w:val="2"/>
              <w:spacing w:line="360" w:lineRule="exact"/>
              <w:ind w:left="-85"/>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2" w:type="dxa"/>
            <w:tcBorders>
              <w:top w:val="single" w:color="auto" w:sz="4" w:space="0"/>
              <w:left w:val="single" w:color="auto" w:sz="4" w:space="0"/>
              <w:bottom w:val="single" w:color="auto" w:sz="4" w:space="0"/>
              <w:right w:val="single" w:color="auto" w:sz="4" w:space="0"/>
            </w:tcBorders>
          </w:tcPr>
          <w:p>
            <w:pPr>
              <w:pStyle w:val="2"/>
              <w:spacing w:line="360" w:lineRule="exact"/>
              <w:ind w:left="-85"/>
              <w:rPr>
                <w:rFonts w:hAnsi="宋体"/>
                <w:szCs w:val="21"/>
              </w:rPr>
            </w:pPr>
          </w:p>
        </w:tc>
        <w:tc>
          <w:tcPr>
            <w:tcW w:w="1593" w:type="dxa"/>
            <w:tcBorders>
              <w:top w:val="single" w:color="auto" w:sz="4" w:space="0"/>
              <w:left w:val="single" w:color="auto" w:sz="4" w:space="0"/>
              <w:bottom w:val="single" w:color="auto" w:sz="4" w:space="0"/>
              <w:right w:val="single" w:color="auto" w:sz="4" w:space="0"/>
            </w:tcBorders>
          </w:tcPr>
          <w:p>
            <w:pPr>
              <w:pStyle w:val="2"/>
              <w:spacing w:line="360" w:lineRule="exact"/>
              <w:ind w:left="-85"/>
              <w:rPr>
                <w:rFonts w:hAnsi="宋体"/>
                <w:szCs w:val="21"/>
              </w:rPr>
            </w:pPr>
          </w:p>
        </w:tc>
        <w:tc>
          <w:tcPr>
            <w:tcW w:w="1800" w:type="dxa"/>
            <w:tcBorders>
              <w:top w:val="single" w:color="auto" w:sz="4" w:space="0"/>
              <w:left w:val="single" w:color="auto" w:sz="4" w:space="0"/>
              <w:bottom w:val="single" w:color="auto" w:sz="4" w:space="0"/>
              <w:right w:val="single" w:color="auto" w:sz="4" w:space="0"/>
            </w:tcBorders>
          </w:tcPr>
          <w:p>
            <w:pPr>
              <w:pStyle w:val="2"/>
              <w:spacing w:line="360" w:lineRule="exact"/>
              <w:ind w:left="-85"/>
              <w:rPr>
                <w:rFonts w:hAnsi="宋体"/>
                <w:szCs w:val="21"/>
              </w:rPr>
            </w:pPr>
          </w:p>
        </w:tc>
        <w:tc>
          <w:tcPr>
            <w:tcW w:w="1885" w:type="dxa"/>
            <w:tcBorders>
              <w:top w:val="single" w:color="auto" w:sz="4" w:space="0"/>
              <w:left w:val="single" w:color="auto" w:sz="4" w:space="0"/>
              <w:bottom w:val="single" w:color="auto" w:sz="4" w:space="0"/>
              <w:right w:val="single" w:color="auto" w:sz="4" w:space="0"/>
            </w:tcBorders>
          </w:tcPr>
          <w:p>
            <w:pPr>
              <w:pStyle w:val="2"/>
              <w:spacing w:line="360" w:lineRule="exact"/>
              <w:ind w:left="-85"/>
              <w:rPr>
                <w:rFonts w:hAnsi="宋体"/>
                <w:szCs w:val="21"/>
              </w:rPr>
            </w:pPr>
          </w:p>
        </w:tc>
        <w:tc>
          <w:tcPr>
            <w:tcW w:w="1035" w:type="dxa"/>
            <w:tcBorders>
              <w:top w:val="single" w:color="auto" w:sz="4" w:space="0"/>
              <w:left w:val="single" w:color="auto" w:sz="4" w:space="0"/>
              <w:bottom w:val="single" w:color="auto" w:sz="4" w:space="0"/>
              <w:right w:val="single" w:color="auto" w:sz="4" w:space="0"/>
            </w:tcBorders>
          </w:tcPr>
          <w:p>
            <w:pPr>
              <w:pStyle w:val="2"/>
              <w:spacing w:line="360" w:lineRule="exact"/>
              <w:ind w:left="-85"/>
              <w:rPr>
                <w:rFonts w:hAnsi="宋体"/>
                <w:szCs w:val="21"/>
              </w:rPr>
            </w:pPr>
          </w:p>
        </w:tc>
        <w:tc>
          <w:tcPr>
            <w:tcW w:w="959" w:type="dxa"/>
            <w:tcBorders>
              <w:top w:val="single" w:color="auto" w:sz="4" w:space="0"/>
              <w:left w:val="single" w:color="auto" w:sz="4" w:space="0"/>
              <w:bottom w:val="single" w:color="auto" w:sz="4" w:space="0"/>
              <w:right w:val="single" w:color="auto" w:sz="4" w:space="0"/>
            </w:tcBorders>
          </w:tcPr>
          <w:p>
            <w:pPr>
              <w:pStyle w:val="2"/>
              <w:spacing w:line="360" w:lineRule="exact"/>
              <w:ind w:left="-85"/>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2" w:type="dxa"/>
            <w:tcBorders>
              <w:top w:val="single" w:color="auto" w:sz="4" w:space="0"/>
              <w:left w:val="single" w:color="auto" w:sz="4" w:space="0"/>
              <w:bottom w:val="single" w:color="auto" w:sz="4" w:space="0"/>
              <w:right w:val="single" w:color="auto" w:sz="4" w:space="0"/>
            </w:tcBorders>
          </w:tcPr>
          <w:p>
            <w:pPr>
              <w:pStyle w:val="2"/>
              <w:spacing w:line="360" w:lineRule="exact"/>
              <w:ind w:left="-85"/>
              <w:rPr>
                <w:rFonts w:hAnsi="宋体"/>
                <w:szCs w:val="21"/>
              </w:rPr>
            </w:pPr>
          </w:p>
        </w:tc>
        <w:tc>
          <w:tcPr>
            <w:tcW w:w="1593" w:type="dxa"/>
            <w:tcBorders>
              <w:top w:val="single" w:color="auto" w:sz="4" w:space="0"/>
              <w:left w:val="single" w:color="auto" w:sz="4" w:space="0"/>
              <w:bottom w:val="single" w:color="auto" w:sz="4" w:space="0"/>
              <w:right w:val="single" w:color="auto" w:sz="4" w:space="0"/>
            </w:tcBorders>
          </w:tcPr>
          <w:p>
            <w:pPr>
              <w:pStyle w:val="2"/>
              <w:spacing w:line="360" w:lineRule="exact"/>
              <w:ind w:left="-85"/>
              <w:rPr>
                <w:rFonts w:hAnsi="宋体"/>
                <w:szCs w:val="21"/>
              </w:rPr>
            </w:pPr>
          </w:p>
        </w:tc>
        <w:tc>
          <w:tcPr>
            <w:tcW w:w="1800" w:type="dxa"/>
            <w:tcBorders>
              <w:top w:val="single" w:color="auto" w:sz="4" w:space="0"/>
              <w:left w:val="single" w:color="auto" w:sz="4" w:space="0"/>
              <w:bottom w:val="single" w:color="auto" w:sz="4" w:space="0"/>
              <w:right w:val="single" w:color="auto" w:sz="4" w:space="0"/>
            </w:tcBorders>
          </w:tcPr>
          <w:p>
            <w:pPr>
              <w:pStyle w:val="2"/>
              <w:spacing w:line="360" w:lineRule="exact"/>
              <w:ind w:left="-85"/>
              <w:rPr>
                <w:rFonts w:hAnsi="宋体"/>
                <w:szCs w:val="21"/>
              </w:rPr>
            </w:pPr>
          </w:p>
        </w:tc>
        <w:tc>
          <w:tcPr>
            <w:tcW w:w="1885" w:type="dxa"/>
            <w:tcBorders>
              <w:top w:val="single" w:color="auto" w:sz="4" w:space="0"/>
              <w:left w:val="single" w:color="auto" w:sz="4" w:space="0"/>
              <w:bottom w:val="single" w:color="auto" w:sz="4" w:space="0"/>
              <w:right w:val="single" w:color="auto" w:sz="4" w:space="0"/>
            </w:tcBorders>
          </w:tcPr>
          <w:p>
            <w:pPr>
              <w:pStyle w:val="2"/>
              <w:spacing w:line="360" w:lineRule="exact"/>
              <w:ind w:left="-85"/>
              <w:rPr>
                <w:rFonts w:hAnsi="宋体"/>
                <w:szCs w:val="21"/>
              </w:rPr>
            </w:pPr>
          </w:p>
        </w:tc>
        <w:tc>
          <w:tcPr>
            <w:tcW w:w="1035" w:type="dxa"/>
            <w:tcBorders>
              <w:top w:val="single" w:color="auto" w:sz="4" w:space="0"/>
              <w:left w:val="single" w:color="auto" w:sz="4" w:space="0"/>
              <w:bottom w:val="single" w:color="auto" w:sz="4" w:space="0"/>
              <w:right w:val="single" w:color="auto" w:sz="4" w:space="0"/>
            </w:tcBorders>
          </w:tcPr>
          <w:p>
            <w:pPr>
              <w:pStyle w:val="2"/>
              <w:spacing w:line="360" w:lineRule="exact"/>
              <w:ind w:left="-85"/>
              <w:rPr>
                <w:rFonts w:hAnsi="宋体"/>
                <w:szCs w:val="21"/>
              </w:rPr>
            </w:pPr>
          </w:p>
        </w:tc>
        <w:tc>
          <w:tcPr>
            <w:tcW w:w="959" w:type="dxa"/>
            <w:tcBorders>
              <w:top w:val="single" w:color="auto" w:sz="4" w:space="0"/>
              <w:left w:val="single" w:color="auto" w:sz="4" w:space="0"/>
              <w:bottom w:val="single" w:color="auto" w:sz="4" w:space="0"/>
              <w:right w:val="single" w:color="auto" w:sz="4" w:space="0"/>
            </w:tcBorders>
          </w:tcPr>
          <w:p>
            <w:pPr>
              <w:pStyle w:val="2"/>
              <w:spacing w:line="360" w:lineRule="exact"/>
              <w:ind w:left="-85"/>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2" w:type="dxa"/>
            <w:tcBorders>
              <w:top w:val="single" w:color="auto" w:sz="4" w:space="0"/>
              <w:left w:val="single" w:color="auto" w:sz="4" w:space="0"/>
              <w:bottom w:val="single" w:color="auto" w:sz="4" w:space="0"/>
              <w:right w:val="single" w:color="auto" w:sz="4" w:space="0"/>
            </w:tcBorders>
          </w:tcPr>
          <w:p>
            <w:pPr>
              <w:pStyle w:val="2"/>
              <w:spacing w:line="360" w:lineRule="exact"/>
              <w:ind w:left="-85"/>
              <w:rPr>
                <w:rFonts w:hAnsi="宋体"/>
                <w:szCs w:val="21"/>
              </w:rPr>
            </w:pPr>
          </w:p>
        </w:tc>
        <w:tc>
          <w:tcPr>
            <w:tcW w:w="1593" w:type="dxa"/>
            <w:tcBorders>
              <w:top w:val="single" w:color="auto" w:sz="4" w:space="0"/>
              <w:left w:val="single" w:color="auto" w:sz="4" w:space="0"/>
              <w:bottom w:val="single" w:color="auto" w:sz="4" w:space="0"/>
              <w:right w:val="single" w:color="auto" w:sz="4" w:space="0"/>
            </w:tcBorders>
          </w:tcPr>
          <w:p>
            <w:pPr>
              <w:pStyle w:val="2"/>
              <w:spacing w:line="360" w:lineRule="exact"/>
              <w:ind w:left="-85"/>
              <w:rPr>
                <w:rFonts w:hAnsi="宋体"/>
                <w:szCs w:val="21"/>
              </w:rPr>
            </w:pPr>
          </w:p>
        </w:tc>
        <w:tc>
          <w:tcPr>
            <w:tcW w:w="1800" w:type="dxa"/>
            <w:tcBorders>
              <w:top w:val="single" w:color="auto" w:sz="4" w:space="0"/>
              <w:left w:val="single" w:color="auto" w:sz="4" w:space="0"/>
              <w:bottom w:val="single" w:color="auto" w:sz="4" w:space="0"/>
              <w:right w:val="single" w:color="auto" w:sz="4" w:space="0"/>
            </w:tcBorders>
          </w:tcPr>
          <w:p>
            <w:pPr>
              <w:pStyle w:val="2"/>
              <w:spacing w:line="360" w:lineRule="exact"/>
              <w:ind w:left="-85"/>
              <w:rPr>
                <w:rFonts w:hAnsi="宋体"/>
                <w:szCs w:val="21"/>
              </w:rPr>
            </w:pPr>
          </w:p>
        </w:tc>
        <w:tc>
          <w:tcPr>
            <w:tcW w:w="1885" w:type="dxa"/>
            <w:tcBorders>
              <w:top w:val="single" w:color="auto" w:sz="4" w:space="0"/>
              <w:left w:val="single" w:color="auto" w:sz="4" w:space="0"/>
              <w:bottom w:val="single" w:color="auto" w:sz="4" w:space="0"/>
              <w:right w:val="single" w:color="auto" w:sz="4" w:space="0"/>
            </w:tcBorders>
          </w:tcPr>
          <w:p>
            <w:pPr>
              <w:pStyle w:val="2"/>
              <w:spacing w:line="360" w:lineRule="exact"/>
              <w:ind w:left="-85"/>
              <w:rPr>
                <w:rFonts w:hAnsi="宋体"/>
                <w:szCs w:val="21"/>
              </w:rPr>
            </w:pPr>
          </w:p>
        </w:tc>
        <w:tc>
          <w:tcPr>
            <w:tcW w:w="1035" w:type="dxa"/>
            <w:tcBorders>
              <w:top w:val="single" w:color="auto" w:sz="4" w:space="0"/>
              <w:left w:val="single" w:color="auto" w:sz="4" w:space="0"/>
              <w:bottom w:val="single" w:color="auto" w:sz="4" w:space="0"/>
              <w:right w:val="single" w:color="auto" w:sz="4" w:space="0"/>
            </w:tcBorders>
          </w:tcPr>
          <w:p>
            <w:pPr>
              <w:pStyle w:val="2"/>
              <w:spacing w:line="360" w:lineRule="exact"/>
              <w:ind w:left="-85"/>
              <w:rPr>
                <w:rFonts w:hAnsi="宋体"/>
                <w:szCs w:val="21"/>
              </w:rPr>
            </w:pPr>
          </w:p>
        </w:tc>
        <w:tc>
          <w:tcPr>
            <w:tcW w:w="959" w:type="dxa"/>
            <w:tcBorders>
              <w:top w:val="single" w:color="auto" w:sz="4" w:space="0"/>
              <w:left w:val="single" w:color="auto" w:sz="4" w:space="0"/>
              <w:bottom w:val="single" w:color="auto" w:sz="4" w:space="0"/>
              <w:right w:val="single" w:color="auto" w:sz="4" w:space="0"/>
            </w:tcBorders>
          </w:tcPr>
          <w:p>
            <w:pPr>
              <w:pStyle w:val="2"/>
              <w:spacing w:line="360" w:lineRule="exact"/>
              <w:ind w:left="-85"/>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2" w:type="dxa"/>
            <w:tcBorders>
              <w:top w:val="single" w:color="auto" w:sz="4" w:space="0"/>
              <w:left w:val="single" w:color="auto" w:sz="4" w:space="0"/>
              <w:bottom w:val="single" w:color="auto" w:sz="4" w:space="0"/>
              <w:right w:val="single" w:color="auto" w:sz="4" w:space="0"/>
            </w:tcBorders>
          </w:tcPr>
          <w:p>
            <w:pPr>
              <w:pStyle w:val="2"/>
              <w:spacing w:line="360" w:lineRule="exact"/>
              <w:ind w:left="-85"/>
              <w:rPr>
                <w:rFonts w:hAnsi="宋体"/>
                <w:szCs w:val="21"/>
              </w:rPr>
            </w:pPr>
          </w:p>
        </w:tc>
        <w:tc>
          <w:tcPr>
            <w:tcW w:w="1593" w:type="dxa"/>
            <w:tcBorders>
              <w:top w:val="single" w:color="auto" w:sz="4" w:space="0"/>
              <w:left w:val="single" w:color="auto" w:sz="4" w:space="0"/>
              <w:bottom w:val="single" w:color="auto" w:sz="4" w:space="0"/>
              <w:right w:val="single" w:color="auto" w:sz="4" w:space="0"/>
            </w:tcBorders>
          </w:tcPr>
          <w:p>
            <w:pPr>
              <w:pStyle w:val="2"/>
              <w:spacing w:line="360" w:lineRule="exact"/>
              <w:ind w:left="-85"/>
              <w:rPr>
                <w:rFonts w:hAnsi="宋体"/>
                <w:szCs w:val="21"/>
              </w:rPr>
            </w:pPr>
          </w:p>
        </w:tc>
        <w:tc>
          <w:tcPr>
            <w:tcW w:w="1800" w:type="dxa"/>
            <w:tcBorders>
              <w:top w:val="single" w:color="auto" w:sz="4" w:space="0"/>
              <w:left w:val="single" w:color="auto" w:sz="4" w:space="0"/>
              <w:bottom w:val="single" w:color="auto" w:sz="4" w:space="0"/>
              <w:right w:val="single" w:color="auto" w:sz="4" w:space="0"/>
            </w:tcBorders>
          </w:tcPr>
          <w:p>
            <w:pPr>
              <w:pStyle w:val="2"/>
              <w:spacing w:line="360" w:lineRule="exact"/>
              <w:ind w:left="-85"/>
              <w:rPr>
                <w:rFonts w:hAnsi="宋体"/>
                <w:szCs w:val="21"/>
              </w:rPr>
            </w:pPr>
          </w:p>
        </w:tc>
        <w:tc>
          <w:tcPr>
            <w:tcW w:w="1885" w:type="dxa"/>
            <w:tcBorders>
              <w:top w:val="single" w:color="auto" w:sz="4" w:space="0"/>
              <w:left w:val="single" w:color="auto" w:sz="4" w:space="0"/>
              <w:bottom w:val="single" w:color="auto" w:sz="4" w:space="0"/>
              <w:right w:val="single" w:color="auto" w:sz="4" w:space="0"/>
            </w:tcBorders>
          </w:tcPr>
          <w:p>
            <w:pPr>
              <w:pStyle w:val="2"/>
              <w:spacing w:line="360" w:lineRule="exact"/>
              <w:ind w:left="-85"/>
              <w:rPr>
                <w:rFonts w:hAnsi="宋体"/>
                <w:szCs w:val="21"/>
              </w:rPr>
            </w:pPr>
          </w:p>
        </w:tc>
        <w:tc>
          <w:tcPr>
            <w:tcW w:w="1035" w:type="dxa"/>
            <w:tcBorders>
              <w:top w:val="single" w:color="auto" w:sz="4" w:space="0"/>
              <w:left w:val="single" w:color="auto" w:sz="4" w:space="0"/>
              <w:bottom w:val="single" w:color="auto" w:sz="4" w:space="0"/>
              <w:right w:val="single" w:color="auto" w:sz="4" w:space="0"/>
            </w:tcBorders>
          </w:tcPr>
          <w:p>
            <w:pPr>
              <w:pStyle w:val="2"/>
              <w:spacing w:line="360" w:lineRule="exact"/>
              <w:ind w:left="-85"/>
              <w:rPr>
                <w:rFonts w:hAnsi="宋体"/>
                <w:szCs w:val="21"/>
              </w:rPr>
            </w:pPr>
          </w:p>
        </w:tc>
        <w:tc>
          <w:tcPr>
            <w:tcW w:w="959" w:type="dxa"/>
            <w:tcBorders>
              <w:top w:val="single" w:color="auto" w:sz="4" w:space="0"/>
              <w:left w:val="single" w:color="auto" w:sz="4" w:space="0"/>
              <w:bottom w:val="single" w:color="auto" w:sz="4" w:space="0"/>
              <w:right w:val="single" w:color="auto" w:sz="4" w:space="0"/>
            </w:tcBorders>
          </w:tcPr>
          <w:p>
            <w:pPr>
              <w:pStyle w:val="2"/>
              <w:spacing w:line="360" w:lineRule="exact"/>
              <w:ind w:left="-85"/>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2" w:type="dxa"/>
            <w:tcBorders>
              <w:top w:val="single" w:color="auto" w:sz="4" w:space="0"/>
              <w:left w:val="single" w:color="auto" w:sz="4" w:space="0"/>
              <w:bottom w:val="single" w:color="auto" w:sz="4" w:space="0"/>
              <w:right w:val="single" w:color="auto" w:sz="4" w:space="0"/>
            </w:tcBorders>
          </w:tcPr>
          <w:p>
            <w:pPr>
              <w:pStyle w:val="2"/>
              <w:spacing w:line="360" w:lineRule="exact"/>
              <w:ind w:left="-85"/>
              <w:rPr>
                <w:rFonts w:hAnsi="宋体"/>
                <w:szCs w:val="21"/>
              </w:rPr>
            </w:pPr>
          </w:p>
        </w:tc>
        <w:tc>
          <w:tcPr>
            <w:tcW w:w="1593" w:type="dxa"/>
            <w:tcBorders>
              <w:top w:val="single" w:color="auto" w:sz="4" w:space="0"/>
              <w:left w:val="single" w:color="auto" w:sz="4" w:space="0"/>
              <w:bottom w:val="single" w:color="auto" w:sz="4" w:space="0"/>
              <w:right w:val="single" w:color="auto" w:sz="4" w:space="0"/>
            </w:tcBorders>
          </w:tcPr>
          <w:p>
            <w:pPr>
              <w:pStyle w:val="2"/>
              <w:spacing w:line="360" w:lineRule="exact"/>
              <w:ind w:left="-85"/>
              <w:rPr>
                <w:rFonts w:hAnsi="宋体"/>
                <w:szCs w:val="21"/>
              </w:rPr>
            </w:pPr>
          </w:p>
        </w:tc>
        <w:tc>
          <w:tcPr>
            <w:tcW w:w="1800" w:type="dxa"/>
            <w:tcBorders>
              <w:top w:val="single" w:color="auto" w:sz="4" w:space="0"/>
              <w:left w:val="single" w:color="auto" w:sz="4" w:space="0"/>
              <w:bottom w:val="single" w:color="auto" w:sz="4" w:space="0"/>
              <w:right w:val="single" w:color="auto" w:sz="4" w:space="0"/>
            </w:tcBorders>
          </w:tcPr>
          <w:p>
            <w:pPr>
              <w:pStyle w:val="2"/>
              <w:spacing w:line="360" w:lineRule="exact"/>
              <w:ind w:left="-85"/>
              <w:rPr>
                <w:rFonts w:hAnsi="宋体"/>
                <w:szCs w:val="21"/>
              </w:rPr>
            </w:pPr>
          </w:p>
        </w:tc>
        <w:tc>
          <w:tcPr>
            <w:tcW w:w="1885" w:type="dxa"/>
            <w:tcBorders>
              <w:top w:val="single" w:color="auto" w:sz="4" w:space="0"/>
              <w:left w:val="single" w:color="auto" w:sz="4" w:space="0"/>
              <w:bottom w:val="single" w:color="auto" w:sz="4" w:space="0"/>
              <w:right w:val="single" w:color="auto" w:sz="4" w:space="0"/>
            </w:tcBorders>
          </w:tcPr>
          <w:p>
            <w:pPr>
              <w:pStyle w:val="2"/>
              <w:spacing w:line="360" w:lineRule="exact"/>
              <w:ind w:left="-85"/>
              <w:rPr>
                <w:rFonts w:hAnsi="宋体"/>
                <w:szCs w:val="21"/>
              </w:rPr>
            </w:pPr>
          </w:p>
        </w:tc>
        <w:tc>
          <w:tcPr>
            <w:tcW w:w="1035" w:type="dxa"/>
            <w:tcBorders>
              <w:top w:val="single" w:color="auto" w:sz="4" w:space="0"/>
              <w:left w:val="single" w:color="auto" w:sz="4" w:space="0"/>
              <w:bottom w:val="single" w:color="auto" w:sz="4" w:space="0"/>
              <w:right w:val="single" w:color="auto" w:sz="4" w:space="0"/>
            </w:tcBorders>
          </w:tcPr>
          <w:p>
            <w:pPr>
              <w:pStyle w:val="2"/>
              <w:spacing w:line="360" w:lineRule="exact"/>
              <w:ind w:left="-85"/>
              <w:rPr>
                <w:rFonts w:hAnsi="宋体"/>
                <w:szCs w:val="21"/>
              </w:rPr>
            </w:pPr>
          </w:p>
        </w:tc>
        <w:tc>
          <w:tcPr>
            <w:tcW w:w="959" w:type="dxa"/>
            <w:tcBorders>
              <w:top w:val="single" w:color="auto" w:sz="4" w:space="0"/>
              <w:left w:val="single" w:color="auto" w:sz="4" w:space="0"/>
              <w:bottom w:val="single" w:color="auto" w:sz="4" w:space="0"/>
              <w:right w:val="single" w:color="auto" w:sz="4" w:space="0"/>
            </w:tcBorders>
          </w:tcPr>
          <w:p>
            <w:pPr>
              <w:pStyle w:val="2"/>
              <w:spacing w:line="360" w:lineRule="exact"/>
              <w:ind w:left="-85"/>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2" w:type="dxa"/>
            <w:tcBorders>
              <w:top w:val="single" w:color="auto" w:sz="4" w:space="0"/>
              <w:left w:val="single" w:color="auto" w:sz="4" w:space="0"/>
              <w:bottom w:val="single" w:color="auto" w:sz="4" w:space="0"/>
              <w:right w:val="single" w:color="auto" w:sz="4" w:space="0"/>
            </w:tcBorders>
          </w:tcPr>
          <w:p>
            <w:pPr>
              <w:pStyle w:val="2"/>
              <w:spacing w:line="360" w:lineRule="exact"/>
              <w:ind w:left="-85"/>
              <w:rPr>
                <w:rFonts w:hAnsi="宋体"/>
                <w:szCs w:val="21"/>
              </w:rPr>
            </w:pPr>
          </w:p>
        </w:tc>
        <w:tc>
          <w:tcPr>
            <w:tcW w:w="1593" w:type="dxa"/>
            <w:tcBorders>
              <w:top w:val="single" w:color="auto" w:sz="4" w:space="0"/>
              <w:left w:val="single" w:color="auto" w:sz="4" w:space="0"/>
              <w:bottom w:val="single" w:color="auto" w:sz="4" w:space="0"/>
              <w:right w:val="single" w:color="auto" w:sz="4" w:space="0"/>
            </w:tcBorders>
          </w:tcPr>
          <w:p>
            <w:pPr>
              <w:pStyle w:val="2"/>
              <w:spacing w:line="360" w:lineRule="exact"/>
              <w:ind w:left="-85"/>
              <w:rPr>
                <w:rFonts w:hAnsi="宋体"/>
                <w:szCs w:val="21"/>
              </w:rPr>
            </w:pPr>
          </w:p>
        </w:tc>
        <w:tc>
          <w:tcPr>
            <w:tcW w:w="1800" w:type="dxa"/>
            <w:tcBorders>
              <w:top w:val="single" w:color="auto" w:sz="4" w:space="0"/>
              <w:left w:val="single" w:color="auto" w:sz="4" w:space="0"/>
              <w:bottom w:val="single" w:color="auto" w:sz="4" w:space="0"/>
              <w:right w:val="single" w:color="auto" w:sz="4" w:space="0"/>
            </w:tcBorders>
          </w:tcPr>
          <w:p>
            <w:pPr>
              <w:pStyle w:val="2"/>
              <w:spacing w:line="360" w:lineRule="exact"/>
              <w:ind w:left="-85"/>
              <w:rPr>
                <w:rFonts w:hAnsi="宋体"/>
                <w:szCs w:val="21"/>
              </w:rPr>
            </w:pPr>
          </w:p>
        </w:tc>
        <w:tc>
          <w:tcPr>
            <w:tcW w:w="1885" w:type="dxa"/>
            <w:tcBorders>
              <w:top w:val="single" w:color="auto" w:sz="4" w:space="0"/>
              <w:left w:val="single" w:color="auto" w:sz="4" w:space="0"/>
              <w:bottom w:val="single" w:color="auto" w:sz="4" w:space="0"/>
              <w:right w:val="single" w:color="auto" w:sz="4" w:space="0"/>
            </w:tcBorders>
          </w:tcPr>
          <w:p>
            <w:pPr>
              <w:pStyle w:val="2"/>
              <w:spacing w:line="360" w:lineRule="exact"/>
              <w:ind w:left="-85"/>
              <w:rPr>
                <w:rFonts w:hAnsi="宋体"/>
                <w:szCs w:val="21"/>
              </w:rPr>
            </w:pPr>
          </w:p>
        </w:tc>
        <w:tc>
          <w:tcPr>
            <w:tcW w:w="1035" w:type="dxa"/>
            <w:tcBorders>
              <w:top w:val="single" w:color="auto" w:sz="4" w:space="0"/>
              <w:left w:val="single" w:color="auto" w:sz="4" w:space="0"/>
              <w:bottom w:val="single" w:color="auto" w:sz="4" w:space="0"/>
              <w:right w:val="single" w:color="auto" w:sz="4" w:space="0"/>
            </w:tcBorders>
          </w:tcPr>
          <w:p>
            <w:pPr>
              <w:pStyle w:val="2"/>
              <w:spacing w:line="360" w:lineRule="exact"/>
              <w:ind w:left="-85"/>
              <w:rPr>
                <w:rFonts w:hAnsi="宋体"/>
                <w:szCs w:val="21"/>
              </w:rPr>
            </w:pPr>
          </w:p>
        </w:tc>
        <w:tc>
          <w:tcPr>
            <w:tcW w:w="959" w:type="dxa"/>
            <w:tcBorders>
              <w:top w:val="single" w:color="auto" w:sz="4" w:space="0"/>
              <w:left w:val="single" w:color="auto" w:sz="4" w:space="0"/>
              <w:bottom w:val="single" w:color="auto" w:sz="4" w:space="0"/>
              <w:right w:val="single" w:color="auto" w:sz="4" w:space="0"/>
            </w:tcBorders>
          </w:tcPr>
          <w:p>
            <w:pPr>
              <w:pStyle w:val="2"/>
              <w:spacing w:line="360" w:lineRule="exact"/>
              <w:ind w:left="-85"/>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2" w:type="dxa"/>
            <w:tcBorders>
              <w:top w:val="single" w:color="auto" w:sz="4" w:space="0"/>
              <w:left w:val="single" w:color="auto" w:sz="4" w:space="0"/>
              <w:bottom w:val="single" w:color="auto" w:sz="4" w:space="0"/>
              <w:right w:val="single" w:color="auto" w:sz="4" w:space="0"/>
            </w:tcBorders>
          </w:tcPr>
          <w:p>
            <w:pPr>
              <w:pStyle w:val="2"/>
              <w:spacing w:line="360" w:lineRule="exact"/>
              <w:ind w:left="-85"/>
              <w:rPr>
                <w:rFonts w:hAnsi="宋体"/>
                <w:szCs w:val="21"/>
              </w:rPr>
            </w:pPr>
          </w:p>
        </w:tc>
        <w:tc>
          <w:tcPr>
            <w:tcW w:w="1593" w:type="dxa"/>
            <w:tcBorders>
              <w:top w:val="single" w:color="auto" w:sz="4" w:space="0"/>
              <w:left w:val="single" w:color="auto" w:sz="4" w:space="0"/>
              <w:bottom w:val="single" w:color="auto" w:sz="4" w:space="0"/>
              <w:right w:val="single" w:color="auto" w:sz="4" w:space="0"/>
            </w:tcBorders>
          </w:tcPr>
          <w:p>
            <w:pPr>
              <w:pStyle w:val="2"/>
              <w:spacing w:line="360" w:lineRule="exact"/>
              <w:ind w:left="-85"/>
              <w:rPr>
                <w:rFonts w:hAnsi="宋体"/>
                <w:szCs w:val="21"/>
              </w:rPr>
            </w:pPr>
          </w:p>
        </w:tc>
        <w:tc>
          <w:tcPr>
            <w:tcW w:w="1800" w:type="dxa"/>
            <w:tcBorders>
              <w:top w:val="single" w:color="auto" w:sz="4" w:space="0"/>
              <w:left w:val="single" w:color="auto" w:sz="4" w:space="0"/>
              <w:bottom w:val="single" w:color="auto" w:sz="4" w:space="0"/>
              <w:right w:val="single" w:color="auto" w:sz="4" w:space="0"/>
            </w:tcBorders>
          </w:tcPr>
          <w:p>
            <w:pPr>
              <w:pStyle w:val="2"/>
              <w:spacing w:line="360" w:lineRule="exact"/>
              <w:ind w:left="-85"/>
              <w:rPr>
                <w:rFonts w:hAnsi="宋体"/>
                <w:szCs w:val="21"/>
              </w:rPr>
            </w:pPr>
          </w:p>
        </w:tc>
        <w:tc>
          <w:tcPr>
            <w:tcW w:w="1885" w:type="dxa"/>
            <w:tcBorders>
              <w:top w:val="single" w:color="auto" w:sz="4" w:space="0"/>
              <w:left w:val="single" w:color="auto" w:sz="4" w:space="0"/>
              <w:bottom w:val="single" w:color="auto" w:sz="4" w:space="0"/>
              <w:right w:val="single" w:color="auto" w:sz="4" w:space="0"/>
            </w:tcBorders>
          </w:tcPr>
          <w:p>
            <w:pPr>
              <w:pStyle w:val="2"/>
              <w:spacing w:line="360" w:lineRule="exact"/>
              <w:ind w:left="-85"/>
              <w:rPr>
                <w:rFonts w:hAnsi="宋体"/>
                <w:szCs w:val="21"/>
              </w:rPr>
            </w:pPr>
          </w:p>
        </w:tc>
        <w:tc>
          <w:tcPr>
            <w:tcW w:w="1035" w:type="dxa"/>
            <w:tcBorders>
              <w:top w:val="single" w:color="auto" w:sz="4" w:space="0"/>
              <w:left w:val="single" w:color="auto" w:sz="4" w:space="0"/>
              <w:bottom w:val="single" w:color="auto" w:sz="4" w:space="0"/>
              <w:right w:val="single" w:color="auto" w:sz="4" w:space="0"/>
            </w:tcBorders>
          </w:tcPr>
          <w:p>
            <w:pPr>
              <w:pStyle w:val="2"/>
              <w:spacing w:line="360" w:lineRule="exact"/>
              <w:ind w:left="-85"/>
              <w:rPr>
                <w:rFonts w:hAnsi="宋体"/>
                <w:szCs w:val="21"/>
              </w:rPr>
            </w:pPr>
          </w:p>
        </w:tc>
        <w:tc>
          <w:tcPr>
            <w:tcW w:w="959" w:type="dxa"/>
            <w:tcBorders>
              <w:top w:val="single" w:color="auto" w:sz="4" w:space="0"/>
              <w:left w:val="single" w:color="auto" w:sz="4" w:space="0"/>
              <w:bottom w:val="single" w:color="auto" w:sz="4" w:space="0"/>
              <w:right w:val="single" w:color="auto" w:sz="4" w:space="0"/>
            </w:tcBorders>
          </w:tcPr>
          <w:p>
            <w:pPr>
              <w:pStyle w:val="2"/>
              <w:spacing w:line="360" w:lineRule="exact"/>
              <w:ind w:left="-85"/>
              <w:rPr>
                <w:rFonts w:hAnsi="宋体"/>
                <w:szCs w:val="21"/>
              </w:rPr>
            </w:pPr>
          </w:p>
        </w:tc>
      </w:tr>
    </w:tbl>
    <w:p>
      <w:pPr>
        <w:pStyle w:val="2"/>
        <w:spacing w:line="360" w:lineRule="exact"/>
        <w:rPr>
          <w:rFonts w:hAnsi="宋体"/>
          <w:szCs w:val="21"/>
        </w:rPr>
      </w:pPr>
    </w:p>
    <w:p>
      <w:pPr>
        <w:pStyle w:val="2"/>
        <w:spacing w:line="360" w:lineRule="exact"/>
        <w:ind w:firstLine="315" w:firstLineChars="150"/>
        <w:rPr>
          <w:rFonts w:hAnsi="宋体"/>
          <w:szCs w:val="21"/>
        </w:rPr>
      </w:pPr>
      <w:r>
        <w:rPr>
          <w:rFonts w:hint="eastAsia" w:hAnsi="宋体"/>
          <w:szCs w:val="21"/>
        </w:rPr>
        <w:t>说明：供应商递交的响应文件中货物与磋商文件的要求有不同时，应逐条列在技术规格偏离表中，否则将认为供应商接受磋商文件的要求。</w:t>
      </w:r>
    </w:p>
    <w:p>
      <w:pPr>
        <w:pStyle w:val="2"/>
        <w:spacing w:line="360" w:lineRule="exact"/>
        <w:rPr>
          <w:rFonts w:hAnsi="宋体"/>
          <w:szCs w:val="21"/>
        </w:rPr>
      </w:pPr>
    </w:p>
    <w:p>
      <w:pPr>
        <w:pStyle w:val="2"/>
        <w:spacing w:line="360" w:lineRule="exact"/>
        <w:rPr>
          <w:rFonts w:hAnsi="宋体"/>
          <w:szCs w:val="21"/>
        </w:rPr>
      </w:pPr>
      <w:r>
        <w:rPr>
          <w:rFonts w:hint="eastAsia" w:hAnsi="宋体"/>
          <w:szCs w:val="21"/>
        </w:rPr>
        <w:t xml:space="preserve"> </w:t>
      </w:r>
    </w:p>
    <w:p>
      <w:pPr>
        <w:pStyle w:val="2"/>
        <w:spacing w:line="360" w:lineRule="exact"/>
        <w:rPr>
          <w:rFonts w:hAnsi="宋体"/>
          <w:szCs w:val="21"/>
        </w:rPr>
      </w:pPr>
    </w:p>
    <w:p>
      <w:pPr>
        <w:pStyle w:val="2"/>
        <w:spacing w:line="360" w:lineRule="exact"/>
        <w:rPr>
          <w:rFonts w:hAnsi="宋体"/>
          <w:szCs w:val="21"/>
        </w:rPr>
      </w:pPr>
    </w:p>
    <w:p>
      <w:pPr>
        <w:pStyle w:val="2"/>
        <w:spacing w:line="360" w:lineRule="exact"/>
        <w:rPr>
          <w:rFonts w:hAnsi="宋体"/>
          <w:szCs w:val="21"/>
        </w:rPr>
      </w:pPr>
      <w:r>
        <w:rPr>
          <w:rFonts w:hint="eastAsia" w:hAnsi="宋体"/>
          <w:szCs w:val="21"/>
        </w:rPr>
        <w:t xml:space="preserve">供应商（盖章）： </w:t>
      </w:r>
    </w:p>
    <w:p>
      <w:pPr>
        <w:pStyle w:val="2"/>
        <w:spacing w:line="360" w:lineRule="exact"/>
        <w:rPr>
          <w:rFonts w:hAnsi="宋体"/>
          <w:szCs w:val="21"/>
        </w:rPr>
      </w:pPr>
    </w:p>
    <w:p>
      <w:pPr>
        <w:pStyle w:val="2"/>
        <w:spacing w:line="360" w:lineRule="exact"/>
        <w:rPr>
          <w:rFonts w:hAnsi="宋体"/>
          <w:szCs w:val="21"/>
        </w:rPr>
      </w:pPr>
    </w:p>
    <w:p>
      <w:pPr>
        <w:pStyle w:val="2"/>
        <w:spacing w:line="360" w:lineRule="exact"/>
        <w:rPr>
          <w:rFonts w:hAnsi="宋体"/>
          <w:szCs w:val="21"/>
        </w:rPr>
      </w:pPr>
      <w:r>
        <w:rPr>
          <w:rFonts w:hint="eastAsia" w:hAnsi="宋体"/>
          <w:szCs w:val="21"/>
        </w:rPr>
        <w:t xml:space="preserve">法定代表人或委托代理人（签字）： </w:t>
      </w:r>
    </w:p>
    <w:p>
      <w:pPr>
        <w:pStyle w:val="2"/>
        <w:spacing w:line="360" w:lineRule="exact"/>
        <w:ind w:left="-85"/>
        <w:rPr>
          <w:rFonts w:hAnsi="宋体"/>
          <w:szCs w:val="21"/>
        </w:rPr>
      </w:pPr>
    </w:p>
    <w:p>
      <w:pPr>
        <w:pStyle w:val="2"/>
        <w:spacing w:line="360" w:lineRule="exact"/>
        <w:ind w:left="-85"/>
        <w:rPr>
          <w:rFonts w:hAnsi="宋体"/>
          <w:szCs w:val="21"/>
        </w:rPr>
      </w:pPr>
    </w:p>
    <w:p>
      <w:pPr>
        <w:pStyle w:val="2"/>
        <w:spacing w:line="360" w:lineRule="exact"/>
        <w:ind w:left="-85"/>
        <w:rPr>
          <w:rFonts w:hAnsi="宋体"/>
          <w:szCs w:val="21"/>
        </w:rPr>
      </w:pPr>
    </w:p>
    <w:p>
      <w:pPr>
        <w:pStyle w:val="2"/>
        <w:spacing w:line="360" w:lineRule="exact"/>
        <w:ind w:left="-85"/>
        <w:rPr>
          <w:rFonts w:hAnsi="宋体"/>
          <w:szCs w:val="21"/>
        </w:rPr>
      </w:pPr>
    </w:p>
    <w:p>
      <w:pPr>
        <w:pStyle w:val="2"/>
        <w:spacing w:line="360" w:lineRule="exact"/>
        <w:ind w:left="-85"/>
        <w:rPr>
          <w:rFonts w:hAnsi="宋体"/>
          <w:szCs w:val="21"/>
        </w:rPr>
      </w:pPr>
    </w:p>
    <w:p>
      <w:pPr>
        <w:pStyle w:val="2"/>
        <w:spacing w:line="360" w:lineRule="exact"/>
        <w:ind w:left="-85"/>
        <w:rPr>
          <w:rFonts w:hAnsi="宋体"/>
          <w:szCs w:val="21"/>
        </w:rPr>
      </w:pPr>
    </w:p>
    <w:p>
      <w:pPr>
        <w:pStyle w:val="2"/>
        <w:spacing w:line="360" w:lineRule="exact"/>
        <w:ind w:left="-85"/>
        <w:rPr>
          <w:rFonts w:hAnsi="宋体"/>
          <w:szCs w:val="21"/>
        </w:rPr>
      </w:pPr>
    </w:p>
    <w:p>
      <w:pPr>
        <w:pStyle w:val="2"/>
        <w:spacing w:line="360" w:lineRule="exact"/>
        <w:rPr>
          <w:rFonts w:hAnsi="宋体"/>
          <w:szCs w:val="21"/>
        </w:rPr>
      </w:pPr>
    </w:p>
    <w:p>
      <w:pPr>
        <w:pStyle w:val="2"/>
        <w:spacing w:line="360" w:lineRule="exact"/>
        <w:ind w:left="-84" w:leftChars="-40" w:right="105" w:firstLine="5040" w:firstLineChars="2400"/>
        <w:jc w:val="right"/>
        <w:rPr>
          <w:rFonts w:hAnsi="宋体"/>
          <w:szCs w:val="21"/>
        </w:rPr>
      </w:pPr>
      <w:r>
        <w:rPr>
          <w:rFonts w:hint="eastAsia" w:hAnsi="宋体"/>
          <w:szCs w:val="21"/>
        </w:rPr>
        <w:t>年    月    日</w:t>
      </w:r>
    </w:p>
    <w:p>
      <w:pPr>
        <w:pStyle w:val="2"/>
        <w:ind w:left="-85"/>
        <w:outlineLvl w:val="1"/>
        <w:rPr>
          <w:rFonts w:hAnsi="宋体"/>
          <w:sz w:val="24"/>
          <w:szCs w:val="24"/>
        </w:rPr>
      </w:pPr>
      <w:r>
        <w:rPr>
          <w:rFonts w:hint="eastAsia" w:hAnsi="宋体"/>
          <w:szCs w:val="21"/>
        </w:rPr>
        <w:t xml:space="preserve">   </w:t>
      </w:r>
      <w:r>
        <w:rPr>
          <w:rFonts w:hint="eastAsia" w:hAnsi="宋体"/>
          <w:szCs w:val="21"/>
        </w:rPr>
        <w:br w:type="page"/>
      </w:r>
      <w:bookmarkStart w:id="119" w:name="_Toc356222246"/>
      <w:bookmarkStart w:id="120" w:name="_Toc356230132"/>
      <w:bookmarkStart w:id="121" w:name="_Toc356222247"/>
      <w:bookmarkStart w:id="122" w:name="_Toc356230131"/>
      <w:r>
        <w:rPr>
          <w:rFonts w:hint="eastAsia" w:hAnsi="宋体"/>
          <w:sz w:val="24"/>
          <w:szCs w:val="24"/>
        </w:rPr>
        <w:t>附件7</w:t>
      </w:r>
    </w:p>
    <w:p>
      <w:pPr>
        <w:pStyle w:val="2"/>
        <w:ind w:left="-85"/>
        <w:jc w:val="center"/>
        <w:outlineLvl w:val="1"/>
        <w:rPr>
          <w:rFonts w:hAnsi="宋体"/>
          <w:b/>
          <w:bCs/>
          <w:sz w:val="24"/>
          <w:szCs w:val="24"/>
        </w:rPr>
      </w:pPr>
      <w:r>
        <w:rPr>
          <w:rFonts w:hint="eastAsia" w:hAnsi="宋体"/>
          <w:b/>
          <w:bCs/>
          <w:sz w:val="24"/>
          <w:szCs w:val="24"/>
        </w:rPr>
        <w:t>商务条款偏离表</w:t>
      </w:r>
      <w:bookmarkEnd w:id="119"/>
      <w:bookmarkEnd w:id="120"/>
      <w:bookmarkEnd w:id="121"/>
      <w:bookmarkEnd w:id="122"/>
    </w:p>
    <w:p>
      <w:pPr>
        <w:pStyle w:val="2"/>
        <w:spacing w:line="360" w:lineRule="exact"/>
        <w:ind w:left="-85"/>
        <w:jc w:val="center"/>
        <w:rPr>
          <w:rFonts w:hAnsi="宋体"/>
          <w:b/>
          <w:bCs/>
          <w:szCs w:val="21"/>
        </w:rPr>
      </w:pPr>
    </w:p>
    <w:p>
      <w:pPr>
        <w:pStyle w:val="2"/>
        <w:spacing w:line="360" w:lineRule="exact"/>
        <w:ind w:firstLine="472" w:firstLineChars="225"/>
        <w:rPr>
          <w:rFonts w:hAnsi="宋体"/>
          <w:szCs w:val="21"/>
        </w:rPr>
      </w:pPr>
      <w:r>
        <w:rPr>
          <w:rFonts w:hint="eastAsia" w:hAnsi="宋体"/>
          <w:szCs w:val="21"/>
        </w:rPr>
        <w:t>供应商递交的响应文件中与磋商文件的商务部分的要求有不同时，应逐条列在商务条款偏离表中，否则认为供应商接受磋商文件的要求。</w:t>
      </w:r>
    </w:p>
    <w:tbl>
      <w:tblPr>
        <w:tblStyle w:val="28"/>
        <w:tblpPr w:leftFromText="180" w:rightFromText="180" w:vertAnchor="page" w:horzAnchor="margin" w:tblpXSpec="center" w:tblpY="3475"/>
        <w:tblW w:w="95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1"/>
        <w:gridCol w:w="1815"/>
        <w:gridCol w:w="2545"/>
        <w:gridCol w:w="2724"/>
        <w:gridCol w:w="17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761" w:type="dxa"/>
            <w:tcBorders>
              <w:top w:val="single" w:color="auto" w:sz="4" w:space="0"/>
              <w:left w:val="single" w:color="auto" w:sz="4" w:space="0"/>
              <w:bottom w:val="single" w:color="auto" w:sz="4" w:space="0"/>
              <w:right w:val="single" w:color="auto" w:sz="4" w:space="0"/>
            </w:tcBorders>
            <w:vAlign w:val="center"/>
          </w:tcPr>
          <w:p>
            <w:pPr>
              <w:pStyle w:val="2"/>
              <w:spacing w:line="360" w:lineRule="exact"/>
              <w:ind w:left="-85"/>
              <w:jc w:val="center"/>
              <w:rPr>
                <w:rFonts w:hAnsi="宋体"/>
                <w:szCs w:val="21"/>
              </w:rPr>
            </w:pPr>
            <w:r>
              <w:rPr>
                <w:rFonts w:hint="eastAsia" w:hAnsi="宋体"/>
                <w:szCs w:val="21"/>
              </w:rPr>
              <w:t>序号</w:t>
            </w:r>
          </w:p>
        </w:tc>
        <w:tc>
          <w:tcPr>
            <w:tcW w:w="1815" w:type="dxa"/>
            <w:tcBorders>
              <w:top w:val="single" w:color="auto" w:sz="4" w:space="0"/>
              <w:left w:val="single" w:color="auto" w:sz="4" w:space="0"/>
              <w:bottom w:val="single" w:color="auto" w:sz="4" w:space="0"/>
              <w:right w:val="single" w:color="auto" w:sz="4" w:space="0"/>
            </w:tcBorders>
            <w:vAlign w:val="center"/>
          </w:tcPr>
          <w:p>
            <w:pPr>
              <w:pStyle w:val="2"/>
              <w:spacing w:line="360" w:lineRule="exact"/>
              <w:ind w:left="-85"/>
              <w:jc w:val="center"/>
              <w:rPr>
                <w:rFonts w:hAnsi="宋体"/>
                <w:szCs w:val="21"/>
              </w:rPr>
            </w:pPr>
            <w:r>
              <w:rPr>
                <w:rFonts w:hint="eastAsia" w:hAnsi="宋体"/>
                <w:szCs w:val="21"/>
              </w:rPr>
              <w:t>磋商文件条目</w:t>
            </w:r>
          </w:p>
        </w:tc>
        <w:tc>
          <w:tcPr>
            <w:tcW w:w="2545" w:type="dxa"/>
            <w:tcBorders>
              <w:top w:val="single" w:color="auto" w:sz="4" w:space="0"/>
              <w:left w:val="single" w:color="auto" w:sz="4" w:space="0"/>
              <w:bottom w:val="single" w:color="auto" w:sz="4" w:space="0"/>
              <w:right w:val="single" w:color="auto" w:sz="4" w:space="0"/>
            </w:tcBorders>
            <w:vAlign w:val="center"/>
          </w:tcPr>
          <w:p>
            <w:pPr>
              <w:pStyle w:val="2"/>
              <w:spacing w:line="360" w:lineRule="exact"/>
              <w:ind w:left="-85"/>
              <w:jc w:val="center"/>
              <w:rPr>
                <w:rFonts w:hAnsi="宋体"/>
                <w:szCs w:val="21"/>
              </w:rPr>
            </w:pPr>
            <w:r>
              <w:rPr>
                <w:rFonts w:hint="eastAsia" w:hAnsi="宋体"/>
                <w:szCs w:val="21"/>
              </w:rPr>
              <w:t>磋商文件的</w:t>
            </w:r>
          </w:p>
          <w:p>
            <w:pPr>
              <w:pStyle w:val="2"/>
              <w:spacing w:line="360" w:lineRule="exact"/>
              <w:ind w:left="-85"/>
              <w:jc w:val="center"/>
              <w:rPr>
                <w:rFonts w:hAnsi="宋体"/>
                <w:szCs w:val="21"/>
              </w:rPr>
            </w:pPr>
            <w:r>
              <w:rPr>
                <w:rFonts w:hint="eastAsia" w:hAnsi="宋体"/>
                <w:szCs w:val="21"/>
              </w:rPr>
              <w:t>商务条款</w:t>
            </w:r>
          </w:p>
        </w:tc>
        <w:tc>
          <w:tcPr>
            <w:tcW w:w="2724" w:type="dxa"/>
            <w:tcBorders>
              <w:top w:val="single" w:color="auto" w:sz="4" w:space="0"/>
              <w:left w:val="single" w:color="auto" w:sz="4" w:space="0"/>
              <w:bottom w:val="single" w:color="auto" w:sz="4" w:space="0"/>
              <w:right w:val="single" w:color="auto" w:sz="4" w:space="0"/>
            </w:tcBorders>
            <w:vAlign w:val="center"/>
          </w:tcPr>
          <w:p>
            <w:pPr>
              <w:pStyle w:val="2"/>
              <w:spacing w:line="360" w:lineRule="exact"/>
              <w:ind w:left="-85"/>
              <w:jc w:val="center"/>
              <w:rPr>
                <w:rFonts w:hAnsi="宋体"/>
                <w:szCs w:val="21"/>
              </w:rPr>
            </w:pPr>
            <w:r>
              <w:rPr>
                <w:rFonts w:hint="eastAsia" w:hAnsi="宋体"/>
                <w:szCs w:val="21"/>
              </w:rPr>
              <w:t>响应文件的</w:t>
            </w:r>
          </w:p>
          <w:p>
            <w:pPr>
              <w:pStyle w:val="2"/>
              <w:spacing w:line="360" w:lineRule="exact"/>
              <w:ind w:left="-85"/>
              <w:jc w:val="center"/>
              <w:rPr>
                <w:rFonts w:hAnsi="宋体"/>
                <w:szCs w:val="21"/>
              </w:rPr>
            </w:pPr>
            <w:r>
              <w:rPr>
                <w:rFonts w:hint="eastAsia" w:hAnsi="宋体"/>
                <w:szCs w:val="21"/>
              </w:rPr>
              <w:t>商务条款</w:t>
            </w:r>
          </w:p>
        </w:tc>
        <w:tc>
          <w:tcPr>
            <w:tcW w:w="1731" w:type="dxa"/>
            <w:tcBorders>
              <w:top w:val="single" w:color="auto" w:sz="4" w:space="0"/>
              <w:left w:val="single" w:color="auto" w:sz="4" w:space="0"/>
              <w:bottom w:val="single" w:color="auto" w:sz="4" w:space="0"/>
              <w:right w:val="single" w:color="auto" w:sz="4" w:space="0"/>
            </w:tcBorders>
            <w:vAlign w:val="center"/>
          </w:tcPr>
          <w:p>
            <w:pPr>
              <w:pStyle w:val="2"/>
              <w:spacing w:line="360" w:lineRule="exact"/>
              <w:ind w:left="-85"/>
              <w:jc w:val="center"/>
              <w:rPr>
                <w:rFonts w:hAnsi="宋体"/>
                <w:szCs w:val="21"/>
              </w:rPr>
            </w:pPr>
            <w:r>
              <w:rPr>
                <w:rFonts w:hint="eastAsia" w:hAnsi="宋体"/>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761" w:type="dxa"/>
            <w:tcBorders>
              <w:top w:val="single" w:color="auto" w:sz="4" w:space="0"/>
              <w:left w:val="single" w:color="auto" w:sz="4" w:space="0"/>
              <w:bottom w:val="single" w:color="auto" w:sz="4" w:space="0"/>
              <w:right w:val="single" w:color="auto" w:sz="4" w:space="0"/>
            </w:tcBorders>
            <w:vAlign w:val="center"/>
          </w:tcPr>
          <w:p>
            <w:pPr>
              <w:pStyle w:val="2"/>
              <w:spacing w:line="360" w:lineRule="exact"/>
              <w:ind w:left="-85"/>
              <w:jc w:val="center"/>
              <w:rPr>
                <w:rFonts w:hAnsi="宋体"/>
                <w:szCs w:val="21"/>
              </w:rPr>
            </w:pPr>
          </w:p>
        </w:tc>
        <w:tc>
          <w:tcPr>
            <w:tcW w:w="1815" w:type="dxa"/>
            <w:tcBorders>
              <w:top w:val="single" w:color="auto" w:sz="4" w:space="0"/>
              <w:left w:val="single" w:color="auto" w:sz="4" w:space="0"/>
              <w:bottom w:val="single" w:color="auto" w:sz="4" w:space="0"/>
              <w:right w:val="single" w:color="auto" w:sz="4" w:space="0"/>
            </w:tcBorders>
            <w:vAlign w:val="center"/>
          </w:tcPr>
          <w:p>
            <w:pPr>
              <w:pStyle w:val="2"/>
              <w:spacing w:line="360" w:lineRule="exact"/>
              <w:ind w:left="-85"/>
              <w:jc w:val="center"/>
              <w:rPr>
                <w:rFonts w:hAnsi="宋体"/>
                <w:szCs w:val="21"/>
              </w:rPr>
            </w:pPr>
          </w:p>
        </w:tc>
        <w:tc>
          <w:tcPr>
            <w:tcW w:w="2545" w:type="dxa"/>
            <w:tcBorders>
              <w:top w:val="single" w:color="auto" w:sz="4" w:space="0"/>
              <w:left w:val="single" w:color="auto" w:sz="4" w:space="0"/>
              <w:bottom w:val="single" w:color="auto" w:sz="4" w:space="0"/>
              <w:right w:val="single" w:color="auto" w:sz="4" w:space="0"/>
            </w:tcBorders>
            <w:vAlign w:val="center"/>
          </w:tcPr>
          <w:p>
            <w:pPr>
              <w:pStyle w:val="2"/>
              <w:spacing w:line="360" w:lineRule="exact"/>
              <w:ind w:left="-85"/>
              <w:jc w:val="center"/>
              <w:rPr>
                <w:rFonts w:hAnsi="宋体"/>
                <w:szCs w:val="21"/>
              </w:rPr>
            </w:pPr>
          </w:p>
        </w:tc>
        <w:tc>
          <w:tcPr>
            <w:tcW w:w="2724" w:type="dxa"/>
            <w:tcBorders>
              <w:top w:val="single" w:color="auto" w:sz="4" w:space="0"/>
              <w:left w:val="single" w:color="auto" w:sz="4" w:space="0"/>
              <w:bottom w:val="single" w:color="auto" w:sz="4" w:space="0"/>
              <w:right w:val="single" w:color="auto" w:sz="4" w:space="0"/>
            </w:tcBorders>
            <w:vAlign w:val="center"/>
          </w:tcPr>
          <w:p>
            <w:pPr>
              <w:pStyle w:val="2"/>
              <w:spacing w:line="360" w:lineRule="exact"/>
              <w:ind w:left="-85"/>
              <w:jc w:val="center"/>
              <w:rPr>
                <w:rFonts w:hAnsi="宋体"/>
                <w:szCs w:val="21"/>
              </w:rPr>
            </w:pPr>
          </w:p>
        </w:tc>
        <w:tc>
          <w:tcPr>
            <w:tcW w:w="1731" w:type="dxa"/>
            <w:tcBorders>
              <w:top w:val="single" w:color="auto" w:sz="4" w:space="0"/>
              <w:left w:val="single" w:color="auto" w:sz="4" w:space="0"/>
              <w:bottom w:val="single" w:color="auto" w:sz="4" w:space="0"/>
              <w:right w:val="single" w:color="auto" w:sz="4" w:space="0"/>
            </w:tcBorders>
            <w:vAlign w:val="center"/>
          </w:tcPr>
          <w:p>
            <w:pPr>
              <w:pStyle w:val="2"/>
              <w:spacing w:line="360" w:lineRule="exact"/>
              <w:ind w:left="-85"/>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761" w:type="dxa"/>
            <w:tcBorders>
              <w:top w:val="single" w:color="auto" w:sz="4" w:space="0"/>
              <w:left w:val="single" w:color="auto" w:sz="4" w:space="0"/>
              <w:bottom w:val="single" w:color="auto" w:sz="4" w:space="0"/>
              <w:right w:val="single" w:color="auto" w:sz="4" w:space="0"/>
            </w:tcBorders>
            <w:vAlign w:val="center"/>
          </w:tcPr>
          <w:p>
            <w:pPr>
              <w:pStyle w:val="2"/>
              <w:spacing w:line="360" w:lineRule="exact"/>
              <w:ind w:left="-85"/>
              <w:jc w:val="center"/>
              <w:rPr>
                <w:rFonts w:hAnsi="宋体"/>
                <w:szCs w:val="21"/>
              </w:rPr>
            </w:pPr>
          </w:p>
        </w:tc>
        <w:tc>
          <w:tcPr>
            <w:tcW w:w="1815" w:type="dxa"/>
            <w:tcBorders>
              <w:top w:val="single" w:color="auto" w:sz="4" w:space="0"/>
              <w:left w:val="single" w:color="auto" w:sz="4" w:space="0"/>
              <w:bottom w:val="single" w:color="auto" w:sz="4" w:space="0"/>
              <w:right w:val="single" w:color="auto" w:sz="4" w:space="0"/>
            </w:tcBorders>
            <w:vAlign w:val="center"/>
          </w:tcPr>
          <w:p>
            <w:pPr>
              <w:pStyle w:val="2"/>
              <w:spacing w:line="360" w:lineRule="exact"/>
              <w:ind w:left="-85"/>
              <w:jc w:val="center"/>
              <w:rPr>
                <w:rFonts w:hAnsi="宋体"/>
                <w:szCs w:val="21"/>
              </w:rPr>
            </w:pPr>
          </w:p>
        </w:tc>
        <w:tc>
          <w:tcPr>
            <w:tcW w:w="2545" w:type="dxa"/>
            <w:tcBorders>
              <w:top w:val="single" w:color="auto" w:sz="4" w:space="0"/>
              <w:left w:val="single" w:color="auto" w:sz="4" w:space="0"/>
              <w:bottom w:val="single" w:color="auto" w:sz="4" w:space="0"/>
              <w:right w:val="single" w:color="auto" w:sz="4" w:space="0"/>
            </w:tcBorders>
            <w:vAlign w:val="center"/>
          </w:tcPr>
          <w:p>
            <w:pPr>
              <w:pStyle w:val="2"/>
              <w:spacing w:line="360" w:lineRule="exact"/>
              <w:ind w:left="-85"/>
              <w:jc w:val="center"/>
              <w:rPr>
                <w:rFonts w:hAnsi="宋体"/>
                <w:szCs w:val="21"/>
              </w:rPr>
            </w:pPr>
          </w:p>
        </w:tc>
        <w:tc>
          <w:tcPr>
            <w:tcW w:w="2724" w:type="dxa"/>
            <w:tcBorders>
              <w:top w:val="single" w:color="auto" w:sz="4" w:space="0"/>
              <w:left w:val="single" w:color="auto" w:sz="4" w:space="0"/>
              <w:bottom w:val="single" w:color="auto" w:sz="4" w:space="0"/>
              <w:right w:val="single" w:color="auto" w:sz="4" w:space="0"/>
            </w:tcBorders>
            <w:vAlign w:val="center"/>
          </w:tcPr>
          <w:p>
            <w:pPr>
              <w:pStyle w:val="2"/>
              <w:spacing w:line="360" w:lineRule="exact"/>
              <w:ind w:left="-85"/>
              <w:jc w:val="center"/>
              <w:rPr>
                <w:rFonts w:hAnsi="宋体"/>
                <w:szCs w:val="21"/>
              </w:rPr>
            </w:pPr>
          </w:p>
        </w:tc>
        <w:tc>
          <w:tcPr>
            <w:tcW w:w="1731" w:type="dxa"/>
            <w:tcBorders>
              <w:top w:val="single" w:color="auto" w:sz="4" w:space="0"/>
              <w:left w:val="single" w:color="auto" w:sz="4" w:space="0"/>
              <w:bottom w:val="single" w:color="auto" w:sz="4" w:space="0"/>
              <w:right w:val="single" w:color="auto" w:sz="4" w:space="0"/>
            </w:tcBorders>
            <w:vAlign w:val="center"/>
          </w:tcPr>
          <w:p>
            <w:pPr>
              <w:pStyle w:val="2"/>
              <w:spacing w:line="360" w:lineRule="exact"/>
              <w:ind w:left="-85"/>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761" w:type="dxa"/>
            <w:tcBorders>
              <w:top w:val="single" w:color="auto" w:sz="4" w:space="0"/>
              <w:left w:val="single" w:color="auto" w:sz="4" w:space="0"/>
              <w:bottom w:val="single" w:color="auto" w:sz="4" w:space="0"/>
              <w:right w:val="single" w:color="auto" w:sz="4" w:space="0"/>
            </w:tcBorders>
            <w:vAlign w:val="center"/>
          </w:tcPr>
          <w:p>
            <w:pPr>
              <w:pStyle w:val="2"/>
              <w:spacing w:line="360" w:lineRule="exact"/>
              <w:ind w:left="-85"/>
              <w:jc w:val="center"/>
              <w:rPr>
                <w:rFonts w:hAnsi="宋体"/>
                <w:szCs w:val="21"/>
              </w:rPr>
            </w:pPr>
          </w:p>
        </w:tc>
        <w:tc>
          <w:tcPr>
            <w:tcW w:w="1815" w:type="dxa"/>
            <w:tcBorders>
              <w:top w:val="single" w:color="auto" w:sz="4" w:space="0"/>
              <w:left w:val="single" w:color="auto" w:sz="4" w:space="0"/>
              <w:bottom w:val="single" w:color="auto" w:sz="4" w:space="0"/>
              <w:right w:val="single" w:color="auto" w:sz="4" w:space="0"/>
            </w:tcBorders>
            <w:vAlign w:val="center"/>
          </w:tcPr>
          <w:p>
            <w:pPr>
              <w:pStyle w:val="2"/>
              <w:spacing w:line="360" w:lineRule="exact"/>
              <w:ind w:left="-85"/>
              <w:jc w:val="center"/>
              <w:rPr>
                <w:rFonts w:hAnsi="宋体"/>
                <w:szCs w:val="21"/>
              </w:rPr>
            </w:pPr>
          </w:p>
        </w:tc>
        <w:tc>
          <w:tcPr>
            <w:tcW w:w="2545" w:type="dxa"/>
            <w:tcBorders>
              <w:top w:val="single" w:color="auto" w:sz="4" w:space="0"/>
              <w:left w:val="single" w:color="auto" w:sz="4" w:space="0"/>
              <w:bottom w:val="single" w:color="auto" w:sz="4" w:space="0"/>
              <w:right w:val="single" w:color="auto" w:sz="4" w:space="0"/>
            </w:tcBorders>
            <w:vAlign w:val="center"/>
          </w:tcPr>
          <w:p>
            <w:pPr>
              <w:pStyle w:val="2"/>
              <w:spacing w:line="360" w:lineRule="exact"/>
              <w:ind w:left="-85"/>
              <w:jc w:val="center"/>
              <w:rPr>
                <w:rFonts w:hAnsi="宋体"/>
                <w:szCs w:val="21"/>
              </w:rPr>
            </w:pPr>
          </w:p>
        </w:tc>
        <w:tc>
          <w:tcPr>
            <w:tcW w:w="2724" w:type="dxa"/>
            <w:tcBorders>
              <w:top w:val="single" w:color="auto" w:sz="4" w:space="0"/>
              <w:left w:val="single" w:color="auto" w:sz="4" w:space="0"/>
              <w:bottom w:val="single" w:color="auto" w:sz="4" w:space="0"/>
              <w:right w:val="single" w:color="auto" w:sz="4" w:space="0"/>
            </w:tcBorders>
            <w:vAlign w:val="center"/>
          </w:tcPr>
          <w:p>
            <w:pPr>
              <w:pStyle w:val="2"/>
              <w:spacing w:line="360" w:lineRule="exact"/>
              <w:ind w:left="-85"/>
              <w:jc w:val="center"/>
              <w:rPr>
                <w:rFonts w:hAnsi="宋体"/>
                <w:szCs w:val="21"/>
              </w:rPr>
            </w:pPr>
          </w:p>
        </w:tc>
        <w:tc>
          <w:tcPr>
            <w:tcW w:w="1731" w:type="dxa"/>
            <w:tcBorders>
              <w:top w:val="single" w:color="auto" w:sz="4" w:space="0"/>
              <w:left w:val="single" w:color="auto" w:sz="4" w:space="0"/>
              <w:bottom w:val="single" w:color="auto" w:sz="4" w:space="0"/>
              <w:right w:val="single" w:color="auto" w:sz="4" w:space="0"/>
            </w:tcBorders>
            <w:vAlign w:val="center"/>
          </w:tcPr>
          <w:p>
            <w:pPr>
              <w:pStyle w:val="2"/>
              <w:spacing w:line="360" w:lineRule="exact"/>
              <w:ind w:left="-85"/>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761" w:type="dxa"/>
            <w:tcBorders>
              <w:top w:val="single" w:color="auto" w:sz="4" w:space="0"/>
              <w:left w:val="single" w:color="auto" w:sz="4" w:space="0"/>
              <w:bottom w:val="single" w:color="auto" w:sz="4" w:space="0"/>
              <w:right w:val="single" w:color="auto" w:sz="4" w:space="0"/>
            </w:tcBorders>
            <w:vAlign w:val="center"/>
          </w:tcPr>
          <w:p>
            <w:pPr>
              <w:pStyle w:val="2"/>
              <w:spacing w:line="360" w:lineRule="exact"/>
              <w:ind w:left="-85"/>
              <w:jc w:val="center"/>
              <w:rPr>
                <w:rFonts w:hAnsi="宋体"/>
                <w:szCs w:val="21"/>
              </w:rPr>
            </w:pPr>
          </w:p>
        </w:tc>
        <w:tc>
          <w:tcPr>
            <w:tcW w:w="1815" w:type="dxa"/>
            <w:tcBorders>
              <w:top w:val="single" w:color="auto" w:sz="4" w:space="0"/>
              <w:left w:val="single" w:color="auto" w:sz="4" w:space="0"/>
              <w:bottom w:val="single" w:color="auto" w:sz="4" w:space="0"/>
              <w:right w:val="single" w:color="auto" w:sz="4" w:space="0"/>
            </w:tcBorders>
            <w:vAlign w:val="center"/>
          </w:tcPr>
          <w:p>
            <w:pPr>
              <w:pStyle w:val="2"/>
              <w:spacing w:line="360" w:lineRule="exact"/>
              <w:ind w:left="-85"/>
              <w:jc w:val="center"/>
              <w:rPr>
                <w:rFonts w:hAnsi="宋体"/>
                <w:szCs w:val="21"/>
              </w:rPr>
            </w:pPr>
          </w:p>
        </w:tc>
        <w:tc>
          <w:tcPr>
            <w:tcW w:w="2545" w:type="dxa"/>
            <w:tcBorders>
              <w:top w:val="single" w:color="auto" w:sz="4" w:space="0"/>
              <w:left w:val="single" w:color="auto" w:sz="4" w:space="0"/>
              <w:bottom w:val="single" w:color="auto" w:sz="4" w:space="0"/>
              <w:right w:val="single" w:color="auto" w:sz="4" w:space="0"/>
            </w:tcBorders>
            <w:vAlign w:val="center"/>
          </w:tcPr>
          <w:p>
            <w:pPr>
              <w:pStyle w:val="2"/>
              <w:spacing w:line="360" w:lineRule="exact"/>
              <w:ind w:left="-85"/>
              <w:jc w:val="center"/>
              <w:rPr>
                <w:rFonts w:hAnsi="宋体"/>
                <w:szCs w:val="21"/>
              </w:rPr>
            </w:pPr>
          </w:p>
        </w:tc>
        <w:tc>
          <w:tcPr>
            <w:tcW w:w="2724" w:type="dxa"/>
            <w:tcBorders>
              <w:top w:val="single" w:color="auto" w:sz="4" w:space="0"/>
              <w:left w:val="single" w:color="auto" w:sz="4" w:space="0"/>
              <w:bottom w:val="single" w:color="auto" w:sz="4" w:space="0"/>
              <w:right w:val="single" w:color="auto" w:sz="4" w:space="0"/>
            </w:tcBorders>
            <w:vAlign w:val="center"/>
          </w:tcPr>
          <w:p>
            <w:pPr>
              <w:pStyle w:val="2"/>
              <w:spacing w:line="360" w:lineRule="exact"/>
              <w:ind w:left="-85"/>
              <w:jc w:val="center"/>
              <w:rPr>
                <w:rFonts w:hAnsi="宋体"/>
                <w:szCs w:val="21"/>
              </w:rPr>
            </w:pPr>
          </w:p>
        </w:tc>
        <w:tc>
          <w:tcPr>
            <w:tcW w:w="1731" w:type="dxa"/>
            <w:tcBorders>
              <w:top w:val="single" w:color="auto" w:sz="4" w:space="0"/>
              <w:left w:val="single" w:color="auto" w:sz="4" w:space="0"/>
              <w:bottom w:val="single" w:color="auto" w:sz="4" w:space="0"/>
              <w:right w:val="single" w:color="auto" w:sz="4" w:space="0"/>
            </w:tcBorders>
            <w:vAlign w:val="center"/>
          </w:tcPr>
          <w:p>
            <w:pPr>
              <w:pStyle w:val="2"/>
              <w:spacing w:line="360" w:lineRule="exact"/>
              <w:ind w:left="-85"/>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761" w:type="dxa"/>
            <w:tcBorders>
              <w:top w:val="single" w:color="auto" w:sz="4" w:space="0"/>
              <w:left w:val="single" w:color="auto" w:sz="4" w:space="0"/>
              <w:bottom w:val="single" w:color="auto" w:sz="4" w:space="0"/>
              <w:right w:val="single" w:color="auto" w:sz="4" w:space="0"/>
            </w:tcBorders>
            <w:vAlign w:val="center"/>
          </w:tcPr>
          <w:p>
            <w:pPr>
              <w:pStyle w:val="2"/>
              <w:spacing w:line="360" w:lineRule="exact"/>
              <w:ind w:left="-85"/>
              <w:jc w:val="center"/>
              <w:rPr>
                <w:rFonts w:hAnsi="宋体"/>
                <w:szCs w:val="21"/>
              </w:rPr>
            </w:pPr>
          </w:p>
        </w:tc>
        <w:tc>
          <w:tcPr>
            <w:tcW w:w="1815" w:type="dxa"/>
            <w:tcBorders>
              <w:top w:val="single" w:color="auto" w:sz="4" w:space="0"/>
              <w:left w:val="single" w:color="auto" w:sz="4" w:space="0"/>
              <w:bottom w:val="single" w:color="auto" w:sz="4" w:space="0"/>
              <w:right w:val="single" w:color="auto" w:sz="4" w:space="0"/>
            </w:tcBorders>
            <w:vAlign w:val="center"/>
          </w:tcPr>
          <w:p>
            <w:pPr>
              <w:pStyle w:val="2"/>
              <w:spacing w:line="360" w:lineRule="exact"/>
              <w:ind w:left="-85"/>
              <w:jc w:val="center"/>
              <w:rPr>
                <w:rFonts w:hAnsi="宋体"/>
                <w:szCs w:val="21"/>
              </w:rPr>
            </w:pPr>
          </w:p>
        </w:tc>
        <w:tc>
          <w:tcPr>
            <w:tcW w:w="2545" w:type="dxa"/>
            <w:tcBorders>
              <w:top w:val="single" w:color="auto" w:sz="4" w:space="0"/>
              <w:left w:val="single" w:color="auto" w:sz="4" w:space="0"/>
              <w:bottom w:val="single" w:color="auto" w:sz="4" w:space="0"/>
              <w:right w:val="single" w:color="auto" w:sz="4" w:space="0"/>
            </w:tcBorders>
            <w:vAlign w:val="center"/>
          </w:tcPr>
          <w:p>
            <w:pPr>
              <w:pStyle w:val="2"/>
              <w:spacing w:line="360" w:lineRule="exact"/>
              <w:ind w:left="-85"/>
              <w:jc w:val="center"/>
              <w:rPr>
                <w:rFonts w:hAnsi="宋体"/>
                <w:szCs w:val="21"/>
              </w:rPr>
            </w:pPr>
          </w:p>
        </w:tc>
        <w:tc>
          <w:tcPr>
            <w:tcW w:w="2724" w:type="dxa"/>
            <w:tcBorders>
              <w:top w:val="single" w:color="auto" w:sz="4" w:space="0"/>
              <w:left w:val="single" w:color="auto" w:sz="4" w:space="0"/>
              <w:bottom w:val="single" w:color="auto" w:sz="4" w:space="0"/>
              <w:right w:val="single" w:color="auto" w:sz="4" w:space="0"/>
            </w:tcBorders>
            <w:vAlign w:val="center"/>
          </w:tcPr>
          <w:p>
            <w:pPr>
              <w:pStyle w:val="2"/>
              <w:spacing w:line="360" w:lineRule="exact"/>
              <w:ind w:left="-85"/>
              <w:jc w:val="center"/>
              <w:rPr>
                <w:rFonts w:hAnsi="宋体"/>
                <w:szCs w:val="21"/>
              </w:rPr>
            </w:pPr>
          </w:p>
        </w:tc>
        <w:tc>
          <w:tcPr>
            <w:tcW w:w="1731" w:type="dxa"/>
            <w:tcBorders>
              <w:top w:val="single" w:color="auto" w:sz="4" w:space="0"/>
              <w:left w:val="single" w:color="auto" w:sz="4" w:space="0"/>
              <w:bottom w:val="single" w:color="auto" w:sz="4" w:space="0"/>
              <w:right w:val="single" w:color="auto" w:sz="4" w:space="0"/>
            </w:tcBorders>
            <w:vAlign w:val="center"/>
          </w:tcPr>
          <w:p>
            <w:pPr>
              <w:pStyle w:val="2"/>
              <w:spacing w:line="360" w:lineRule="exact"/>
              <w:ind w:left="-85"/>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761" w:type="dxa"/>
            <w:tcBorders>
              <w:top w:val="single" w:color="auto" w:sz="4" w:space="0"/>
              <w:left w:val="single" w:color="auto" w:sz="4" w:space="0"/>
              <w:bottom w:val="single" w:color="auto" w:sz="4" w:space="0"/>
              <w:right w:val="single" w:color="auto" w:sz="4" w:space="0"/>
            </w:tcBorders>
            <w:vAlign w:val="center"/>
          </w:tcPr>
          <w:p>
            <w:pPr>
              <w:pStyle w:val="2"/>
              <w:spacing w:line="360" w:lineRule="exact"/>
              <w:ind w:left="-85"/>
              <w:jc w:val="center"/>
              <w:rPr>
                <w:rFonts w:hAnsi="宋体"/>
                <w:szCs w:val="21"/>
              </w:rPr>
            </w:pPr>
          </w:p>
        </w:tc>
        <w:tc>
          <w:tcPr>
            <w:tcW w:w="1815" w:type="dxa"/>
            <w:tcBorders>
              <w:top w:val="single" w:color="auto" w:sz="4" w:space="0"/>
              <w:left w:val="single" w:color="auto" w:sz="4" w:space="0"/>
              <w:bottom w:val="single" w:color="auto" w:sz="4" w:space="0"/>
              <w:right w:val="single" w:color="auto" w:sz="4" w:space="0"/>
            </w:tcBorders>
            <w:vAlign w:val="center"/>
          </w:tcPr>
          <w:p>
            <w:pPr>
              <w:pStyle w:val="2"/>
              <w:spacing w:line="360" w:lineRule="exact"/>
              <w:ind w:left="-85"/>
              <w:jc w:val="center"/>
              <w:rPr>
                <w:rFonts w:hAnsi="宋体"/>
                <w:szCs w:val="21"/>
              </w:rPr>
            </w:pPr>
          </w:p>
        </w:tc>
        <w:tc>
          <w:tcPr>
            <w:tcW w:w="2545" w:type="dxa"/>
            <w:tcBorders>
              <w:top w:val="single" w:color="auto" w:sz="4" w:space="0"/>
              <w:left w:val="single" w:color="auto" w:sz="4" w:space="0"/>
              <w:bottom w:val="single" w:color="auto" w:sz="4" w:space="0"/>
              <w:right w:val="single" w:color="auto" w:sz="4" w:space="0"/>
            </w:tcBorders>
            <w:vAlign w:val="center"/>
          </w:tcPr>
          <w:p>
            <w:pPr>
              <w:pStyle w:val="2"/>
              <w:spacing w:line="360" w:lineRule="exact"/>
              <w:ind w:left="-85"/>
              <w:jc w:val="center"/>
              <w:rPr>
                <w:rFonts w:hAnsi="宋体"/>
                <w:szCs w:val="21"/>
              </w:rPr>
            </w:pPr>
          </w:p>
        </w:tc>
        <w:tc>
          <w:tcPr>
            <w:tcW w:w="2724" w:type="dxa"/>
            <w:tcBorders>
              <w:top w:val="single" w:color="auto" w:sz="4" w:space="0"/>
              <w:left w:val="single" w:color="auto" w:sz="4" w:space="0"/>
              <w:bottom w:val="single" w:color="auto" w:sz="4" w:space="0"/>
              <w:right w:val="single" w:color="auto" w:sz="4" w:space="0"/>
            </w:tcBorders>
            <w:vAlign w:val="center"/>
          </w:tcPr>
          <w:p>
            <w:pPr>
              <w:pStyle w:val="2"/>
              <w:spacing w:line="360" w:lineRule="exact"/>
              <w:ind w:left="-85"/>
              <w:jc w:val="center"/>
              <w:rPr>
                <w:rFonts w:hAnsi="宋体"/>
                <w:szCs w:val="21"/>
              </w:rPr>
            </w:pPr>
          </w:p>
        </w:tc>
        <w:tc>
          <w:tcPr>
            <w:tcW w:w="1731" w:type="dxa"/>
            <w:tcBorders>
              <w:top w:val="single" w:color="auto" w:sz="4" w:space="0"/>
              <w:left w:val="single" w:color="auto" w:sz="4" w:space="0"/>
              <w:bottom w:val="single" w:color="auto" w:sz="4" w:space="0"/>
              <w:right w:val="single" w:color="auto" w:sz="4" w:space="0"/>
            </w:tcBorders>
            <w:vAlign w:val="center"/>
          </w:tcPr>
          <w:p>
            <w:pPr>
              <w:pStyle w:val="2"/>
              <w:spacing w:line="360" w:lineRule="exact"/>
              <w:ind w:left="-85"/>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761" w:type="dxa"/>
            <w:tcBorders>
              <w:top w:val="single" w:color="auto" w:sz="4" w:space="0"/>
              <w:left w:val="single" w:color="auto" w:sz="4" w:space="0"/>
              <w:bottom w:val="single" w:color="auto" w:sz="4" w:space="0"/>
              <w:right w:val="single" w:color="auto" w:sz="4" w:space="0"/>
            </w:tcBorders>
            <w:vAlign w:val="center"/>
          </w:tcPr>
          <w:p>
            <w:pPr>
              <w:pStyle w:val="2"/>
              <w:spacing w:line="360" w:lineRule="exact"/>
              <w:ind w:left="-85"/>
              <w:jc w:val="center"/>
              <w:rPr>
                <w:rFonts w:hAnsi="宋体"/>
                <w:szCs w:val="21"/>
              </w:rPr>
            </w:pPr>
          </w:p>
        </w:tc>
        <w:tc>
          <w:tcPr>
            <w:tcW w:w="1815" w:type="dxa"/>
            <w:tcBorders>
              <w:top w:val="single" w:color="auto" w:sz="4" w:space="0"/>
              <w:left w:val="single" w:color="auto" w:sz="4" w:space="0"/>
              <w:bottom w:val="single" w:color="auto" w:sz="4" w:space="0"/>
              <w:right w:val="single" w:color="auto" w:sz="4" w:space="0"/>
            </w:tcBorders>
            <w:vAlign w:val="center"/>
          </w:tcPr>
          <w:p>
            <w:pPr>
              <w:pStyle w:val="2"/>
              <w:spacing w:line="360" w:lineRule="exact"/>
              <w:ind w:left="-85"/>
              <w:jc w:val="center"/>
              <w:rPr>
                <w:rFonts w:hAnsi="宋体"/>
                <w:szCs w:val="21"/>
              </w:rPr>
            </w:pPr>
          </w:p>
        </w:tc>
        <w:tc>
          <w:tcPr>
            <w:tcW w:w="2545" w:type="dxa"/>
            <w:tcBorders>
              <w:top w:val="single" w:color="auto" w:sz="4" w:space="0"/>
              <w:left w:val="single" w:color="auto" w:sz="4" w:space="0"/>
              <w:bottom w:val="single" w:color="auto" w:sz="4" w:space="0"/>
              <w:right w:val="single" w:color="auto" w:sz="4" w:space="0"/>
            </w:tcBorders>
            <w:vAlign w:val="center"/>
          </w:tcPr>
          <w:p>
            <w:pPr>
              <w:pStyle w:val="2"/>
              <w:spacing w:line="360" w:lineRule="exact"/>
              <w:ind w:left="-85"/>
              <w:jc w:val="center"/>
              <w:rPr>
                <w:rFonts w:hAnsi="宋体"/>
                <w:szCs w:val="21"/>
              </w:rPr>
            </w:pPr>
          </w:p>
        </w:tc>
        <w:tc>
          <w:tcPr>
            <w:tcW w:w="2724" w:type="dxa"/>
            <w:tcBorders>
              <w:top w:val="single" w:color="auto" w:sz="4" w:space="0"/>
              <w:left w:val="single" w:color="auto" w:sz="4" w:space="0"/>
              <w:bottom w:val="single" w:color="auto" w:sz="4" w:space="0"/>
              <w:right w:val="single" w:color="auto" w:sz="4" w:space="0"/>
            </w:tcBorders>
            <w:vAlign w:val="center"/>
          </w:tcPr>
          <w:p>
            <w:pPr>
              <w:pStyle w:val="2"/>
              <w:spacing w:line="360" w:lineRule="exact"/>
              <w:ind w:left="-85"/>
              <w:jc w:val="center"/>
              <w:rPr>
                <w:rFonts w:hAnsi="宋体"/>
                <w:szCs w:val="21"/>
              </w:rPr>
            </w:pPr>
          </w:p>
        </w:tc>
        <w:tc>
          <w:tcPr>
            <w:tcW w:w="1731" w:type="dxa"/>
            <w:tcBorders>
              <w:top w:val="single" w:color="auto" w:sz="4" w:space="0"/>
              <w:left w:val="single" w:color="auto" w:sz="4" w:space="0"/>
              <w:bottom w:val="single" w:color="auto" w:sz="4" w:space="0"/>
              <w:right w:val="single" w:color="auto" w:sz="4" w:space="0"/>
            </w:tcBorders>
            <w:vAlign w:val="center"/>
          </w:tcPr>
          <w:p>
            <w:pPr>
              <w:pStyle w:val="2"/>
              <w:spacing w:line="360" w:lineRule="exact"/>
              <w:ind w:left="-85"/>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761" w:type="dxa"/>
            <w:tcBorders>
              <w:top w:val="single" w:color="auto" w:sz="4" w:space="0"/>
              <w:left w:val="single" w:color="auto" w:sz="4" w:space="0"/>
              <w:bottom w:val="single" w:color="auto" w:sz="4" w:space="0"/>
              <w:right w:val="single" w:color="auto" w:sz="4" w:space="0"/>
            </w:tcBorders>
            <w:vAlign w:val="center"/>
          </w:tcPr>
          <w:p>
            <w:pPr>
              <w:pStyle w:val="2"/>
              <w:spacing w:line="360" w:lineRule="exact"/>
              <w:ind w:left="-85"/>
              <w:jc w:val="center"/>
              <w:rPr>
                <w:rFonts w:hAnsi="宋体"/>
                <w:szCs w:val="21"/>
              </w:rPr>
            </w:pPr>
          </w:p>
        </w:tc>
        <w:tc>
          <w:tcPr>
            <w:tcW w:w="1815" w:type="dxa"/>
            <w:tcBorders>
              <w:top w:val="single" w:color="auto" w:sz="4" w:space="0"/>
              <w:left w:val="single" w:color="auto" w:sz="4" w:space="0"/>
              <w:bottom w:val="single" w:color="auto" w:sz="4" w:space="0"/>
              <w:right w:val="single" w:color="auto" w:sz="4" w:space="0"/>
            </w:tcBorders>
            <w:vAlign w:val="center"/>
          </w:tcPr>
          <w:p>
            <w:pPr>
              <w:pStyle w:val="2"/>
              <w:spacing w:line="360" w:lineRule="exact"/>
              <w:ind w:left="-85"/>
              <w:jc w:val="center"/>
              <w:rPr>
                <w:rFonts w:hAnsi="宋体"/>
                <w:szCs w:val="21"/>
              </w:rPr>
            </w:pPr>
          </w:p>
        </w:tc>
        <w:tc>
          <w:tcPr>
            <w:tcW w:w="2545" w:type="dxa"/>
            <w:tcBorders>
              <w:top w:val="single" w:color="auto" w:sz="4" w:space="0"/>
              <w:left w:val="single" w:color="auto" w:sz="4" w:space="0"/>
              <w:bottom w:val="single" w:color="auto" w:sz="4" w:space="0"/>
              <w:right w:val="single" w:color="auto" w:sz="4" w:space="0"/>
            </w:tcBorders>
            <w:vAlign w:val="center"/>
          </w:tcPr>
          <w:p>
            <w:pPr>
              <w:pStyle w:val="2"/>
              <w:spacing w:line="360" w:lineRule="exact"/>
              <w:ind w:left="-85"/>
              <w:jc w:val="center"/>
              <w:rPr>
                <w:rFonts w:hAnsi="宋体"/>
                <w:szCs w:val="21"/>
              </w:rPr>
            </w:pPr>
          </w:p>
        </w:tc>
        <w:tc>
          <w:tcPr>
            <w:tcW w:w="2724" w:type="dxa"/>
            <w:tcBorders>
              <w:top w:val="single" w:color="auto" w:sz="4" w:space="0"/>
              <w:left w:val="single" w:color="auto" w:sz="4" w:space="0"/>
              <w:bottom w:val="single" w:color="auto" w:sz="4" w:space="0"/>
              <w:right w:val="single" w:color="auto" w:sz="4" w:space="0"/>
            </w:tcBorders>
            <w:vAlign w:val="center"/>
          </w:tcPr>
          <w:p>
            <w:pPr>
              <w:pStyle w:val="2"/>
              <w:spacing w:line="360" w:lineRule="exact"/>
              <w:ind w:left="-85"/>
              <w:jc w:val="center"/>
              <w:rPr>
                <w:rFonts w:hAnsi="宋体"/>
                <w:szCs w:val="21"/>
              </w:rPr>
            </w:pPr>
          </w:p>
        </w:tc>
        <w:tc>
          <w:tcPr>
            <w:tcW w:w="1731" w:type="dxa"/>
            <w:tcBorders>
              <w:top w:val="single" w:color="auto" w:sz="4" w:space="0"/>
              <w:left w:val="single" w:color="auto" w:sz="4" w:space="0"/>
              <w:bottom w:val="single" w:color="auto" w:sz="4" w:space="0"/>
              <w:right w:val="single" w:color="auto" w:sz="4" w:space="0"/>
            </w:tcBorders>
            <w:vAlign w:val="center"/>
          </w:tcPr>
          <w:p>
            <w:pPr>
              <w:pStyle w:val="2"/>
              <w:spacing w:line="360" w:lineRule="exact"/>
              <w:ind w:left="-85"/>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761" w:type="dxa"/>
            <w:tcBorders>
              <w:top w:val="single" w:color="auto" w:sz="4" w:space="0"/>
              <w:left w:val="single" w:color="auto" w:sz="4" w:space="0"/>
              <w:bottom w:val="single" w:color="auto" w:sz="4" w:space="0"/>
              <w:right w:val="single" w:color="auto" w:sz="4" w:space="0"/>
            </w:tcBorders>
            <w:vAlign w:val="center"/>
          </w:tcPr>
          <w:p>
            <w:pPr>
              <w:pStyle w:val="2"/>
              <w:spacing w:line="360" w:lineRule="exact"/>
              <w:ind w:left="-85"/>
              <w:jc w:val="center"/>
              <w:rPr>
                <w:rFonts w:hAnsi="宋体"/>
                <w:szCs w:val="21"/>
              </w:rPr>
            </w:pPr>
          </w:p>
        </w:tc>
        <w:tc>
          <w:tcPr>
            <w:tcW w:w="1815" w:type="dxa"/>
            <w:tcBorders>
              <w:top w:val="single" w:color="auto" w:sz="4" w:space="0"/>
              <w:left w:val="single" w:color="auto" w:sz="4" w:space="0"/>
              <w:bottom w:val="single" w:color="auto" w:sz="4" w:space="0"/>
              <w:right w:val="single" w:color="auto" w:sz="4" w:space="0"/>
            </w:tcBorders>
            <w:vAlign w:val="center"/>
          </w:tcPr>
          <w:p>
            <w:pPr>
              <w:pStyle w:val="2"/>
              <w:spacing w:line="360" w:lineRule="exact"/>
              <w:ind w:left="-85"/>
              <w:jc w:val="center"/>
              <w:rPr>
                <w:rFonts w:hAnsi="宋体"/>
                <w:szCs w:val="21"/>
              </w:rPr>
            </w:pPr>
          </w:p>
        </w:tc>
        <w:tc>
          <w:tcPr>
            <w:tcW w:w="2545" w:type="dxa"/>
            <w:tcBorders>
              <w:top w:val="single" w:color="auto" w:sz="4" w:space="0"/>
              <w:left w:val="single" w:color="auto" w:sz="4" w:space="0"/>
              <w:bottom w:val="single" w:color="auto" w:sz="4" w:space="0"/>
              <w:right w:val="single" w:color="auto" w:sz="4" w:space="0"/>
            </w:tcBorders>
            <w:vAlign w:val="center"/>
          </w:tcPr>
          <w:p>
            <w:pPr>
              <w:pStyle w:val="2"/>
              <w:spacing w:line="360" w:lineRule="exact"/>
              <w:ind w:left="-85"/>
              <w:jc w:val="center"/>
              <w:rPr>
                <w:rFonts w:hAnsi="宋体"/>
                <w:szCs w:val="21"/>
              </w:rPr>
            </w:pPr>
          </w:p>
        </w:tc>
        <w:tc>
          <w:tcPr>
            <w:tcW w:w="2724" w:type="dxa"/>
            <w:tcBorders>
              <w:top w:val="single" w:color="auto" w:sz="4" w:space="0"/>
              <w:left w:val="single" w:color="auto" w:sz="4" w:space="0"/>
              <w:bottom w:val="single" w:color="auto" w:sz="4" w:space="0"/>
              <w:right w:val="single" w:color="auto" w:sz="4" w:space="0"/>
            </w:tcBorders>
            <w:vAlign w:val="center"/>
          </w:tcPr>
          <w:p>
            <w:pPr>
              <w:pStyle w:val="2"/>
              <w:spacing w:line="360" w:lineRule="exact"/>
              <w:ind w:left="-85"/>
              <w:jc w:val="center"/>
              <w:rPr>
                <w:rFonts w:hAnsi="宋体"/>
                <w:szCs w:val="21"/>
              </w:rPr>
            </w:pPr>
          </w:p>
        </w:tc>
        <w:tc>
          <w:tcPr>
            <w:tcW w:w="1731" w:type="dxa"/>
            <w:tcBorders>
              <w:top w:val="single" w:color="auto" w:sz="4" w:space="0"/>
              <w:left w:val="single" w:color="auto" w:sz="4" w:space="0"/>
              <w:bottom w:val="single" w:color="auto" w:sz="4" w:space="0"/>
              <w:right w:val="single" w:color="auto" w:sz="4" w:space="0"/>
            </w:tcBorders>
            <w:vAlign w:val="center"/>
          </w:tcPr>
          <w:p>
            <w:pPr>
              <w:pStyle w:val="2"/>
              <w:spacing w:line="360" w:lineRule="exact"/>
              <w:ind w:left="-85"/>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761" w:type="dxa"/>
            <w:tcBorders>
              <w:top w:val="single" w:color="auto" w:sz="4" w:space="0"/>
              <w:left w:val="single" w:color="auto" w:sz="4" w:space="0"/>
              <w:bottom w:val="single" w:color="auto" w:sz="4" w:space="0"/>
              <w:right w:val="single" w:color="auto" w:sz="4" w:space="0"/>
            </w:tcBorders>
            <w:vAlign w:val="center"/>
          </w:tcPr>
          <w:p>
            <w:pPr>
              <w:pStyle w:val="2"/>
              <w:spacing w:line="360" w:lineRule="exact"/>
              <w:ind w:left="-85"/>
              <w:jc w:val="center"/>
              <w:rPr>
                <w:rFonts w:hAnsi="宋体"/>
                <w:szCs w:val="21"/>
              </w:rPr>
            </w:pPr>
          </w:p>
        </w:tc>
        <w:tc>
          <w:tcPr>
            <w:tcW w:w="1815" w:type="dxa"/>
            <w:tcBorders>
              <w:top w:val="single" w:color="auto" w:sz="4" w:space="0"/>
              <w:left w:val="single" w:color="auto" w:sz="4" w:space="0"/>
              <w:bottom w:val="single" w:color="auto" w:sz="4" w:space="0"/>
              <w:right w:val="single" w:color="auto" w:sz="4" w:space="0"/>
            </w:tcBorders>
            <w:vAlign w:val="center"/>
          </w:tcPr>
          <w:p>
            <w:pPr>
              <w:pStyle w:val="2"/>
              <w:spacing w:line="360" w:lineRule="exact"/>
              <w:ind w:left="-85"/>
              <w:jc w:val="center"/>
              <w:rPr>
                <w:rFonts w:hAnsi="宋体"/>
                <w:szCs w:val="21"/>
              </w:rPr>
            </w:pPr>
          </w:p>
        </w:tc>
        <w:tc>
          <w:tcPr>
            <w:tcW w:w="2545" w:type="dxa"/>
            <w:tcBorders>
              <w:top w:val="single" w:color="auto" w:sz="4" w:space="0"/>
              <w:left w:val="single" w:color="auto" w:sz="4" w:space="0"/>
              <w:bottom w:val="single" w:color="auto" w:sz="4" w:space="0"/>
              <w:right w:val="single" w:color="auto" w:sz="4" w:space="0"/>
            </w:tcBorders>
            <w:vAlign w:val="center"/>
          </w:tcPr>
          <w:p>
            <w:pPr>
              <w:pStyle w:val="2"/>
              <w:spacing w:line="360" w:lineRule="exact"/>
              <w:ind w:left="-85"/>
              <w:jc w:val="center"/>
              <w:rPr>
                <w:rFonts w:hAnsi="宋体"/>
                <w:szCs w:val="21"/>
              </w:rPr>
            </w:pPr>
          </w:p>
        </w:tc>
        <w:tc>
          <w:tcPr>
            <w:tcW w:w="2724" w:type="dxa"/>
            <w:tcBorders>
              <w:top w:val="single" w:color="auto" w:sz="4" w:space="0"/>
              <w:left w:val="single" w:color="auto" w:sz="4" w:space="0"/>
              <w:bottom w:val="single" w:color="auto" w:sz="4" w:space="0"/>
              <w:right w:val="single" w:color="auto" w:sz="4" w:space="0"/>
            </w:tcBorders>
            <w:vAlign w:val="center"/>
          </w:tcPr>
          <w:p>
            <w:pPr>
              <w:pStyle w:val="2"/>
              <w:spacing w:line="360" w:lineRule="exact"/>
              <w:ind w:left="-85"/>
              <w:jc w:val="center"/>
              <w:rPr>
                <w:rFonts w:hAnsi="宋体"/>
                <w:szCs w:val="21"/>
              </w:rPr>
            </w:pPr>
          </w:p>
        </w:tc>
        <w:tc>
          <w:tcPr>
            <w:tcW w:w="1731" w:type="dxa"/>
            <w:tcBorders>
              <w:top w:val="single" w:color="auto" w:sz="4" w:space="0"/>
              <w:left w:val="single" w:color="auto" w:sz="4" w:space="0"/>
              <w:bottom w:val="single" w:color="auto" w:sz="4" w:space="0"/>
              <w:right w:val="single" w:color="auto" w:sz="4" w:space="0"/>
            </w:tcBorders>
            <w:vAlign w:val="center"/>
          </w:tcPr>
          <w:p>
            <w:pPr>
              <w:pStyle w:val="2"/>
              <w:spacing w:line="360" w:lineRule="exact"/>
              <w:ind w:left="-85"/>
              <w:jc w:val="center"/>
              <w:rPr>
                <w:rFonts w:hAnsi="宋体"/>
                <w:szCs w:val="21"/>
              </w:rPr>
            </w:pPr>
          </w:p>
        </w:tc>
      </w:tr>
    </w:tbl>
    <w:p>
      <w:pPr>
        <w:pStyle w:val="2"/>
        <w:spacing w:line="360" w:lineRule="exact"/>
        <w:ind w:left="-85"/>
        <w:rPr>
          <w:rFonts w:hAnsi="宋体"/>
          <w:szCs w:val="21"/>
        </w:rPr>
      </w:pPr>
    </w:p>
    <w:p>
      <w:pPr>
        <w:pStyle w:val="2"/>
        <w:spacing w:line="360" w:lineRule="exact"/>
        <w:ind w:left="-85"/>
        <w:jc w:val="center"/>
        <w:rPr>
          <w:rFonts w:hAnsi="宋体"/>
          <w:b/>
          <w:bCs/>
          <w:szCs w:val="21"/>
        </w:rPr>
      </w:pPr>
    </w:p>
    <w:p>
      <w:pPr>
        <w:pStyle w:val="2"/>
        <w:spacing w:line="360" w:lineRule="exact"/>
        <w:ind w:left="-85"/>
        <w:jc w:val="center"/>
        <w:rPr>
          <w:rFonts w:hAnsi="宋体"/>
          <w:b/>
          <w:bCs/>
          <w:szCs w:val="21"/>
        </w:rPr>
      </w:pPr>
    </w:p>
    <w:p>
      <w:pPr>
        <w:pStyle w:val="2"/>
        <w:spacing w:line="360" w:lineRule="exact"/>
        <w:rPr>
          <w:rFonts w:hAnsi="宋体"/>
          <w:szCs w:val="21"/>
        </w:rPr>
      </w:pPr>
    </w:p>
    <w:p>
      <w:pPr>
        <w:pStyle w:val="2"/>
        <w:spacing w:line="360" w:lineRule="exact"/>
        <w:rPr>
          <w:rFonts w:hAnsi="宋体"/>
          <w:szCs w:val="21"/>
        </w:rPr>
      </w:pPr>
    </w:p>
    <w:p>
      <w:pPr>
        <w:pStyle w:val="2"/>
        <w:spacing w:line="360" w:lineRule="exact"/>
        <w:rPr>
          <w:rFonts w:hAnsi="宋体"/>
          <w:szCs w:val="21"/>
        </w:rPr>
      </w:pPr>
    </w:p>
    <w:p>
      <w:pPr>
        <w:pStyle w:val="2"/>
        <w:spacing w:line="360" w:lineRule="exact"/>
        <w:rPr>
          <w:rFonts w:hAnsi="宋体"/>
          <w:szCs w:val="21"/>
        </w:rPr>
      </w:pPr>
      <w:r>
        <w:rPr>
          <w:rFonts w:hint="eastAsia" w:hAnsi="宋体"/>
          <w:szCs w:val="21"/>
        </w:rPr>
        <w:t xml:space="preserve">供应商（盖章）：  </w:t>
      </w:r>
    </w:p>
    <w:p>
      <w:pPr>
        <w:pStyle w:val="2"/>
        <w:spacing w:line="360" w:lineRule="exact"/>
        <w:rPr>
          <w:rFonts w:hAnsi="宋体"/>
          <w:szCs w:val="21"/>
        </w:rPr>
      </w:pPr>
    </w:p>
    <w:p>
      <w:pPr>
        <w:pStyle w:val="2"/>
        <w:spacing w:line="360" w:lineRule="exact"/>
        <w:rPr>
          <w:rFonts w:hAnsi="宋体"/>
          <w:szCs w:val="21"/>
        </w:rPr>
      </w:pPr>
    </w:p>
    <w:p>
      <w:pPr>
        <w:pStyle w:val="2"/>
        <w:spacing w:line="360" w:lineRule="exact"/>
        <w:rPr>
          <w:rFonts w:hAnsi="宋体"/>
          <w:szCs w:val="21"/>
        </w:rPr>
      </w:pPr>
    </w:p>
    <w:p>
      <w:pPr>
        <w:pStyle w:val="2"/>
        <w:spacing w:line="360" w:lineRule="exact"/>
        <w:rPr>
          <w:rFonts w:hAnsi="宋体"/>
          <w:szCs w:val="21"/>
        </w:rPr>
      </w:pPr>
    </w:p>
    <w:p>
      <w:pPr>
        <w:pStyle w:val="2"/>
        <w:spacing w:line="360" w:lineRule="exact"/>
        <w:rPr>
          <w:rFonts w:hAnsi="宋体"/>
          <w:szCs w:val="21"/>
        </w:rPr>
      </w:pPr>
      <w:r>
        <w:rPr>
          <w:rFonts w:hint="eastAsia" w:hAnsi="宋体"/>
          <w:szCs w:val="21"/>
        </w:rPr>
        <w:t xml:space="preserve">法定代表人或委托代理人（签字）： </w:t>
      </w:r>
    </w:p>
    <w:p>
      <w:pPr>
        <w:pStyle w:val="2"/>
        <w:spacing w:line="360" w:lineRule="exact"/>
        <w:ind w:left="-85"/>
        <w:rPr>
          <w:rFonts w:hAnsi="宋体"/>
          <w:szCs w:val="21"/>
        </w:rPr>
      </w:pPr>
    </w:p>
    <w:p>
      <w:pPr>
        <w:pStyle w:val="2"/>
        <w:spacing w:line="360" w:lineRule="exact"/>
        <w:ind w:left="-85" w:firstLine="5250" w:firstLineChars="2500"/>
        <w:rPr>
          <w:rFonts w:hAnsi="宋体"/>
          <w:szCs w:val="21"/>
        </w:rPr>
      </w:pPr>
    </w:p>
    <w:p>
      <w:pPr>
        <w:pStyle w:val="2"/>
        <w:spacing w:line="360" w:lineRule="exact"/>
        <w:ind w:left="-85" w:firstLine="5250" w:firstLineChars="2500"/>
        <w:rPr>
          <w:rFonts w:hAnsi="宋体"/>
          <w:szCs w:val="21"/>
        </w:rPr>
      </w:pPr>
    </w:p>
    <w:p>
      <w:pPr>
        <w:pStyle w:val="2"/>
        <w:spacing w:line="360" w:lineRule="exact"/>
        <w:ind w:left="-85" w:firstLine="5250" w:firstLineChars="2500"/>
        <w:rPr>
          <w:rFonts w:hAnsi="宋体"/>
          <w:szCs w:val="21"/>
        </w:rPr>
      </w:pPr>
    </w:p>
    <w:p>
      <w:pPr>
        <w:pStyle w:val="2"/>
        <w:spacing w:line="360" w:lineRule="exact"/>
        <w:ind w:left="-85" w:firstLine="5250" w:firstLineChars="2500"/>
        <w:rPr>
          <w:rFonts w:hAnsi="宋体"/>
          <w:szCs w:val="21"/>
        </w:rPr>
      </w:pPr>
    </w:p>
    <w:p>
      <w:pPr>
        <w:pStyle w:val="2"/>
        <w:spacing w:line="360" w:lineRule="exact"/>
        <w:ind w:left="-85" w:firstLine="5250" w:firstLineChars="2500"/>
        <w:rPr>
          <w:rFonts w:hAnsi="宋体"/>
          <w:szCs w:val="21"/>
        </w:rPr>
      </w:pPr>
    </w:p>
    <w:p>
      <w:pPr>
        <w:outlineLvl w:val="1"/>
        <w:rPr>
          <w:rFonts w:ascii="宋体" w:hAnsi="宋体" w:cs="宋体"/>
          <w:bCs/>
          <w:sz w:val="24"/>
          <w:szCs w:val="24"/>
        </w:rPr>
      </w:pPr>
      <w:r>
        <w:rPr>
          <w:rFonts w:hint="eastAsia" w:hAnsi="宋体"/>
          <w:szCs w:val="21"/>
        </w:rPr>
        <w:t xml:space="preserve"> 年     月     日</w:t>
      </w:r>
    </w:p>
    <w:p>
      <w:pPr>
        <w:outlineLvl w:val="1"/>
        <w:rPr>
          <w:rFonts w:ascii="宋体" w:hAnsi="宋体" w:cs="宋体"/>
          <w:bCs/>
          <w:sz w:val="24"/>
          <w:szCs w:val="24"/>
        </w:rPr>
      </w:pPr>
    </w:p>
    <w:p>
      <w:pPr>
        <w:outlineLvl w:val="1"/>
        <w:rPr>
          <w:rFonts w:ascii="宋体" w:hAnsi="宋体"/>
          <w:b/>
          <w:spacing w:val="20"/>
          <w:position w:val="2"/>
          <w:sz w:val="24"/>
        </w:rPr>
      </w:pPr>
      <w:r>
        <w:rPr>
          <w:rFonts w:hint="eastAsia" w:ascii="宋体" w:hAnsi="宋体" w:cs="宋体"/>
          <w:bCs/>
          <w:sz w:val="24"/>
          <w:szCs w:val="24"/>
        </w:rPr>
        <w:t>附件8</w:t>
      </w:r>
    </w:p>
    <w:p>
      <w:pPr>
        <w:spacing w:line="300" w:lineRule="auto"/>
        <w:ind w:firstLine="3652" w:firstLineChars="1300"/>
        <w:rPr>
          <w:rFonts w:ascii="宋体" w:hAnsi="宋体"/>
          <w:b/>
          <w:spacing w:val="20"/>
          <w:position w:val="2"/>
          <w:sz w:val="24"/>
        </w:rPr>
      </w:pPr>
    </w:p>
    <w:p>
      <w:pPr>
        <w:spacing w:line="300" w:lineRule="auto"/>
        <w:ind w:firstLine="3652" w:firstLineChars="1300"/>
        <w:rPr>
          <w:rFonts w:ascii="宋体" w:hAnsi="宋体"/>
          <w:b/>
          <w:spacing w:val="20"/>
          <w:position w:val="2"/>
          <w:sz w:val="24"/>
        </w:rPr>
      </w:pPr>
      <w:r>
        <w:rPr>
          <w:rFonts w:hint="eastAsia" w:ascii="宋体" w:hAnsi="宋体"/>
          <w:b/>
          <w:spacing w:val="20"/>
          <w:position w:val="2"/>
          <w:sz w:val="24"/>
        </w:rPr>
        <w:t>交纳磋商保证金的银行凭证</w:t>
      </w:r>
    </w:p>
    <w:p>
      <w:pPr>
        <w:spacing w:line="300" w:lineRule="auto"/>
        <w:jc w:val="center"/>
        <w:rPr>
          <w:rFonts w:ascii="宋体" w:hAnsi="宋体"/>
          <w:szCs w:val="21"/>
        </w:rPr>
      </w:pPr>
      <w:r>
        <w:rPr>
          <w:rFonts w:hint="eastAsia" w:ascii="宋体" w:hAnsi="宋体"/>
          <w:szCs w:val="21"/>
        </w:rPr>
        <w:tab/>
      </w:r>
      <w:r>
        <w:rPr>
          <w:rFonts w:hint="eastAsia" w:ascii="宋体" w:hAnsi="宋体"/>
          <w:szCs w:val="21"/>
        </w:rPr>
        <w:tab/>
      </w:r>
      <w:r>
        <w:rPr>
          <w:rFonts w:hint="eastAsia" w:ascii="宋体" w:hAnsi="宋体"/>
          <w:szCs w:val="21"/>
        </w:rPr>
        <w:tab/>
      </w:r>
      <w:r>
        <w:rPr>
          <w:rFonts w:hint="eastAsia" w:ascii="宋体" w:hAnsi="宋体"/>
          <w:szCs w:val="21"/>
        </w:rPr>
        <w:tab/>
      </w:r>
      <w:r>
        <w:rPr>
          <w:rFonts w:hint="eastAsia" w:ascii="宋体" w:hAnsi="宋体"/>
          <w:szCs w:val="21"/>
        </w:rPr>
        <w:tab/>
      </w:r>
      <w:r>
        <w:rPr>
          <w:rFonts w:hint="eastAsia" w:ascii="宋体" w:hAnsi="宋体"/>
          <w:szCs w:val="21"/>
        </w:rPr>
        <w:tab/>
      </w:r>
      <w:r>
        <w:rPr>
          <w:rFonts w:hint="eastAsia" w:ascii="宋体" w:hAnsi="宋体"/>
          <w:szCs w:val="21"/>
        </w:rPr>
        <w:tab/>
      </w:r>
      <w:r>
        <w:rPr>
          <w:rFonts w:hint="eastAsia" w:ascii="宋体" w:hAnsi="宋体"/>
          <w:szCs w:val="21"/>
        </w:rPr>
        <w:tab/>
      </w:r>
      <w:r>
        <w:rPr>
          <w:rFonts w:hint="eastAsia" w:ascii="宋体" w:hAnsi="宋体"/>
          <w:szCs w:val="21"/>
        </w:rPr>
        <w:tab/>
      </w:r>
      <w:r>
        <w:rPr>
          <w:rFonts w:hint="eastAsia" w:ascii="宋体" w:hAnsi="宋体"/>
          <w:szCs w:val="21"/>
        </w:rPr>
        <w:t xml:space="preserve">         </w:t>
      </w:r>
    </w:p>
    <w:p>
      <w:pPr>
        <w:spacing w:line="300" w:lineRule="auto"/>
        <w:rPr>
          <w:rFonts w:ascii="宋体" w:hAnsi="宋体"/>
          <w:szCs w:val="21"/>
        </w:rPr>
      </w:pPr>
      <w:r>
        <w:rPr>
          <w:rFonts w:hint="eastAsia" w:ascii="宋体" w:hAnsi="宋体"/>
          <w:szCs w:val="21"/>
          <w:u w:val="single"/>
        </w:rPr>
        <w:t>江西久和招标服务有限公司</w:t>
      </w:r>
    </w:p>
    <w:p>
      <w:pPr>
        <w:spacing w:line="300" w:lineRule="auto"/>
        <w:rPr>
          <w:rFonts w:ascii="宋体" w:hAnsi="宋体"/>
          <w:szCs w:val="21"/>
        </w:rPr>
      </w:pPr>
      <w:r>
        <w:rPr>
          <w:rFonts w:hint="eastAsia" w:ascii="宋体" w:hAnsi="宋体"/>
          <w:szCs w:val="21"/>
        </w:rPr>
        <w:t xml:space="preserve">    </w:t>
      </w:r>
      <w:r>
        <w:rPr>
          <w:rFonts w:hint="eastAsia" w:ascii="宋体" w:hAnsi="宋体"/>
          <w:szCs w:val="21"/>
          <w:u w:val="single"/>
        </w:rPr>
        <w:t xml:space="preserve">           </w:t>
      </w:r>
      <w:r>
        <w:rPr>
          <w:rFonts w:hint="eastAsia" w:ascii="楷体_GB2312" w:hAnsi="宋体"/>
          <w:szCs w:val="21"/>
          <w:u w:val="single"/>
        </w:rPr>
        <w:t>（供应商全称)</w:t>
      </w:r>
      <w:r>
        <w:rPr>
          <w:rFonts w:hint="eastAsia" w:ascii="宋体" w:hAnsi="宋体"/>
          <w:szCs w:val="21"/>
          <w:u w:val="single"/>
        </w:rPr>
        <w:t xml:space="preserve"> </w:t>
      </w:r>
      <w:r>
        <w:rPr>
          <w:rFonts w:hint="eastAsia" w:ascii="宋体" w:hAnsi="宋体"/>
          <w:szCs w:val="21"/>
        </w:rPr>
        <w:t>参加贵方组织的，采购项目（项目编号：     ）的采购活动。按磋商文件的规定，已递交人民币</w:t>
      </w:r>
      <w:r>
        <w:rPr>
          <w:rFonts w:hint="eastAsia" w:ascii="宋体" w:hAnsi="宋体"/>
          <w:szCs w:val="21"/>
          <w:u w:val="single"/>
        </w:rPr>
        <w:t xml:space="preserve">（大写）  　　  </w:t>
      </w:r>
      <w:r>
        <w:rPr>
          <w:rFonts w:hint="eastAsia" w:ascii="宋体" w:hAnsi="宋体"/>
          <w:szCs w:val="21"/>
        </w:rPr>
        <w:t>元的磋商保证金。</w:t>
      </w:r>
    </w:p>
    <w:p>
      <w:pPr>
        <w:spacing w:line="300" w:lineRule="auto"/>
        <w:ind w:firstLine="420" w:firstLineChars="200"/>
        <w:rPr>
          <w:rFonts w:ascii="宋体" w:hAnsi="宋体"/>
          <w:szCs w:val="21"/>
        </w:rPr>
      </w:pPr>
      <w:r>
        <w:rPr>
          <w:rFonts w:hint="eastAsia" w:ascii="宋体" w:hAnsi="宋体"/>
          <w:szCs w:val="21"/>
        </w:rPr>
        <w:t>供应商名称：</w:t>
      </w:r>
      <w:r>
        <w:rPr>
          <w:rFonts w:hint="eastAsia" w:ascii="宋体" w:hAnsi="宋体"/>
          <w:szCs w:val="21"/>
          <w:u w:val="single"/>
        </w:rPr>
        <w:t xml:space="preserve">                     </w:t>
      </w:r>
    </w:p>
    <w:p>
      <w:pPr>
        <w:spacing w:line="300" w:lineRule="auto"/>
        <w:ind w:firstLine="420" w:firstLineChars="200"/>
        <w:rPr>
          <w:rFonts w:ascii="宋体" w:hAnsi="宋体"/>
          <w:szCs w:val="21"/>
        </w:rPr>
      </w:pPr>
      <w:r>
        <w:rPr>
          <w:rFonts w:hint="eastAsia" w:ascii="宋体" w:hAnsi="宋体"/>
          <w:szCs w:val="21"/>
        </w:rPr>
        <w:t>供应商开户银行：</w:t>
      </w:r>
      <w:r>
        <w:rPr>
          <w:rFonts w:hint="eastAsia" w:ascii="宋体" w:hAnsi="宋体"/>
          <w:szCs w:val="21"/>
          <w:u w:val="single"/>
        </w:rPr>
        <w:t xml:space="preserve">                 </w:t>
      </w:r>
    </w:p>
    <w:p>
      <w:pPr>
        <w:spacing w:line="300" w:lineRule="auto"/>
        <w:ind w:firstLine="420" w:firstLineChars="200"/>
        <w:rPr>
          <w:rFonts w:ascii="宋体" w:hAnsi="宋体"/>
          <w:szCs w:val="21"/>
          <w:u w:val="single"/>
        </w:rPr>
      </w:pPr>
      <w:r>
        <w:rPr>
          <w:rFonts w:hint="eastAsia" w:ascii="宋体" w:hAnsi="宋体"/>
          <w:szCs w:val="21"/>
        </w:rPr>
        <w:t>供应商银行账号：</w:t>
      </w:r>
      <w:r>
        <w:rPr>
          <w:rFonts w:hint="eastAsia" w:ascii="宋体" w:hAnsi="宋体"/>
          <w:szCs w:val="21"/>
          <w:u w:val="single"/>
        </w:rPr>
        <w:t xml:space="preserve">                 </w:t>
      </w:r>
    </w:p>
    <w:p>
      <w:pPr>
        <w:spacing w:line="300" w:lineRule="auto"/>
        <w:ind w:firstLine="420" w:firstLineChars="200"/>
        <w:rPr>
          <w:rFonts w:ascii="宋体" w:hAnsi="宋体"/>
          <w:szCs w:val="21"/>
        </w:rPr>
      </w:pPr>
    </w:p>
    <w:p>
      <w:pPr>
        <w:spacing w:line="300" w:lineRule="auto"/>
        <w:jc w:val="center"/>
        <w:rPr>
          <w:rFonts w:ascii="宋体" w:hAnsi="宋体"/>
          <w:szCs w:val="21"/>
          <w:u w:val="single"/>
        </w:rPr>
      </w:pPr>
      <w:r>
        <w:rPr>
          <w:rFonts w:hint="eastAsia" w:ascii="宋体" w:hAnsi="宋体"/>
          <w:szCs w:val="21"/>
        </w:rPr>
        <w:t xml:space="preserve">       供应商(签章)：</w:t>
      </w:r>
      <w:r>
        <w:rPr>
          <w:rFonts w:hint="eastAsia" w:ascii="宋体" w:hAnsi="宋体"/>
          <w:szCs w:val="21"/>
          <w:u w:val="single"/>
        </w:rPr>
        <w:t xml:space="preserve">                </w:t>
      </w:r>
    </w:p>
    <w:p>
      <w:pPr>
        <w:spacing w:line="300" w:lineRule="auto"/>
        <w:ind w:firstLine="3570" w:firstLineChars="1700"/>
        <w:rPr>
          <w:rFonts w:ascii="宋体" w:hAnsi="宋体"/>
          <w:szCs w:val="21"/>
          <w:u w:val="single"/>
        </w:rPr>
      </w:pPr>
      <w:r>
        <w:rPr>
          <w:rFonts w:hint="eastAsia" w:ascii="宋体" w:hAnsi="宋体"/>
          <w:szCs w:val="21"/>
        </w:rPr>
        <w:t xml:space="preserve"> 法定代表人或授权委托代理人(签字)：</w:t>
      </w:r>
      <w:r>
        <w:rPr>
          <w:rFonts w:hint="eastAsia" w:ascii="宋体" w:hAnsi="宋体"/>
          <w:szCs w:val="21"/>
          <w:u w:val="single"/>
        </w:rPr>
        <w:t xml:space="preserve">               </w:t>
      </w:r>
    </w:p>
    <w:p>
      <w:pPr>
        <w:spacing w:line="300" w:lineRule="auto"/>
        <w:jc w:val="right"/>
        <w:rPr>
          <w:rFonts w:ascii="宋体" w:hAnsi="宋体"/>
          <w:b/>
          <w:szCs w:val="21"/>
        </w:rPr>
      </w:pP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tbl>
      <w:tblPr>
        <w:tblStyle w:val="28"/>
        <w:tblpPr w:leftFromText="180" w:rightFromText="180" w:vertAnchor="text" w:horzAnchor="margin" w:tblpY="257"/>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2" w:hRule="atLeast"/>
        </w:trPr>
        <w:tc>
          <w:tcPr>
            <w:tcW w:w="10031" w:type="dxa"/>
            <w:tcBorders>
              <w:top w:val="single" w:color="auto" w:sz="4" w:space="0"/>
              <w:left w:val="single" w:color="auto" w:sz="4" w:space="0"/>
              <w:bottom w:val="single" w:color="auto" w:sz="4" w:space="0"/>
              <w:right w:val="single" w:color="auto" w:sz="4" w:space="0"/>
            </w:tcBorders>
          </w:tcPr>
          <w:p>
            <w:pPr>
              <w:spacing w:line="300" w:lineRule="auto"/>
              <w:rPr>
                <w:rFonts w:ascii="宋体" w:hAnsi="宋体"/>
                <w:b/>
                <w:szCs w:val="21"/>
              </w:rPr>
            </w:pPr>
            <w:r>
              <w:rPr>
                <w:rFonts w:hint="eastAsia"/>
                <w:b/>
                <w:szCs w:val="21"/>
              </w:rPr>
              <w:t>粘贴</w:t>
            </w:r>
            <w:r>
              <w:rPr>
                <w:rFonts w:hint="eastAsia" w:ascii="宋体" w:hAnsi="宋体"/>
                <w:b/>
                <w:szCs w:val="21"/>
              </w:rPr>
              <w:t>磋商保证金交纳</w:t>
            </w:r>
            <w:r>
              <w:rPr>
                <w:rFonts w:hint="eastAsia"/>
                <w:b/>
                <w:szCs w:val="21"/>
              </w:rPr>
              <w:t>凭证</w:t>
            </w:r>
          </w:p>
        </w:tc>
      </w:tr>
    </w:tbl>
    <w:p>
      <w:pPr>
        <w:spacing w:before="46" w:after="46" w:line="360" w:lineRule="exact"/>
        <w:ind w:left="900" w:hanging="900"/>
        <w:rPr>
          <w:rFonts w:ascii="宋体" w:hAnsi="宋体"/>
          <w:szCs w:val="21"/>
        </w:rPr>
      </w:pPr>
    </w:p>
    <w:p>
      <w:pPr>
        <w:spacing w:before="46" w:after="46" w:line="360" w:lineRule="exact"/>
        <w:ind w:left="900" w:hanging="900"/>
        <w:rPr>
          <w:rFonts w:ascii="宋体" w:hAnsi="宋体"/>
          <w:szCs w:val="21"/>
        </w:rPr>
      </w:pPr>
    </w:p>
    <w:p>
      <w:pPr>
        <w:spacing w:before="46" w:after="46" w:line="360" w:lineRule="exact"/>
        <w:ind w:left="900" w:hanging="900"/>
        <w:rPr>
          <w:rFonts w:ascii="宋体" w:hAnsi="宋体"/>
          <w:sz w:val="24"/>
          <w:szCs w:val="24"/>
        </w:rPr>
      </w:pPr>
      <w:r>
        <w:rPr>
          <w:rFonts w:hint="eastAsia" w:ascii="宋体" w:hAnsi="宋体"/>
          <w:szCs w:val="21"/>
        </w:rPr>
        <w:t>注：请供应商认真填写银行信息，（</w:t>
      </w:r>
      <w:r>
        <w:rPr>
          <w:rFonts w:hint="eastAsia" w:ascii="宋体" w:hAnsi="宋体"/>
          <w:i/>
          <w:iCs/>
          <w:szCs w:val="21"/>
        </w:rPr>
        <w:t>注明 ：</w:t>
      </w:r>
      <w:r>
        <w:rPr>
          <w:i/>
          <w:szCs w:val="21"/>
          <w:u w:val="single"/>
        </w:rPr>
        <w:t>项目名称、</w:t>
      </w:r>
      <w:r>
        <w:rPr>
          <w:rFonts w:hint="eastAsia"/>
          <w:i/>
          <w:szCs w:val="21"/>
          <w:u w:val="single"/>
        </w:rPr>
        <w:t>项目</w:t>
      </w:r>
      <w:r>
        <w:rPr>
          <w:i/>
          <w:szCs w:val="21"/>
          <w:u w:val="single"/>
        </w:rPr>
        <w:t>编号</w:t>
      </w:r>
      <w:r>
        <w:rPr>
          <w:rFonts w:hint="eastAsia"/>
          <w:i/>
          <w:szCs w:val="21"/>
          <w:u w:val="single"/>
        </w:rPr>
        <w:t>、包号）</w:t>
      </w:r>
      <w:r>
        <w:rPr>
          <w:rFonts w:hint="eastAsia" w:ascii="宋体" w:hAnsi="宋体"/>
          <w:szCs w:val="21"/>
        </w:rPr>
        <w:t>并要求与转帐或电汇银行凭证的相关信息一致，采购代理机构将依据此凭证信息退还磋商保证金。</w:t>
      </w:r>
    </w:p>
    <w:p>
      <w:pPr>
        <w:pStyle w:val="2"/>
      </w:pPr>
      <w:bookmarkStart w:id="123" w:name="_Toc419905270"/>
      <w:bookmarkStart w:id="124" w:name="OLE_LINK2"/>
    </w:p>
    <w:p>
      <w:pPr>
        <w:pStyle w:val="2"/>
        <w:rPr>
          <w:kern w:val="0"/>
        </w:rPr>
      </w:pPr>
    </w:p>
    <w:p>
      <w:pPr>
        <w:pStyle w:val="2"/>
        <w:rPr>
          <w:kern w:val="0"/>
        </w:rPr>
      </w:pPr>
    </w:p>
    <w:p>
      <w:pPr>
        <w:pStyle w:val="2"/>
        <w:rPr>
          <w:kern w:val="0"/>
        </w:rPr>
      </w:pPr>
    </w:p>
    <w:p>
      <w:pPr>
        <w:pStyle w:val="2"/>
        <w:rPr>
          <w:kern w:val="0"/>
        </w:rPr>
      </w:pPr>
    </w:p>
    <w:p>
      <w:pPr>
        <w:pStyle w:val="2"/>
        <w:rPr>
          <w:kern w:val="0"/>
        </w:rPr>
      </w:pPr>
    </w:p>
    <w:p>
      <w:pPr>
        <w:pStyle w:val="2"/>
        <w:rPr>
          <w:kern w:val="0"/>
        </w:rPr>
      </w:pPr>
    </w:p>
    <w:p>
      <w:pPr>
        <w:outlineLvl w:val="1"/>
        <w:rPr>
          <w:rFonts w:ascii="宋体" w:hAnsi="宋体" w:cs="宋体"/>
          <w:bCs/>
          <w:sz w:val="24"/>
          <w:szCs w:val="24"/>
        </w:rPr>
      </w:pPr>
      <w:r>
        <w:rPr>
          <w:rFonts w:hint="eastAsia" w:ascii="宋体" w:hAnsi="宋体" w:cs="宋体"/>
          <w:bCs/>
          <w:sz w:val="24"/>
          <w:szCs w:val="24"/>
        </w:rPr>
        <w:t>附件9</w:t>
      </w:r>
    </w:p>
    <w:p>
      <w:pPr>
        <w:keepNext/>
        <w:keepLines/>
        <w:spacing w:before="260" w:after="260" w:line="412" w:lineRule="auto"/>
        <w:ind w:firstLine="628"/>
        <w:jc w:val="center"/>
        <w:outlineLvl w:val="1"/>
        <w:rPr>
          <w:rFonts w:ascii="宋体" w:hAnsi="宋体" w:cs="宋体"/>
          <w:b/>
          <w:bCs/>
          <w:kern w:val="0"/>
          <w:sz w:val="24"/>
          <w:szCs w:val="24"/>
        </w:rPr>
      </w:pPr>
      <w:bookmarkStart w:id="125" w:name="_Toc464464223"/>
      <w:r>
        <w:rPr>
          <w:rFonts w:hint="eastAsia" w:ascii="宋体" w:hAnsi="宋体" w:cs="宋体"/>
          <w:b/>
          <w:bCs/>
          <w:kern w:val="0"/>
          <w:sz w:val="24"/>
          <w:szCs w:val="24"/>
        </w:rPr>
        <w:t>磋商供应商关于无重大违法记录书面声明函（格式）</w:t>
      </w:r>
      <w:bookmarkEnd w:id="123"/>
      <w:bookmarkEnd w:id="125"/>
    </w:p>
    <w:p>
      <w:pPr>
        <w:spacing w:line="480" w:lineRule="auto"/>
        <w:rPr>
          <w:rFonts w:ascii="宋体" w:hAnsi="宋体"/>
          <w:szCs w:val="21"/>
        </w:rPr>
      </w:pPr>
      <w:r>
        <w:rPr>
          <w:rFonts w:hint="eastAsia" w:ascii="宋体" w:hAnsi="宋体"/>
          <w:szCs w:val="21"/>
        </w:rPr>
        <w:t>致：江西久和招标服务有限公司</w:t>
      </w:r>
    </w:p>
    <w:p>
      <w:pPr>
        <w:spacing w:line="480" w:lineRule="auto"/>
        <w:ind w:left="540" w:leftChars="257" w:firstLine="420" w:firstLineChars="200"/>
        <w:rPr>
          <w:rFonts w:ascii="宋体" w:hAnsi="宋体"/>
          <w:szCs w:val="21"/>
        </w:rPr>
      </w:pPr>
      <w:r>
        <w:rPr>
          <w:rFonts w:hint="eastAsia" w:ascii="宋体" w:hAnsi="宋体"/>
          <w:szCs w:val="21"/>
        </w:rPr>
        <w:t>我公司在参加本次采购活动前三年内，在经营活动中没有因违法经营受到刑事处罚或者责令停产停业、吊销许可证或者执照、较大数额罚款等重大违法记录。</w:t>
      </w:r>
    </w:p>
    <w:p>
      <w:pPr>
        <w:spacing w:line="480" w:lineRule="auto"/>
        <w:ind w:left="540"/>
        <w:rPr>
          <w:rFonts w:ascii="宋体" w:hAnsi="宋体"/>
          <w:szCs w:val="21"/>
        </w:rPr>
      </w:pPr>
      <w:r>
        <w:rPr>
          <w:rFonts w:hint="eastAsia" w:ascii="宋体" w:hAnsi="宋体"/>
          <w:szCs w:val="21"/>
        </w:rPr>
        <w:t>特此声明。</w:t>
      </w:r>
    </w:p>
    <w:p>
      <w:pPr>
        <w:spacing w:line="480" w:lineRule="auto"/>
        <w:ind w:left="540" w:leftChars="257" w:firstLine="4305" w:firstLineChars="2050"/>
        <w:rPr>
          <w:rFonts w:ascii="宋体" w:hAnsi="宋体"/>
          <w:szCs w:val="21"/>
        </w:rPr>
      </w:pPr>
      <w:r>
        <w:rPr>
          <w:rFonts w:hint="eastAsia" w:ascii="宋体" w:hAnsi="宋体"/>
          <w:szCs w:val="21"/>
        </w:rPr>
        <w:t>供应商名称（公章）</w:t>
      </w:r>
    </w:p>
    <w:p>
      <w:pPr>
        <w:spacing w:line="480" w:lineRule="auto"/>
        <w:ind w:right="540"/>
        <w:jc w:val="center"/>
        <w:rPr>
          <w:rFonts w:ascii="宋体" w:hAnsi="宋体"/>
          <w:szCs w:val="21"/>
        </w:rPr>
      </w:pPr>
      <w:r>
        <w:rPr>
          <w:rFonts w:hint="eastAsia" w:ascii="宋体" w:hAnsi="宋体"/>
          <w:szCs w:val="21"/>
        </w:rPr>
        <w:t xml:space="preserve">                         法定代表人或授权委托代理人（签字）   </w:t>
      </w:r>
    </w:p>
    <w:p>
      <w:pPr>
        <w:spacing w:line="480" w:lineRule="auto"/>
        <w:ind w:right="540"/>
        <w:jc w:val="center"/>
        <w:rPr>
          <w:rFonts w:ascii="宋体" w:hAnsi="宋体"/>
          <w:szCs w:val="21"/>
        </w:rPr>
      </w:pPr>
      <w:r>
        <w:rPr>
          <w:rFonts w:hint="eastAsia" w:ascii="宋体" w:hAnsi="宋体"/>
          <w:szCs w:val="21"/>
        </w:rPr>
        <w:t xml:space="preserve">                       年   月   日</w:t>
      </w:r>
      <w:bookmarkEnd w:id="124"/>
    </w:p>
    <w:p>
      <w:pPr>
        <w:spacing w:line="480" w:lineRule="auto"/>
        <w:ind w:right="540"/>
        <w:jc w:val="center"/>
        <w:rPr>
          <w:rFonts w:ascii="宋体" w:hAnsi="宋体"/>
          <w:szCs w:val="21"/>
        </w:rPr>
      </w:pPr>
    </w:p>
    <w:p>
      <w:pPr>
        <w:pStyle w:val="11"/>
      </w:pPr>
    </w:p>
    <w:p>
      <w:pPr>
        <w:outlineLvl w:val="1"/>
        <w:rPr>
          <w:rFonts w:ascii="宋体" w:hAnsi="宋体" w:cs="宋体"/>
          <w:bCs/>
          <w:sz w:val="24"/>
          <w:szCs w:val="24"/>
        </w:rPr>
      </w:pPr>
    </w:p>
    <w:p>
      <w:pPr>
        <w:outlineLvl w:val="1"/>
        <w:rPr>
          <w:rFonts w:ascii="宋体" w:hAnsi="宋体" w:cs="宋体"/>
          <w:bCs/>
          <w:sz w:val="24"/>
          <w:szCs w:val="24"/>
        </w:rPr>
      </w:pPr>
    </w:p>
    <w:p>
      <w:pPr>
        <w:outlineLvl w:val="1"/>
        <w:rPr>
          <w:rFonts w:ascii="宋体" w:hAnsi="宋体" w:cs="宋体"/>
          <w:bCs/>
          <w:sz w:val="24"/>
          <w:szCs w:val="24"/>
        </w:rPr>
      </w:pPr>
    </w:p>
    <w:p>
      <w:pPr>
        <w:outlineLvl w:val="1"/>
        <w:rPr>
          <w:rFonts w:ascii="宋体" w:hAnsi="宋体" w:cs="宋体"/>
          <w:bCs/>
          <w:sz w:val="24"/>
          <w:szCs w:val="24"/>
        </w:rPr>
      </w:pPr>
    </w:p>
    <w:p>
      <w:pPr>
        <w:outlineLvl w:val="1"/>
        <w:rPr>
          <w:rFonts w:ascii="宋体" w:hAnsi="宋体" w:cs="宋体"/>
          <w:bCs/>
          <w:sz w:val="24"/>
          <w:szCs w:val="24"/>
        </w:rPr>
      </w:pPr>
    </w:p>
    <w:p>
      <w:pPr>
        <w:outlineLvl w:val="1"/>
        <w:rPr>
          <w:rFonts w:ascii="宋体" w:hAnsi="宋体" w:cs="宋体"/>
          <w:bCs/>
          <w:sz w:val="24"/>
          <w:szCs w:val="24"/>
        </w:rPr>
      </w:pPr>
    </w:p>
    <w:p>
      <w:pPr>
        <w:outlineLvl w:val="1"/>
        <w:rPr>
          <w:rFonts w:ascii="宋体" w:hAnsi="宋体" w:cs="宋体"/>
          <w:bCs/>
          <w:sz w:val="24"/>
          <w:szCs w:val="24"/>
        </w:rPr>
      </w:pPr>
    </w:p>
    <w:p>
      <w:pPr>
        <w:outlineLvl w:val="1"/>
        <w:rPr>
          <w:rFonts w:ascii="宋体" w:hAnsi="宋体" w:cs="宋体"/>
          <w:bCs/>
          <w:sz w:val="24"/>
          <w:szCs w:val="24"/>
        </w:rPr>
      </w:pPr>
    </w:p>
    <w:p>
      <w:pPr>
        <w:outlineLvl w:val="1"/>
        <w:rPr>
          <w:rFonts w:ascii="宋体" w:hAnsi="宋体" w:cs="宋体"/>
          <w:bCs/>
          <w:sz w:val="24"/>
          <w:szCs w:val="24"/>
        </w:rPr>
      </w:pPr>
    </w:p>
    <w:p>
      <w:pPr>
        <w:outlineLvl w:val="1"/>
        <w:rPr>
          <w:rFonts w:ascii="宋体" w:hAnsi="宋体" w:cs="宋体"/>
          <w:bCs/>
          <w:sz w:val="24"/>
          <w:szCs w:val="24"/>
        </w:rPr>
      </w:pPr>
    </w:p>
    <w:p>
      <w:pPr>
        <w:outlineLvl w:val="1"/>
        <w:rPr>
          <w:rFonts w:ascii="宋体" w:hAnsi="宋体" w:cs="宋体"/>
          <w:bCs/>
          <w:sz w:val="24"/>
          <w:szCs w:val="24"/>
        </w:rPr>
      </w:pPr>
    </w:p>
    <w:p>
      <w:pPr>
        <w:outlineLvl w:val="1"/>
        <w:rPr>
          <w:rFonts w:ascii="宋体" w:hAnsi="宋体" w:cs="宋体"/>
          <w:bCs/>
          <w:sz w:val="24"/>
          <w:szCs w:val="24"/>
        </w:rPr>
      </w:pPr>
    </w:p>
    <w:p>
      <w:pPr>
        <w:outlineLvl w:val="1"/>
        <w:rPr>
          <w:rFonts w:ascii="宋体" w:hAnsi="宋体" w:cs="宋体"/>
          <w:bCs/>
          <w:sz w:val="24"/>
          <w:szCs w:val="24"/>
        </w:rPr>
      </w:pPr>
    </w:p>
    <w:p>
      <w:pPr>
        <w:outlineLvl w:val="1"/>
        <w:rPr>
          <w:rFonts w:ascii="宋体" w:hAnsi="宋体" w:cs="宋体"/>
          <w:bCs/>
          <w:sz w:val="24"/>
          <w:szCs w:val="24"/>
        </w:rPr>
      </w:pPr>
    </w:p>
    <w:p>
      <w:pPr>
        <w:outlineLvl w:val="1"/>
        <w:rPr>
          <w:rFonts w:ascii="宋体" w:hAnsi="宋体" w:cs="宋体"/>
          <w:bCs/>
          <w:sz w:val="24"/>
          <w:szCs w:val="24"/>
        </w:rPr>
      </w:pPr>
    </w:p>
    <w:p>
      <w:pPr>
        <w:outlineLvl w:val="1"/>
        <w:rPr>
          <w:rFonts w:ascii="宋体" w:hAnsi="宋体" w:cs="宋体"/>
          <w:bCs/>
          <w:sz w:val="24"/>
          <w:szCs w:val="24"/>
        </w:rPr>
      </w:pPr>
    </w:p>
    <w:p>
      <w:pPr>
        <w:outlineLvl w:val="1"/>
        <w:rPr>
          <w:rFonts w:ascii="宋体" w:hAnsi="宋体" w:cs="宋体"/>
          <w:bCs/>
          <w:sz w:val="24"/>
          <w:szCs w:val="24"/>
        </w:rPr>
      </w:pPr>
    </w:p>
    <w:p>
      <w:pPr>
        <w:pStyle w:val="2"/>
      </w:pPr>
    </w:p>
    <w:p>
      <w:pPr>
        <w:pStyle w:val="2"/>
      </w:pPr>
    </w:p>
    <w:p>
      <w:pPr>
        <w:outlineLvl w:val="1"/>
        <w:rPr>
          <w:rFonts w:ascii="宋体" w:hAnsi="宋体" w:cs="宋体"/>
          <w:bCs/>
          <w:sz w:val="24"/>
          <w:szCs w:val="24"/>
        </w:rPr>
      </w:pPr>
      <w:r>
        <w:rPr>
          <w:rFonts w:hint="eastAsia" w:ascii="宋体" w:hAnsi="宋体" w:cs="宋体"/>
          <w:bCs/>
          <w:sz w:val="24"/>
          <w:szCs w:val="24"/>
        </w:rPr>
        <w:t>附件10</w:t>
      </w:r>
    </w:p>
    <w:p>
      <w:pPr>
        <w:spacing w:line="480" w:lineRule="auto"/>
        <w:ind w:right="540"/>
        <w:jc w:val="center"/>
        <w:rPr>
          <w:rFonts w:ascii="宋体" w:hAnsi="宋体"/>
          <w:szCs w:val="21"/>
        </w:rPr>
      </w:pPr>
    </w:p>
    <w:p>
      <w:pPr>
        <w:keepNext/>
        <w:keepLines/>
        <w:ind w:firstLine="3012" w:firstLineChars="1250"/>
        <w:jc w:val="left"/>
        <w:outlineLvl w:val="1"/>
        <w:rPr>
          <w:rFonts w:ascii="宋体" w:hAnsi="宋体"/>
          <w:b/>
          <w:sz w:val="24"/>
          <w:szCs w:val="24"/>
        </w:rPr>
      </w:pPr>
      <w:bookmarkStart w:id="126" w:name="_Toc419905271"/>
      <w:bookmarkStart w:id="127" w:name="_Toc464464224"/>
      <w:r>
        <w:rPr>
          <w:rFonts w:hint="eastAsia" w:ascii="宋体" w:hAnsi="宋体"/>
          <w:b/>
          <w:sz w:val="24"/>
          <w:szCs w:val="24"/>
        </w:rPr>
        <w:t>招标代理服务费承诺书（格式）</w:t>
      </w:r>
      <w:bookmarkEnd w:id="126"/>
      <w:bookmarkEnd w:id="127"/>
    </w:p>
    <w:p>
      <w:pPr>
        <w:spacing w:line="480" w:lineRule="auto"/>
        <w:rPr>
          <w:rFonts w:ascii="宋体" w:hAnsi="宋体"/>
          <w:szCs w:val="21"/>
        </w:rPr>
      </w:pPr>
    </w:p>
    <w:p>
      <w:pPr>
        <w:spacing w:line="480" w:lineRule="auto"/>
        <w:rPr>
          <w:rFonts w:ascii="宋体" w:hAnsi="宋体"/>
          <w:szCs w:val="21"/>
        </w:rPr>
      </w:pPr>
      <w:r>
        <w:rPr>
          <w:rFonts w:hint="eastAsia" w:ascii="宋体" w:hAnsi="宋体"/>
          <w:szCs w:val="21"/>
        </w:rPr>
        <w:t>致：江西久和招标服务有限公司</w:t>
      </w:r>
    </w:p>
    <w:p>
      <w:pPr>
        <w:widowControl/>
        <w:spacing w:line="480" w:lineRule="auto"/>
        <w:ind w:firstLine="420" w:firstLineChars="200"/>
        <w:jc w:val="left"/>
        <w:rPr>
          <w:rFonts w:ascii="宋体" w:hAnsi="宋体"/>
          <w:szCs w:val="21"/>
        </w:rPr>
      </w:pPr>
      <w:r>
        <w:rPr>
          <w:rFonts w:hint="eastAsia" w:ascii="宋体" w:hAnsi="宋体"/>
          <w:szCs w:val="21"/>
        </w:rPr>
        <w:t>我们在贵公司组织</w:t>
      </w:r>
      <w:r>
        <w:rPr>
          <w:rFonts w:hint="eastAsia" w:ascii="宋体" w:hAnsi="宋体"/>
          <w:szCs w:val="21"/>
          <w:lang w:eastAsia="zh-CN"/>
        </w:rPr>
        <w:t>的</w:t>
      </w:r>
      <w:r>
        <w:rPr>
          <w:rFonts w:hint="eastAsia" w:ascii="宋体" w:hAnsi="宋体"/>
          <w:szCs w:val="21"/>
          <w:lang w:val="en-US" w:eastAsia="zh-CN"/>
        </w:rPr>
        <w:t xml:space="preserve">            </w:t>
      </w:r>
      <w:r>
        <w:rPr>
          <w:rFonts w:hint="eastAsia" w:ascii="宋体" w:hAnsi="宋体"/>
          <w:szCs w:val="21"/>
        </w:rPr>
        <w:t>项目磋商</w:t>
      </w:r>
      <w:r>
        <w:rPr>
          <w:rFonts w:hint="eastAsia" w:ascii="宋体" w:hAnsi="宋体"/>
          <w:szCs w:val="21"/>
          <w:lang w:eastAsia="zh-CN"/>
        </w:rPr>
        <w:t>中</w:t>
      </w:r>
      <w:r>
        <w:rPr>
          <w:rFonts w:hint="eastAsia" w:ascii="宋体" w:hAnsi="宋体"/>
          <w:szCs w:val="21"/>
        </w:rPr>
        <w:t>（项目编号：　　　　　　），如获中标，我们保证按竞争性磋商磋商文件的规定，以现金或经贵公司认可的其他付款方式，向贵公司缴交招标代理服务费，缴纳后领取中标通知书及采购合同。</w:t>
      </w:r>
    </w:p>
    <w:p>
      <w:pPr>
        <w:widowControl/>
        <w:spacing w:line="480" w:lineRule="auto"/>
        <w:jc w:val="left"/>
        <w:rPr>
          <w:rFonts w:ascii="宋体" w:hAnsi="宋体"/>
          <w:szCs w:val="21"/>
        </w:rPr>
      </w:pPr>
      <w:r>
        <w:rPr>
          <w:rFonts w:hint="eastAsia" w:ascii="宋体" w:hAnsi="宋体"/>
          <w:szCs w:val="21"/>
        </w:rPr>
        <w:t>我方如违反上述承诺，所提交的上述项目的磋商保证金将不予退还我方，我方对此无异议。</w:t>
      </w:r>
    </w:p>
    <w:p>
      <w:pPr>
        <w:widowControl/>
        <w:spacing w:line="480" w:lineRule="auto"/>
        <w:jc w:val="left"/>
        <w:rPr>
          <w:rFonts w:ascii="宋体" w:hAnsi="宋体"/>
          <w:szCs w:val="21"/>
        </w:rPr>
      </w:pPr>
      <w:r>
        <w:rPr>
          <w:rFonts w:hint="eastAsia" w:ascii="宋体" w:hAnsi="宋体"/>
          <w:szCs w:val="21"/>
        </w:rPr>
        <w:t>特此承诺！</w:t>
      </w:r>
    </w:p>
    <w:p>
      <w:pPr>
        <w:widowControl/>
        <w:spacing w:line="480" w:lineRule="auto"/>
        <w:ind w:firstLine="2625" w:firstLineChars="1250"/>
        <w:rPr>
          <w:rFonts w:ascii="宋体" w:hAnsi="宋体"/>
          <w:szCs w:val="21"/>
        </w:rPr>
      </w:pPr>
      <w:r>
        <w:rPr>
          <w:rFonts w:hint="eastAsia" w:ascii="宋体" w:hAnsi="宋体"/>
          <w:szCs w:val="21"/>
        </w:rPr>
        <w:t>供应商名称（公章）</w:t>
      </w:r>
    </w:p>
    <w:p>
      <w:pPr>
        <w:widowControl/>
        <w:spacing w:line="480" w:lineRule="auto"/>
        <w:rPr>
          <w:rFonts w:ascii="宋体" w:hAnsi="宋体"/>
          <w:szCs w:val="21"/>
        </w:rPr>
      </w:pPr>
      <w:r>
        <w:rPr>
          <w:rFonts w:hint="eastAsia" w:ascii="宋体" w:hAnsi="宋体"/>
          <w:szCs w:val="21"/>
        </w:rPr>
        <w:t xml:space="preserve">                         法定代表人或授权委托代理人（签字）：</w:t>
      </w:r>
    </w:p>
    <w:p>
      <w:pPr>
        <w:widowControl/>
        <w:spacing w:line="480" w:lineRule="auto"/>
        <w:ind w:firstLine="2625" w:firstLineChars="1250"/>
        <w:jc w:val="right"/>
        <w:rPr>
          <w:rFonts w:ascii="宋体" w:hAnsi="宋体"/>
          <w:sz w:val="24"/>
          <w:szCs w:val="24"/>
        </w:rPr>
      </w:pPr>
      <w:r>
        <w:rPr>
          <w:rFonts w:hint="eastAsia" w:ascii="宋体" w:hAnsi="宋体"/>
          <w:szCs w:val="21"/>
        </w:rPr>
        <w:t>年    月   日</w:t>
      </w:r>
    </w:p>
    <w:p>
      <w:pPr>
        <w:widowControl/>
        <w:spacing w:line="480" w:lineRule="auto"/>
        <w:ind w:firstLine="480" w:firstLineChars="200"/>
        <w:jc w:val="left"/>
        <w:rPr>
          <w:rFonts w:ascii="宋体" w:hAnsi="宋体"/>
          <w:sz w:val="24"/>
          <w:szCs w:val="24"/>
        </w:rPr>
      </w:pPr>
    </w:p>
    <w:p>
      <w:pPr>
        <w:widowControl/>
        <w:spacing w:line="480" w:lineRule="auto"/>
        <w:jc w:val="left"/>
        <w:rPr>
          <w:rFonts w:ascii="宋体" w:hAnsi="宋体"/>
          <w:sz w:val="24"/>
          <w:szCs w:val="24"/>
        </w:rPr>
      </w:pPr>
    </w:p>
    <w:p>
      <w:pPr>
        <w:widowControl/>
        <w:spacing w:line="480" w:lineRule="auto"/>
        <w:jc w:val="left"/>
        <w:rPr>
          <w:rFonts w:ascii="宋体" w:hAnsi="宋体"/>
          <w:sz w:val="24"/>
          <w:szCs w:val="24"/>
        </w:rPr>
      </w:pPr>
    </w:p>
    <w:p>
      <w:pPr>
        <w:widowControl/>
        <w:spacing w:line="480" w:lineRule="auto"/>
        <w:jc w:val="left"/>
        <w:rPr>
          <w:rFonts w:ascii="宋体" w:hAnsi="宋体"/>
          <w:sz w:val="24"/>
          <w:szCs w:val="24"/>
        </w:rPr>
      </w:pPr>
    </w:p>
    <w:p>
      <w:pPr>
        <w:widowControl/>
        <w:spacing w:line="480" w:lineRule="auto"/>
        <w:jc w:val="left"/>
        <w:rPr>
          <w:rFonts w:ascii="宋体" w:hAnsi="宋体"/>
          <w:sz w:val="24"/>
          <w:szCs w:val="24"/>
        </w:rPr>
      </w:pPr>
    </w:p>
    <w:p>
      <w:pPr>
        <w:widowControl/>
        <w:spacing w:line="480" w:lineRule="auto"/>
        <w:jc w:val="left"/>
        <w:rPr>
          <w:rFonts w:ascii="宋体" w:hAnsi="宋体"/>
          <w:sz w:val="24"/>
          <w:szCs w:val="24"/>
        </w:rPr>
      </w:pPr>
    </w:p>
    <w:p>
      <w:pPr>
        <w:widowControl/>
        <w:spacing w:line="480" w:lineRule="auto"/>
        <w:jc w:val="left"/>
        <w:rPr>
          <w:rFonts w:ascii="宋体" w:hAnsi="宋体"/>
          <w:sz w:val="24"/>
          <w:szCs w:val="24"/>
        </w:rPr>
      </w:pPr>
    </w:p>
    <w:p>
      <w:pPr>
        <w:widowControl/>
        <w:spacing w:line="480" w:lineRule="auto"/>
        <w:jc w:val="left"/>
        <w:rPr>
          <w:rFonts w:ascii="宋体" w:hAnsi="宋体"/>
          <w:sz w:val="24"/>
          <w:szCs w:val="24"/>
        </w:rPr>
      </w:pPr>
    </w:p>
    <w:p>
      <w:pPr>
        <w:widowControl/>
        <w:spacing w:line="480" w:lineRule="auto"/>
        <w:jc w:val="left"/>
        <w:rPr>
          <w:rFonts w:ascii="宋体" w:hAnsi="宋体"/>
          <w:sz w:val="24"/>
          <w:szCs w:val="24"/>
        </w:rPr>
      </w:pPr>
    </w:p>
    <w:p>
      <w:pPr>
        <w:widowControl/>
        <w:spacing w:line="480" w:lineRule="auto"/>
        <w:jc w:val="left"/>
        <w:rPr>
          <w:rFonts w:ascii="宋体" w:hAnsi="宋体"/>
          <w:sz w:val="24"/>
          <w:szCs w:val="24"/>
        </w:rPr>
      </w:pPr>
      <w:r>
        <w:rPr>
          <w:rFonts w:hint="eastAsia" w:ascii="宋体" w:hAnsi="宋体"/>
          <w:sz w:val="24"/>
          <w:szCs w:val="24"/>
        </w:rPr>
        <w:t>附件11</w:t>
      </w:r>
    </w:p>
    <w:bookmarkEnd w:id="118"/>
    <w:p>
      <w:pPr>
        <w:jc w:val="center"/>
        <w:outlineLvl w:val="1"/>
        <w:rPr>
          <w:rFonts w:ascii="宋体" w:hAnsi="宋体" w:cs="宋体"/>
          <w:bCs/>
          <w:sz w:val="24"/>
          <w:szCs w:val="24"/>
        </w:rPr>
      </w:pPr>
      <w:bookmarkStart w:id="128" w:name="_Toc464464225"/>
      <w:bookmarkStart w:id="129" w:name="_Toc335421088"/>
      <w:bookmarkStart w:id="130" w:name="_Toc314063840"/>
      <w:bookmarkStart w:id="131" w:name="_Toc335421094"/>
      <w:bookmarkStart w:id="132" w:name="_Toc314063846"/>
      <w:r>
        <w:rPr>
          <w:rFonts w:hint="eastAsia" w:ascii="宋体" w:hAnsi="宋体" w:cs="宋体"/>
          <w:b/>
          <w:sz w:val="24"/>
          <w:szCs w:val="24"/>
        </w:rPr>
        <w:t>安全责任确认书（格式）</w:t>
      </w:r>
    </w:p>
    <w:p>
      <w:pPr>
        <w:outlineLvl w:val="1"/>
        <w:rPr>
          <w:rFonts w:ascii="宋体" w:hAnsi="宋体" w:cs="宋体"/>
          <w:bCs/>
          <w:szCs w:val="21"/>
        </w:rPr>
      </w:pPr>
      <w:r>
        <w:rPr>
          <w:rFonts w:hint="eastAsia" w:ascii="宋体" w:hAnsi="宋体" w:cs="宋体"/>
          <w:bCs/>
          <w:szCs w:val="21"/>
        </w:rPr>
        <w:t>致江西久和招标服务有限公司：</w:t>
      </w:r>
    </w:p>
    <w:p>
      <w:pPr>
        <w:outlineLvl w:val="1"/>
        <w:rPr>
          <w:rFonts w:ascii="宋体" w:hAnsi="宋体" w:cs="宋体"/>
          <w:bCs/>
          <w:szCs w:val="21"/>
        </w:rPr>
      </w:pPr>
      <w:r>
        <w:rPr>
          <w:rFonts w:hint="eastAsia" w:ascii="宋体" w:hAnsi="宋体" w:cs="宋体"/>
          <w:bCs/>
          <w:szCs w:val="21"/>
        </w:rPr>
        <w:t xml:space="preserve">  　 我公司在参加               项目磋商</w:t>
      </w:r>
      <w:r>
        <w:rPr>
          <w:rFonts w:hint="eastAsia" w:ascii="宋体" w:hAnsi="宋体" w:cs="宋体"/>
          <w:bCs/>
          <w:szCs w:val="21"/>
          <w:lang w:eastAsia="zh-CN"/>
        </w:rPr>
        <w:t>中</w:t>
      </w:r>
      <w:r>
        <w:rPr>
          <w:rFonts w:hint="eastAsia" w:ascii="宋体" w:hAnsi="宋体" w:cs="宋体"/>
          <w:bCs/>
          <w:szCs w:val="21"/>
        </w:rPr>
        <w:t>（项目编号：           ），如获中标，我公司承诺本项目所涉及的运输、施工、安装、调试、售后、维修、维护等一切相关的所有安全和意外事故由我公司全部负责，贵方不承担任何责任。</w:t>
      </w:r>
    </w:p>
    <w:p>
      <w:pPr>
        <w:outlineLvl w:val="1"/>
        <w:rPr>
          <w:rFonts w:ascii="宋体" w:hAnsi="宋体" w:cs="宋体"/>
          <w:bCs/>
          <w:szCs w:val="21"/>
        </w:rPr>
      </w:pPr>
      <w:r>
        <w:rPr>
          <w:rFonts w:hint="eastAsia" w:ascii="宋体" w:hAnsi="宋体" w:cs="宋体"/>
          <w:bCs/>
          <w:szCs w:val="21"/>
        </w:rPr>
        <w:t>特此承诺！</w:t>
      </w:r>
    </w:p>
    <w:p>
      <w:pPr>
        <w:outlineLvl w:val="1"/>
        <w:rPr>
          <w:rFonts w:ascii="宋体" w:hAnsi="宋体" w:cs="宋体"/>
          <w:bCs/>
          <w:szCs w:val="21"/>
        </w:rPr>
      </w:pPr>
    </w:p>
    <w:p>
      <w:pPr>
        <w:outlineLvl w:val="1"/>
        <w:rPr>
          <w:rFonts w:ascii="宋体" w:hAnsi="宋体" w:cs="宋体"/>
          <w:bCs/>
          <w:szCs w:val="21"/>
        </w:rPr>
      </w:pPr>
      <w:r>
        <w:rPr>
          <w:rFonts w:hint="eastAsia" w:ascii="宋体" w:hAnsi="宋体" w:cs="宋体"/>
          <w:bCs/>
          <w:szCs w:val="21"/>
        </w:rPr>
        <w:t>　　　　　　　　　　　　　　　　　　　　　　　　　供应商（单位盖章）：</w:t>
      </w:r>
    </w:p>
    <w:p>
      <w:pPr>
        <w:jc w:val="right"/>
        <w:outlineLvl w:val="1"/>
        <w:rPr>
          <w:rFonts w:ascii="宋体" w:hAnsi="宋体" w:cs="宋体"/>
          <w:bCs/>
          <w:szCs w:val="21"/>
        </w:rPr>
      </w:pPr>
      <w:r>
        <w:rPr>
          <w:rFonts w:hint="eastAsia" w:ascii="宋体" w:hAnsi="宋体" w:cs="宋体"/>
          <w:bCs/>
          <w:szCs w:val="21"/>
        </w:rPr>
        <w:t>法定代表人或其授权人（签字或盖章）：</w:t>
      </w:r>
    </w:p>
    <w:p>
      <w:pPr>
        <w:jc w:val="center"/>
        <w:outlineLvl w:val="1"/>
        <w:rPr>
          <w:rFonts w:ascii="宋体" w:hAnsi="宋体" w:cs="宋体"/>
          <w:bCs/>
          <w:szCs w:val="21"/>
        </w:rPr>
      </w:pPr>
      <w:r>
        <w:rPr>
          <w:rFonts w:hint="eastAsia" w:ascii="宋体" w:hAnsi="宋体" w:cs="宋体"/>
          <w:bCs/>
          <w:szCs w:val="21"/>
        </w:rPr>
        <w:t>　　　　　　　　　　　　年  月  日</w:t>
      </w:r>
    </w:p>
    <w:p>
      <w:pPr>
        <w:outlineLvl w:val="1"/>
        <w:rPr>
          <w:rFonts w:ascii="宋体" w:hAnsi="宋体" w:cs="宋体"/>
          <w:bCs/>
          <w:sz w:val="24"/>
          <w:szCs w:val="24"/>
        </w:rPr>
      </w:pPr>
    </w:p>
    <w:p>
      <w:pPr>
        <w:outlineLvl w:val="1"/>
        <w:rPr>
          <w:rFonts w:ascii="宋体" w:hAnsi="宋体" w:cs="宋体"/>
          <w:bCs/>
          <w:sz w:val="24"/>
          <w:szCs w:val="24"/>
        </w:rPr>
      </w:pPr>
    </w:p>
    <w:p>
      <w:pPr>
        <w:outlineLvl w:val="1"/>
        <w:rPr>
          <w:rFonts w:ascii="宋体" w:hAnsi="宋体" w:cs="宋体"/>
          <w:bCs/>
          <w:sz w:val="24"/>
          <w:szCs w:val="24"/>
        </w:rPr>
      </w:pPr>
    </w:p>
    <w:p>
      <w:pPr>
        <w:outlineLvl w:val="1"/>
        <w:rPr>
          <w:rFonts w:ascii="宋体" w:hAnsi="宋体" w:cs="宋体"/>
          <w:bCs/>
          <w:sz w:val="24"/>
          <w:szCs w:val="24"/>
        </w:rPr>
      </w:pPr>
    </w:p>
    <w:p>
      <w:pPr>
        <w:outlineLvl w:val="1"/>
        <w:rPr>
          <w:rFonts w:ascii="宋体" w:hAnsi="宋体" w:cs="宋体"/>
          <w:bCs/>
          <w:sz w:val="24"/>
          <w:szCs w:val="24"/>
        </w:rPr>
      </w:pPr>
    </w:p>
    <w:p>
      <w:pPr>
        <w:pStyle w:val="2"/>
        <w:rPr>
          <w:rFonts w:hAnsi="宋体" w:cs="宋体"/>
          <w:bCs/>
          <w:sz w:val="24"/>
          <w:szCs w:val="24"/>
        </w:rPr>
      </w:pPr>
    </w:p>
    <w:p>
      <w:pPr>
        <w:pStyle w:val="3"/>
        <w:rPr>
          <w:rFonts w:ascii="宋体" w:hAnsi="宋体" w:cs="宋体"/>
          <w:sz w:val="24"/>
          <w:szCs w:val="24"/>
        </w:rPr>
      </w:pPr>
    </w:p>
    <w:p>
      <w:pPr>
        <w:rPr>
          <w:rFonts w:ascii="宋体" w:hAnsi="宋体" w:cs="宋体"/>
          <w:bCs/>
          <w:sz w:val="24"/>
          <w:szCs w:val="24"/>
        </w:rPr>
      </w:pPr>
    </w:p>
    <w:p>
      <w:pPr>
        <w:pStyle w:val="2"/>
        <w:rPr>
          <w:rFonts w:hAnsi="宋体" w:cs="宋体"/>
          <w:bCs/>
          <w:sz w:val="24"/>
          <w:szCs w:val="24"/>
        </w:rPr>
      </w:pPr>
    </w:p>
    <w:p>
      <w:pPr>
        <w:pStyle w:val="3"/>
        <w:rPr>
          <w:rFonts w:ascii="宋体" w:hAnsi="宋体" w:cs="宋体"/>
          <w:sz w:val="24"/>
          <w:szCs w:val="24"/>
        </w:rPr>
      </w:pPr>
    </w:p>
    <w:p>
      <w:pPr>
        <w:rPr>
          <w:rFonts w:ascii="宋体" w:hAnsi="宋体" w:cs="宋体"/>
          <w:bCs/>
          <w:sz w:val="24"/>
          <w:szCs w:val="24"/>
        </w:rPr>
      </w:pPr>
    </w:p>
    <w:p>
      <w:pPr>
        <w:pStyle w:val="2"/>
        <w:rPr>
          <w:rFonts w:hAnsi="宋体" w:cs="宋体"/>
          <w:bCs/>
          <w:sz w:val="24"/>
          <w:szCs w:val="24"/>
        </w:rPr>
      </w:pPr>
    </w:p>
    <w:p>
      <w:pPr>
        <w:pStyle w:val="3"/>
        <w:rPr>
          <w:rFonts w:ascii="宋体" w:hAnsi="宋体" w:cs="宋体"/>
          <w:sz w:val="24"/>
          <w:szCs w:val="24"/>
        </w:rPr>
      </w:pPr>
    </w:p>
    <w:p>
      <w:pPr>
        <w:rPr>
          <w:rFonts w:ascii="宋体" w:hAnsi="宋体" w:cs="宋体"/>
          <w:bCs/>
          <w:sz w:val="24"/>
          <w:szCs w:val="24"/>
        </w:rPr>
      </w:pPr>
    </w:p>
    <w:p>
      <w:pPr>
        <w:pStyle w:val="2"/>
        <w:rPr>
          <w:rFonts w:hAnsi="宋体" w:cs="宋体"/>
          <w:bCs/>
          <w:sz w:val="24"/>
          <w:szCs w:val="24"/>
        </w:rPr>
      </w:pPr>
    </w:p>
    <w:p>
      <w:pPr>
        <w:pStyle w:val="3"/>
        <w:rPr>
          <w:rFonts w:ascii="宋体" w:hAnsi="宋体" w:cs="宋体"/>
          <w:sz w:val="24"/>
          <w:szCs w:val="24"/>
        </w:rPr>
      </w:pPr>
    </w:p>
    <w:p>
      <w:pPr>
        <w:rPr>
          <w:rFonts w:ascii="宋体" w:hAnsi="宋体" w:cs="宋体"/>
          <w:bCs/>
          <w:sz w:val="24"/>
          <w:szCs w:val="24"/>
        </w:rPr>
      </w:pPr>
    </w:p>
    <w:p>
      <w:pPr>
        <w:pStyle w:val="2"/>
        <w:rPr>
          <w:rFonts w:hAnsi="宋体" w:cs="宋体"/>
          <w:bCs/>
          <w:sz w:val="24"/>
          <w:szCs w:val="24"/>
        </w:rPr>
      </w:pPr>
    </w:p>
    <w:p>
      <w:pPr>
        <w:pStyle w:val="3"/>
      </w:pPr>
    </w:p>
    <w:p>
      <w:pPr>
        <w:outlineLvl w:val="1"/>
        <w:rPr>
          <w:rFonts w:ascii="宋体" w:hAnsi="宋体" w:cs="宋体"/>
          <w:bCs/>
          <w:sz w:val="24"/>
          <w:szCs w:val="24"/>
        </w:rPr>
      </w:pPr>
      <w:r>
        <w:rPr>
          <w:rFonts w:hint="eastAsia" w:ascii="宋体" w:hAnsi="宋体" w:cs="宋体"/>
          <w:bCs/>
          <w:sz w:val="24"/>
          <w:szCs w:val="24"/>
        </w:rPr>
        <w:t>附件12</w:t>
      </w:r>
    </w:p>
    <w:p>
      <w:pPr>
        <w:spacing w:before="67"/>
        <w:ind w:left="398"/>
        <w:jc w:val="center"/>
        <w:rPr>
          <w:b/>
          <w:sz w:val="24"/>
        </w:rPr>
      </w:pPr>
      <w:r>
        <w:rPr>
          <w:b/>
          <w:sz w:val="24"/>
        </w:rPr>
        <w:t>供应商资格证明</w:t>
      </w:r>
      <w:r>
        <w:rPr>
          <w:rFonts w:hint="eastAsia"/>
          <w:b/>
          <w:sz w:val="24"/>
        </w:rPr>
        <w:t>文件</w:t>
      </w:r>
      <w:r>
        <w:rPr>
          <w:b/>
          <w:sz w:val="24"/>
        </w:rPr>
        <w:t>（格式）</w:t>
      </w:r>
    </w:p>
    <w:p>
      <w:pPr>
        <w:spacing w:line="360" w:lineRule="auto"/>
        <w:ind w:firstLine="561"/>
        <w:rPr>
          <w:rFonts w:ascii="宋体" w:hAnsi="宋体"/>
        </w:rPr>
      </w:pPr>
      <w:r>
        <w:rPr>
          <w:rFonts w:ascii="宋体" w:hAnsi="宋体"/>
        </w:rPr>
        <w:t>(1)</w:t>
      </w:r>
      <w:r>
        <w:rPr>
          <w:rFonts w:hint="eastAsia" w:ascii="宋体" w:hAnsi="宋体"/>
        </w:rPr>
        <w:t>具有</w:t>
      </w:r>
      <w:r>
        <w:rPr>
          <w:rFonts w:hint="eastAsia" w:ascii="宋体" w:hAnsi="宋体"/>
          <w:szCs w:val="28"/>
        </w:rPr>
        <w:t>独立承担民事责任的能力证明材料</w:t>
      </w:r>
      <w:r>
        <w:rPr>
          <w:rFonts w:ascii="宋体" w:hAnsi="宋体"/>
        </w:rPr>
        <w:t>；</w:t>
      </w:r>
    </w:p>
    <w:p>
      <w:pPr>
        <w:spacing w:line="360" w:lineRule="auto"/>
        <w:ind w:firstLine="561"/>
        <w:rPr>
          <w:rFonts w:ascii="宋体" w:hAnsi="宋体"/>
          <w:b/>
        </w:rPr>
      </w:pPr>
      <w:r>
        <w:rPr>
          <w:rFonts w:ascii="宋体" w:hAnsi="宋体"/>
        </w:rPr>
        <w:t>(2)提供</w:t>
      </w:r>
      <w:r>
        <w:rPr>
          <w:rFonts w:hint="eastAsia" w:ascii="宋体" w:hAnsi="宋体"/>
        </w:rPr>
        <w:t>具有良好的商业信誉和健全的财务会计制度证明材料；</w:t>
      </w:r>
    </w:p>
    <w:p>
      <w:pPr>
        <w:spacing w:line="360" w:lineRule="auto"/>
        <w:ind w:firstLine="561"/>
        <w:rPr>
          <w:rFonts w:ascii="宋体" w:hAnsi="宋体"/>
          <w:b/>
        </w:rPr>
      </w:pPr>
      <w:r>
        <w:rPr>
          <w:rFonts w:ascii="宋体" w:hAnsi="宋体"/>
        </w:rPr>
        <w:t>(3) 提供具有履行合同所必需的设备和专业技术能力的承诺函</w:t>
      </w:r>
      <w:r>
        <w:rPr>
          <w:rFonts w:hint="eastAsia" w:ascii="宋体" w:hAnsi="宋体"/>
        </w:rPr>
        <w:t>；</w:t>
      </w:r>
    </w:p>
    <w:p>
      <w:pPr>
        <w:spacing w:line="360" w:lineRule="auto"/>
        <w:ind w:firstLine="561"/>
        <w:rPr>
          <w:rFonts w:ascii="宋体" w:hAnsi="宋体"/>
          <w:b/>
        </w:rPr>
      </w:pPr>
      <w:r>
        <w:rPr>
          <w:rFonts w:ascii="宋体" w:hAnsi="宋体"/>
        </w:rPr>
        <w:t>(4) 提供</w:t>
      </w:r>
      <w:r>
        <w:rPr>
          <w:rFonts w:hint="eastAsia" w:ascii="宋体" w:hAnsi="宋体"/>
          <w:szCs w:val="28"/>
        </w:rPr>
        <w:t>依法缴纳税收和社会保障资金的良好记录证明材料</w:t>
      </w:r>
      <w:r>
        <w:rPr>
          <w:rFonts w:ascii="宋体" w:hAnsi="宋体"/>
        </w:rPr>
        <w:t>；</w:t>
      </w:r>
    </w:p>
    <w:p>
      <w:pPr>
        <w:spacing w:line="360" w:lineRule="auto"/>
        <w:ind w:firstLine="561"/>
        <w:rPr>
          <w:rFonts w:ascii="宋体" w:hAnsi="宋体"/>
        </w:rPr>
      </w:pPr>
      <w:r>
        <w:rPr>
          <w:rFonts w:ascii="宋体" w:hAnsi="宋体"/>
        </w:rPr>
        <w:t>(5) 提供参加采购活动前三年内，在经营活动中没有重大违法记录的声明函</w:t>
      </w:r>
      <w:r>
        <w:rPr>
          <w:rFonts w:hint="eastAsia" w:ascii="宋体" w:hAnsi="宋体"/>
        </w:rPr>
        <w:t>；</w:t>
      </w:r>
    </w:p>
    <w:p>
      <w:pPr>
        <w:spacing w:line="360" w:lineRule="auto"/>
        <w:ind w:firstLine="561"/>
        <w:rPr>
          <w:rFonts w:ascii="宋体" w:hAnsi="宋体"/>
        </w:rPr>
      </w:pPr>
      <w:r>
        <w:rPr>
          <w:rFonts w:ascii="宋体" w:hAnsi="宋体"/>
        </w:rPr>
        <w:t>(</w:t>
      </w:r>
      <w:r>
        <w:rPr>
          <w:rFonts w:hint="eastAsia" w:ascii="宋体" w:hAnsi="宋体"/>
        </w:rPr>
        <w:t>6</w:t>
      </w:r>
      <w:r>
        <w:rPr>
          <w:rFonts w:ascii="宋体" w:hAnsi="宋体"/>
        </w:rPr>
        <w:t>)</w:t>
      </w:r>
      <w:r>
        <w:rPr>
          <w:rFonts w:hint="eastAsia" w:ascii="宋体" w:hAnsi="宋体"/>
        </w:rPr>
        <w:t>法律、行政法规规定的其他条件：供应商未被“信用中国”网站列入失信被执行人和重大税收违法案件当事人名单的（</w:t>
      </w:r>
      <w:r>
        <w:rPr>
          <w:rFonts w:hint="eastAsia" w:ascii="宋体" w:hAnsi="宋体"/>
          <w:b/>
        </w:rPr>
        <w:t>由采购人或采购代理机构通过“信用中国”网站（</w:t>
      </w:r>
      <w:r>
        <w:rPr>
          <w:rFonts w:ascii="宋体" w:hAnsi="宋体"/>
          <w:b/>
        </w:rPr>
        <w:t>www.creditchina.gov.cn）进行查询，未被列入失信被执行人、重大税收违法案件当事人名单</w:t>
      </w:r>
      <w:r>
        <w:rPr>
          <w:rFonts w:hint="eastAsia" w:ascii="宋体" w:hAnsi="宋体"/>
        </w:rPr>
        <w:t>；</w:t>
      </w:r>
    </w:p>
    <w:p>
      <w:pPr>
        <w:ind w:left="560"/>
        <w:rPr>
          <w:rFonts w:ascii="宋体" w:hAnsi="宋体"/>
        </w:rPr>
      </w:pPr>
    </w:p>
    <w:p>
      <w:pPr>
        <w:ind w:left="560"/>
        <w:rPr>
          <w:rFonts w:ascii="宋体" w:hAnsi="宋体"/>
        </w:rPr>
      </w:pPr>
    </w:p>
    <w:p>
      <w:pPr>
        <w:ind w:left="560"/>
        <w:rPr>
          <w:rFonts w:ascii="宋体" w:hAnsi="宋体"/>
        </w:rPr>
      </w:pPr>
    </w:p>
    <w:p>
      <w:pPr>
        <w:ind w:left="560"/>
        <w:rPr>
          <w:rFonts w:ascii="宋体" w:hAnsi="宋体"/>
        </w:rPr>
      </w:pPr>
    </w:p>
    <w:p>
      <w:pPr>
        <w:ind w:left="560"/>
        <w:rPr>
          <w:rFonts w:ascii="宋体" w:hAnsi="宋体"/>
        </w:rPr>
      </w:pPr>
    </w:p>
    <w:p>
      <w:pPr>
        <w:ind w:left="560"/>
        <w:rPr>
          <w:rFonts w:ascii="宋体" w:hAnsi="宋体"/>
        </w:rPr>
      </w:pPr>
    </w:p>
    <w:p>
      <w:pPr>
        <w:ind w:left="560"/>
        <w:rPr>
          <w:rFonts w:ascii="宋体" w:hAnsi="宋体"/>
        </w:rPr>
      </w:pPr>
    </w:p>
    <w:p>
      <w:pPr>
        <w:ind w:left="560"/>
        <w:rPr>
          <w:rFonts w:ascii="宋体" w:hAnsi="宋体"/>
        </w:rPr>
      </w:pPr>
    </w:p>
    <w:p>
      <w:pPr>
        <w:ind w:left="560"/>
        <w:rPr>
          <w:rFonts w:ascii="宋体" w:hAnsi="宋体"/>
        </w:rPr>
      </w:pPr>
    </w:p>
    <w:p>
      <w:pPr>
        <w:ind w:left="560"/>
        <w:rPr>
          <w:rFonts w:ascii="宋体" w:hAnsi="宋体"/>
        </w:rPr>
      </w:pPr>
    </w:p>
    <w:p>
      <w:pPr>
        <w:ind w:left="560"/>
        <w:rPr>
          <w:rFonts w:ascii="宋体" w:hAnsi="宋体"/>
        </w:rPr>
      </w:pPr>
    </w:p>
    <w:p>
      <w:pPr>
        <w:autoSpaceDE w:val="0"/>
        <w:autoSpaceDN w:val="0"/>
        <w:adjustRightInd w:val="0"/>
        <w:spacing w:line="440" w:lineRule="exact"/>
        <w:outlineLvl w:val="0"/>
        <w:rPr>
          <w:rFonts w:ascii="宋体" w:hAnsi="宋体" w:cs="宋体"/>
          <w:b/>
          <w:bCs/>
          <w:szCs w:val="21"/>
        </w:rPr>
      </w:pPr>
      <w:bookmarkStart w:id="133" w:name="_Toc480356826"/>
      <w:bookmarkStart w:id="134" w:name="_Toc23871220"/>
      <w:bookmarkStart w:id="135" w:name="_Toc480382596"/>
      <w:bookmarkStart w:id="136" w:name="_Toc482346838"/>
      <w:bookmarkStart w:id="137" w:name="_Toc482348020"/>
      <w:bookmarkStart w:id="138" w:name="_Toc480387488"/>
      <w:bookmarkStart w:id="139" w:name="_Toc480388830"/>
    </w:p>
    <w:p>
      <w:pPr>
        <w:autoSpaceDE w:val="0"/>
        <w:autoSpaceDN w:val="0"/>
        <w:adjustRightInd w:val="0"/>
        <w:spacing w:line="440" w:lineRule="exact"/>
        <w:outlineLvl w:val="0"/>
        <w:rPr>
          <w:rFonts w:cs="宋体"/>
          <w:b/>
          <w:bCs/>
          <w:szCs w:val="21"/>
        </w:rPr>
      </w:pPr>
    </w:p>
    <w:p>
      <w:pPr>
        <w:autoSpaceDE w:val="0"/>
        <w:autoSpaceDN w:val="0"/>
        <w:adjustRightInd w:val="0"/>
        <w:spacing w:line="440" w:lineRule="exact"/>
        <w:outlineLvl w:val="0"/>
        <w:rPr>
          <w:rFonts w:cs="宋体"/>
          <w:b/>
          <w:bCs/>
          <w:szCs w:val="21"/>
        </w:rPr>
      </w:pPr>
    </w:p>
    <w:p>
      <w:pPr>
        <w:autoSpaceDE w:val="0"/>
        <w:autoSpaceDN w:val="0"/>
        <w:adjustRightInd w:val="0"/>
        <w:spacing w:line="440" w:lineRule="exact"/>
        <w:outlineLvl w:val="0"/>
        <w:rPr>
          <w:rFonts w:cs="宋体"/>
          <w:b/>
          <w:bCs/>
          <w:szCs w:val="21"/>
        </w:rPr>
      </w:pPr>
    </w:p>
    <w:p>
      <w:pPr>
        <w:autoSpaceDE w:val="0"/>
        <w:autoSpaceDN w:val="0"/>
        <w:adjustRightInd w:val="0"/>
        <w:spacing w:line="440" w:lineRule="exact"/>
        <w:outlineLvl w:val="0"/>
        <w:rPr>
          <w:rFonts w:cs="宋体"/>
          <w:b/>
          <w:bCs/>
          <w:szCs w:val="21"/>
        </w:rPr>
      </w:pPr>
    </w:p>
    <w:p>
      <w:pPr>
        <w:autoSpaceDE w:val="0"/>
        <w:autoSpaceDN w:val="0"/>
        <w:adjustRightInd w:val="0"/>
        <w:spacing w:line="440" w:lineRule="exact"/>
        <w:outlineLvl w:val="0"/>
        <w:rPr>
          <w:rFonts w:cs="宋体"/>
          <w:b/>
          <w:bCs/>
          <w:szCs w:val="21"/>
        </w:rPr>
      </w:pPr>
    </w:p>
    <w:p>
      <w:pPr>
        <w:autoSpaceDE w:val="0"/>
        <w:autoSpaceDN w:val="0"/>
        <w:adjustRightInd w:val="0"/>
        <w:spacing w:line="440" w:lineRule="exact"/>
        <w:outlineLvl w:val="0"/>
        <w:rPr>
          <w:rFonts w:cs="宋体"/>
          <w:b/>
          <w:bCs/>
          <w:szCs w:val="21"/>
        </w:rPr>
      </w:pPr>
    </w:p>
    <w:p>
      <w:pPr>
        <w:autoSpaceDE w:val="0"/>
        <w:autoSpaceDN w:val="0"/>
        <w:adjustRightInd w:val="0"/>
        <w:spacing w:line="440" w:lineRule="exact"/>
        <w:outlineLvl w:val="0"/>
        <w:rPr>
          <w:rFonts w:cs="宋体"/>
          <w:b/>
          <w:bCs/>
          <w:szCs w:val="21"/>
        </w:rPr>
      </w:pPr>
    </w:p>
    <w:p>
      <w:pPr>
        <w:autoSpaceDE w:val="0"/>
        <w:autoSpaceDN w:val="0"/>
        <w:adjustRightInd w:val="0"/>
        <w:spacing w:line="440" w:lineRule="exact"/>
        <w:outlineLvl w:val="0"/>
        <w:rPr>
          <w:rFonts w:cs="宋体"/>
          <w:b/>
          <w:bCs/>
          <w:szCs w:val="21"/>
        </w:rPr>
      </w:pPr>
    </w:p>
    <w:p>
      <w:pPr>
        <w:autoSpaceDE w:val="0"/>
        <w:autoSpaceDN w:val="0"/>
        <w:adjustRightInd w:val="0"/>
        <w:spacing w:line="440" w:lineRule="exact"/>
        <w:outlineLvl w:val="0"/>
        <w:rPr>
          <w:rFonts w:cs="宋体"/>
          <w:bCs/>
          <w:sz w:val="24"/>
          <w:szCs w:val="24"/>
        </w:rPr>
      </w:pPr>
    </w:p>
    <w:p>
      <w:pPr>
        <w:autoSpaceDE w:val="0"/>
        <w:autoSpaceDN w:val="0"/>
        <w:adjustRightInd w:val="0"/>
        <w:spacing w:line="440" w:lineRule="exact"/>
        <w:outlineLvl w:val="0"/>
        <w:rPr>
          <w:rFonts w:cs="宋体"/>
          <w:bCs/>
          <w:sz w:val="24"/>
          <w:szCs w:val="24"/>
        </w:rPr>
      </w:pPr>
    </w:p>
    <w:p>
      <w:pPr>
        <w:autoSpaceDE w:val="0"/>
        <w:autoSpaceDN w:val="0"/>
        <w:adjustRightInd w:val="0"/>
        <w:spacing w:line="440" w:lineRule="exact"/>
        <w:outlineLvl w:val="0"/>
        <w:rPr>
          <w:rFonts w:cs="宋体"/>
          <w:bCs/>
          <w:sz w:val="24"/>
          <w:szCs w:val="24"/>
        </w:rPr>
      </w:pPr>
    </w:p>
    <w:p>
      <w:pPr>
        <w:autoSpaceDE w:val="0"/>
        <w:autoSpaceDN w:val="0"/>
        <w:adjustRightInd w:val="0"/>
        <w:spacing w:line="440" w:lineRule="exact"/>
        <w:outlineLvl w:val="0"/>
        <w:rPr>
          <w:rFonts w:ascii="宋体" w:hAnsi="宋体" w:cs="宋体"/>
          <w:bCs/>
          <w:sz w:val="24"/>
          <w:szCs w:val="24"/>
        </w:rPr>
      </w:pPr>
      <w:r>
        <w:rPr>
          <w:rFonts w:hint="eastAsia" w:cs="宋体"/>
          <w:bCs/>
          <w:sz w:val="24"/>
          <w:szCs w:val="24"/>
        </w:rPr>
        <w:t>12</w:t>
      </w:r>
      <w:r>
        <w:rPr>
          <w:rFonts w:hint="eastAsia" w:ascii="宋体" w:hAnsi="宋体" w:cs="宋体"/>
          <w:bCs/>
          <w:sz w:val="24"/>
          <w:szCs w:val="24"/>
        </w:rPr>
        <w:t>-1具有独立承担民事责任的能力证明材料</w:t>
      </w:r>
      <w:bookmarkEnd w:id="133"/>
      <w:r>
        <w:rPr>
          <w:rFonts w:hint="eastAsia" w:ascii="宋体" w:hAnsi="宋体" w:cs="宋体"/>
          <w:bCs/>
          <w:sz w:val="24"/>
          <w:szCs w:val="24"/>
        </w:rPr>
        <w:t>（格式）</w:t>
      </w:r>
      <w:bookmarkEnd w:id="134"/>
      <w:bookmarkEnd w:id="135"/>
      <w:bookmarkEnd w:id="136"/>
      <w:bookmarkEnd w:id="137"/>
      <w:bookmarkEnd w:id="138"/>
      <w:bookmarkEnd w:id="139"/>
    </w:p>
    <w:p>
      <w:pPr>
        <w:spacing w:line="360" w:lineRule="auto"/>
        <w:ind w:left="560"/>
        <w:rPr>
          <w:rFonts w:ascii="宋体" w:hAnsi="宋体"/>
          <w:b/>
        </w:rPr>
      </w:pPr>
      <w:r>
        <w:rPr>
          <w:rFonts w:hint="eastAsia" w:ascii="宋体" w:hAnsi="宋体"/>
          <w:b/>
        </w:rPr>
        <w:t>材料说明：</w:t>
      </w:r>
    </w:p>
    <w:p>
      <w:pPr>
        <w:spacing w:line="360" w:lineRule="auto"/>
        <w:ind w:left="561" w:firstLine="560"/>
        <w:rPr>
          <w:rFonts w:ascii="宋体" w:hAnsi="宋体"/>
        </w:rPr>
      </w:pPr>
      <w:r>
        <w:rPr>
          <w:rFonts w:hint="eastAsia" w:ascii="宋体" w:hAnsi="宋体"/>
        </w:rPr>
        <w:t>如供应商是企业的包括（合伙企业）应提供有效的“企业法人营业执照”或“营业执照”；如供应商是事业单位的应提供“事业单位法人证书”；如供应商是非企业专业服务机构的应提供执业许可证等证明文件；</w:t>
      </w:r>
      <w:r>
        <w:rPr>
          <w:rFonts w:ascii="宋体" w:hAnsi="宋体"/>
        </w:rPr>
        <w:t xml:space="preserve"> </w:t>
      </w:r>
      <w:r>
        <w:rPr>
          <w:rFonts w:hint="eastAsia" w:ascii="宋体" w:hAnsi="宋体"/>
        </w:rPr>
        <w:t>供应商</w:t>
      </w:r>
      <w:r>
        <w:rPr>
          <w:rFonts w:ascii="宋体" w:hAnsi="宋体"/>
        </w:rPr>
        <w:t>是个体工商户的应提供有效的“个体工商户营业执照”、组织机构代码证证明</w:t>
      </w:r>
      <w:r>
        <w:rPr>
          <w:rFonts w:hint="eastAsia" w:ascii="宋体" w:hAnsi="宋体"/>
        </w:rPr>
        <w:t>文件</w:t>
      </w:r>
      <w:r>
        <w:rPr>
          <w:rFonts w:ascii="宋体" w:hAnsi="宋体"/>
        </w:rPr>
        <w:t>（实行“三证合一”的不需单独提供组织机构代码证）；如</w:t>
      </w:r>
      <w:r>
        <w:rPr>
          <w:rFonts w:hint="eastAsia" w:ascii="宋体" w:hAnsi="宋体"/>
        </w:rPr>
        <w:t>供应商</w:t>
      </w:r>
      <w:r>
        <w:rPr>
          <w:rFonts w:ascii="宋体" w:hAnsi="宋体"/>
        </w:rPr>
        <w:t>是自然人的，应提供有效的自然人的身份证明(中国公民)</w:t>
      </w:r>
    </w:p>
    <w:p>
      <w:pPr>
        <w:ind w:left="560"/>
        <w:rPr>
          <w:rFonts w:ascii="宋体" w:hAnsi="宋体"/>
        </w:rPr>
      </w:pPr>
    </w:p>
    <w:p>
      <w:pPr>
        <w:ind w:left="560"/>
        <w:rPr>
          <w:rFonts w:ascii="宋体" w:hAnsi="宋体"/>
        </w:rPr>
      </w:pPr>
    </w:p>
    <w:p>
      <w:pPr>
        <w:ind w:left="560"/>
        <w:rPr>
          <w:rFonts w:ascii="宋体" w:hAnsi="宋体"/>
        </w:rPr>
      </w:pPr>
    </w:p>
    <w:p>
      <w:pPr>
        <w:ind w:left="560"/>
        <w:rPr>
          <w:rFonts w:ascii="宋体" w:hAnsi="宋体"/>
        </w:rPr>
      </w:pPr>
    </w:p>
    <w:p>
      <w:pPr>
        <w:ind w:left="560"/>
        <w:rPr>
          <w:rFonts w:ascii="宋体" w:hAnsi="宋体"/>
        </w:rPr>
      </w:pPr>
    </w:p>
    <w:p>
      <w:pPr>
        <w:ind w:left="560"/>
        <w:rPr>
          <w:rFonts w:ascii="宋体" w:hAnsi="宋体"/>
        </w:rPr>
      </w:pPr>
    </w:p>
    <w:p>
      <w:pPr>
        <w:ind w:left="560"/>
        <w:rPr>
          <w:rFonts w:ascii="宋体" w:hAnsi="宋体"/>
        </w:rPr>
      </w:pPr>
    </w:p>
    <w:p>
      <w:pPr>
        <w:ind w:left="560"/>
        <w:rPr>
          <w:rFonts w:ascii="宋体" w:hAnsi="宋体"/>
        </w:rPr>
      </w:pPr>
    </w:p>
    <w:p>
      <w:pPr>
        <w:ind w:left="560"/>
        <w:rPr>
          <w:rFonts w:ascii="宋体" w:hAnsi="宋体"/>
        </w:rPr>
      </w:pPr>
    </w:p>
    <w:p>
      <w:pPr>
        <w:ind w:left="560"/>
        <w:rPr>
          <w:rFonts w:ascii="宋体" w:hAnsi="宋体"/>
        </w:rPr>
      </w:pPr>
    </w:p>
    <w:p>
      <w:pPr>
        <w:ind w:left="560"/>
        <w:rPr>
          <w:rFonts w:ascii="宋体" w:hAnsi="宋体"/>
        </w:rPr>
      </w:pPr>
    </w:p>
    <w:p>
      <w:pPr>
        <w:ind w:left="560"/>
        <w:rPr>
          <w:rFonts w:ascii="宋体" w:hAnsi="宋体"/>
        </w:rPr>
      </w:pPr>
    </w:p>
    <w:p>
      <w:pPr>
        <w:ind w:left="560"/>
        <w:rPr>
          <w:rFonts w:ascii="宋体" w:hAnsi="宋体"/>
        </w:rPr>
      </w:pPr>
    </w:p>
    <w:p>
      <w:pPr>
        <w:ind w:left="560"/>
        <w:rPr>
          <w:rFonts w:ascii="宋体" w:hAnsi="宋体"/>
        </w:rPr>
      </w:pPr>
    </w:p>
    <w:p>
      <w:pPr>
        <w:ind w:left="560"/>
        <w:rPr>
          <w:rFonts w:ascii="宋体" w:hAnsi="宋体"/>
        </w:rPr>
      </w:pPr>
    </w:p>
    <w:p>
      <w:pPr>
        <w:ind w:left="560"/>
        <w:rPr>
          <w:rFonts w:ascii="宋体" w:hAnsi="宋体"/>
        </w:rPr>
      </w:pPr>
    </w:p>
    <w:p>
      <w:pPr>
        <w:pStyle w:val="11"/>
        <w:rPr>
          <w:rFonts w:ascii="宋体" w:hAnsi="宋体"/>
        </w:rPr>
      </w:pPr>
    </w:p>
    <w:p>
      <w:pPr>
        <w:pStyle w:val="12"/>
        <w:rPr>
          <w:rFonts w:ascii="宋体" w:hAnsi="宋体"/>
        </w:rPr>
      </w:pPr>
    </w:p>
    <w:p>
      <w:pPr>
        <w:rPr>
          <w:rFonts w:ascii="宋体" w:hAnsi="宋体"/>
        </w:rPr>
      </w:pPr>
    </w:p>
    <w:p>
      <w:pPr>
        <w:pStyle w:val="11"/>
        <w:rPr>
          <w:rFonts w:ascii="宋体" w:hAnsi="宋体"/>
        </w:rPr>
      </w:pPr>
    </w:p>
    <w:p>
      <w:pPr>
        <w:pStyle w:val="12"/>
        <w:rPr>
          <w:rFonts w:ascii="宋体" w:hAnsi="宋体"/>
        </w:rPr>
      </w:pPr>
    </w:p>
    <w:p>
      <w:pPr>
        <w:rPr>
          <w:rFonts w:ascii="宋体" w:hAnsi="宋体"/>
        </w:rPr>
      </w:pPr>
    </w:p>
    <w:p>
      <w:pPr>
        <w:pStyle w:val="11"/>
        <w:rPr>
          <w:rFonts w:ascii="宋体" w:hAnsi="宋体"/>
        </w:rPr>
      </w:pPr>
    </w:p>
    <w:p>
      <w:pPr>
        <w:pStyle w:val="12"/>
        <w:rPr>
          <w:rFonts w:ascii="宋体" w:hAnsi="宋体"/>
        </w:rPr>
      </w:pPr>
    </w:p>
    <w:p>
      <w:pPr>
        <w:pStyle w:val="12"/>
        <w:ind w:left="0" w:leftChars="0"/>
        <w:rPr>
          <w:rFonts w:ascii="宋体" w:hAnsi="宋体"/>
        </w:rPr>
      </w:pPr>
    </w:p>
    <w:p>
      <w:pPr>
        <w:autoSpaceDE w:val="0"/>
        <w:autoSpaceDN w:val="0"/>
        <w:adjustRightInd w:val="0"/>
        <w:spacing w:line="440" w:lineRule="exact"/>
        <w:outlineLvl w:val="0"/>
        <w:rPr>
          <w:rFonts w:cs="宋体"/>
          <w:b/>
          <w:bCs/>
          <w:szCs w:val="21"/>
        </w:rPr>
      </w:pPr>
      <w:bookmarkStart w:id="140" w:name="_Toc23871221"/>
      <w:bookmarkStart w:id="141" w:name="_Toc482346839"/>
      <w:bookmarkStart w:id="142" w:name="_Toc480382597"/>
      <w:bookmarkStart w:id="143" w:name="_Toc482348021"/>
      <w:bookmarkStart w:id="144" w:name="_Toc480388831"/>
      <w:bookmarkStart w:id="145" w:name="_Toc480387489"/>
    </w:p>
    <w:p>
      <w:pPr>
        <w:autoSpaceDE w:val="0"/>
        <w:autoSpaceDN w:val="0"/>
        <w:adjustRightInd w:val="0"/>
        <w:spacing w:line="440" w:lineRule="exact"/>
        <w:outlineLvl w:val="0"/>
        <w:rPr>
          <w:rFonts w:ascii="宋体" w:hAnsi="宋体" w:cs="宋体"/>
          <w:bCs/>
          <w:sz w:val="24"/>
          <w:szCs w:val="24"/>
        </w:rPr>
      </w:pPr>
      <w:r>
        <w:rPr>
          <w:rFonts w:hint="eastAsia" w:cs="宋体"/>
          <w:bCs/>
          <w:sz w:val="24"/>
          <w:szCs w:val="24"/>
        </w:rPr>
        <w:t>12</w:t>
      </w:r>
      <w:r>
        <w:rPr>
          <w:rFonts w:hint="eastAsia" w:ascii="宋体" w:hAnsi="宋体" w:cs="宋体"/>
          <w:bCs/>
          <w:sz w:val="24"/>
          <w:szCs w:val="24"/>
        </w:rPr>
        <w:t>-2具有良好的商业信誉和健全的财务会计制度证明材料（格式）</w:t>
      </w:r>
      <w:bookmarkEnd w:id="140"/>
      <w:bookmarkEnd w:id="141"/>
      <w:bookmarkEnd w:id="142"/>
      <w:bookmarkEnd w:id="143"/>
      <w:bookmarkEnd w:id="144"/>
      <w:bookmarkEnd w:id="145"/>
    </w:p>
    <w:p>
      <w:pPr>
        <w:spacing w:line="360" w:lineRule="auto"/>
        <w:ind w:left="560"/>
        <w:rPr>
          <w:rFonts w:ascii="宋体" w:hAnsi="宋体"/>
          <w:b/>
        </w:rPr>
      </w:pPr>
      <w:r>
        <w:rPr>
          <w:rFonts w:hint="eastAsia" w:ascii="宋体" w:hAnsi="宋体"/>
          <w:b/>
        </w:rPr>
        <w:t>材料说明：</w:t>
      </w:r>
    </w:p>
    <w:p>
      <w:pPr>
        <w:spacing w:line="360" w:lineRule="auto"/>
        <w:ind w:firstLine="560"/>
        <w:rPr>
          <w:rFonts w:ascii="宋体" w:hAnsi="宋体"/>
        </w:rPr>
      </w:pPr>
      <w:r>
        <w:rPr>
          <w:rFonts w:hint="eastAsia" w:ascii="宋体" w:hAnsi="宋体"/>
        </w:rPr>
        <w:t>可提供以下三项证明材料中的任意一项作为该项的证明文件：</w:t>
      </w:r>
    </w:p>
    <w:p>
      <w:pPr>
        <w:pStyle w:val="208"/>
        <w:numPr>
          <w:ilvl w:val="0"/>
          <w:numId w:val="7"/>
        </w:numPr>
        <w:spacing w:line="360" w:lineRule="auto"/>
        <w:ind w:firstLineChars="0"/>
        <w:rPr>
          <w:rFonts w:ascii="宋体" w:hAnsi="宋体"/>
        </w:rPr>
      </w:pPr>
      <w:r>
        <w:rPr>
          <w:rFonts w:hint="eastAsia" w:ascii="宋体" w:hAnsi="宋体"/>
          <w:lang w:eastAsia="zh-CN"/>
        </w:rPr>
        <w:t>提</w:t>
      </w:r>
      <w:r>
        <w:rPr>
          <w:rFonts w:hint="eastAsia" w:ascii="宋体" w:hAnsi="宋体"/>
        </w:rPr>
        <w:t>供</w:t>
      </w:r>
      <w:r>
        <w:rPr>
          <w:rFonts w:ascii="宋体" w:hAnsi="宋体"/>
        </w:rPr>
        <w:t>20</w:t>
      </w:r>
      <w:r>
        <w:rPr>
          <w:rFonts w:hint="eastAsia" w:ascii="宋体" w:hAnsi="宋体"/>
          <w:lang w:val="en-US" w:eastAsia="zh-CN"/>
        </w:rPr>
        <w:t>19</w:t>
      </w:r>
      <w:r>
        <w:rPr>
          <w:rFonts w:ascii="宋体" w:hAnsi="宋体"/>
        </w:rPr>
        <w:t>年度经审计的财务状况报告；</w:t>
      </w:r>
    </w:p>
    <w:p>
      <w:pPr>
        <w:spacing w:line="360" w:lineRule="auto"/>
        <w:ind w:firstLine="560"/>
        <w:rPr>
          <w:rFonts w:ascii="宋体" w:hAnsi="宋体"/>
        </w:rPr>
      </w:pPr>
      <w:r>
        <w:rPr>
          <w:rFonts w:hint="eastAsia" w:ascii="宋体" w:hAnsi="宋体"/>
        </w:rPr>
        <w:t>②</w:t>
      </w:r>
      <w:r>
        <w:rPr>
          <w:rFonts w:hint="eastAsia" w:ascii="宋体" w:hAnsi="宋体"/>
          <w:lang w:val="en-US" w:eastAsia="zh-CN"/>
        </w:rPr>
        <w:t xml:space="preserve"> </w:t>
      </w:r>
      <w:r>
        <w:rPr>
          <w:rFonts w:hint="eastAsia" w:asciiTheme="minorEastAsia" w:hAnsiTheme="minorEastAsia" w:eastAsiaTheme="minorEastAsia" w:cstheme="minorEastAsia"/>
          <w:sz w:val="21"/>
          <w:szCs w:val="21"/>
          <w:lang w:val="en-US" w:eastAsia="zh-CN"/>
        </w:rPr>
        <w:t>提供</w:t>
      </w:r>
      <w:r>
        <w:rPr>
          <w:rFonts w:hint="eastAsia" w:asciiTheme="minorEastAsia" w:hAnsiTheme="minorEastAsia" w:eastAsiaTheme="minorEastAsia" w:cstheme="minorEastAsia"/>
          <w:sz w:val="21"/>
          <w:szCs w:val="21"/>
        </w:rPr>
        <w:t>开标前两个月基本银行开具的资信证明</w:t>
      </w:r>
      <w:r>
        <w:rPr>
          <w:rFonts w:hint="eastAsia" w:ascii="宋体" w:hAnsi="宋体"/>
        </w:rPr>
        <w:t>（开具时间应在采购公告发布日之后或证明文件上注明在有效期内）；</w:t>
      </w:r>
    </w:p>
    <w:p>
      <w:pPr>
        <w:spacing w:line="360" w:lineRule="auto"/>
        <w:ind w:firstLine="560"/>
        <w:rPr>
          <w:rFonts w:ascii="宋体" w:hAnsi="宋体"/>
        </w:rPr>
      </w:pPr>
      <w:r>
        <w:rPr>
          <w:rFonts w:hint="eastAsia" w:ascii="宋体" w:hAnsi="宋体"/>
        </w:rPr>
        <w:t>③提供财政部门认可的专业担保机构出具的磋商担保函（针对本次采购项目的）</w:t>
      </w:r>
    </w:p>
    <w:p>
      <w:pPr>
        <w:ind w:firstLine="560"/>
        <w:rPr>
          <w:rFonts w:ascii="宋体" w:hAnsi="宋体"/>
        </w:rPr>
      </w:pPr>
    </w:p>
    <w:p>
      <w:pPr>
        <w:ind w:firstLine="560"/>
        <w:rPr>
          <w:rFonts w:ascii="宋体" w:hAnsi="宋体"/>
        </w:rPr>
      </w:pPr>
    </w:p>
    <w:p>
      <w:pPr>
        <w:ind w:firstLine="560"/>
        <w:rPr>
          <w:rFonts w:ascii="宋体" w:hAnsi="宋体"/>
        </w:rPr>
      </w:pPr>
    </w:p>
    <w:p>
      <w:pPr>
        <w:ind w:firstLine="560"/>
        <w:rPr>
          <w:rFonts w:ascii="宋体" w:hAnsi="宋体"/>
        </w:rPr>
      </w:pPr>
    </w:p>
    <w:p>
      <w:pPr>
        <w:ind w:firstLine="560"/>
        <w:rPr>
          <w:rFonts w:ascii="宋体" w:hAnsi="宋体"/>
        </w:rPr>
      </w:pPr>
    </w:p>
    <w:p>
      <w:pPr>
        <w:ind w:firstLine="560"/>
        <w:rPr>
          <w:rFonts w:ascii="宋体" w:hAnsi="宋体"/>
        </w:rPr>
      </w:pPr>
    </w:p>
    <w:p>
      <w:pPr>
        <w:ind w:firstLine="560"/>
        <w:rPr>
          <w:rFonts w:ascii="宋体" w:hAnsi="宋体"/>
        </w:rPr>
      </w:pPr>
    </w:p>
    <w:p>
      <w:pPr>
        <w:ind w:firstLine="560"/>
        <w:rPr>
          <w:rFonts w:ascii="宋体" w:hAnsi="宋体"/>
        </w:rPr>
      </w:pPr>
    </w:p>
    <w:p>
      <w:pPr>
        <w:ind w:firstLine="560"/>
        <w:rPr>
          <w:rFonts w:ascii="宋体" w:hAnsi="宋体"/>
        </w:rPr>
      </w:pPr>
    </w:p>
    <w:p>
      <w:pPr>
        <w:ind w:left="560"/>
        <w:rPr>
          <w:rFonts w:ascii="宋体" w:hAnsi="宋体"/>
        </w:rPr>
      </w:pPr>
    </w:p>
    <w:p>
      <w:pPr>
        <w:ind w:left="560"/>
        <w:rPr>
          <w:rFonts w:ascii="宋体" w:hAnsi="宋体"/>
        </w:rPr>
      </w:pPr>
    </w:p>
    <w:p>
      <w:pPr>
        <w:ind w:left="560"/>
        <w:rPr>
          <w:rFonts w:ascii="宋体" w:hAnsi="宋体"/>
        </w:rPr>
      </w:pPr>
    </w:p>
    <w:p>
      <w:pPr>
        <w:ind w:left="560"/>
        <w:rPr>
          <w:rFonts w:ascii="宋体" w:hAnsi="宋体"/>
        </w:rPr>
      </w:pPr>
    </w:p>
    <w:p>
      <w:pPr>
        <w:ind w:left="560"/>
        <w:rPr>
          <w:rFonts w:ascii="宋体" w:hAnsi="宋体"/>
        </w:rPr>
      </w:pPr>
    </w:p>
    <w:p>
      <w:pPr>
        <w:ind w:left="560"/>
        <w:rPr>
          <w:rFonts w:ascii="宋体" w:hAnsi="宋体"/>
        </w:rPr>
      </w:pPr>
    </w:p>
    <w:p>
      <w:pPr>
        <w:pStyle w:val="11"/>
        <w:rPr>
          <w:rFonts w:ascii="宋体" w:hAnsi="宋体"/>
        </w:rPr>
      </w:pPr>
    </w:p>
    <w:p>
      <w:pPr>
        <w:pStyle w:val="12"/>
        <w:rPr>
          <w:rFonts w:ascii="宋体" w:hAnsi="宋体"/>
        </w:rPr>
      </w:pPr>
    </w:p>
    <w:p>
      <w:pPr>
        <w:rPr>
          <w:rFonts w:ascii="宋体" w:hAnsi="宋体"/>
        </w:rPr>
      </w:pPr>
    </w:p>
    <w:p>
      <w:pPr>
        <w:pStyle w:val="11"/>
        <w:rPr>
          <w:rFonts w:ascii="宋体" w:hAnsi="宋体"/>
        </w:rPr>
      </w:pPr>
    </w:p>
    <w:p>
      <w:pPr>
        <w:pStyle w:val="12"/>
        <w:rPr>
          <w:rFonts w:ascii="宋体" w:hAnsi="宋体"/>
        </w:rPr>
      </w:pPr>
    </w:p>
    <w:p>
      <w:pPr>
        <w:rPr>
          <w:rFonts w:ascii="宋体" w:hAnsi="宋体"/>
        </w:rPr>
      </w:pPr>
    </w:p>
    <w:p>
      <w:pPr>
        <w:pStyle w:val="11"/>
        <w:rPr>
          <w:rFonts w:ascii="宋体" w:hAnsi="宋体"/>
        </w:rPr>
      </w:pPr>
    </w:p>
    <w:p>
      <w:pPr>
        <w:pStyle w:val="12"/>
        <w:rPr>
          <w:rFonts w:ascii="宋体" w:hAnsi="宋体"/>
        </w:rPr>
      </w:pPr>
    </w:p>
    <w:p>
      <w:pPr>
        <w:rPr>
          <w:rFonts w:ascii="宋体" w:hAnsi="宋体"/>
        </w:rPr>
      </w:pPr>
    </w:p>
    <w:p>
      <w:pPr>
        <w:pStyle w:val="11"/>
        <w:rPr>
          <w:rFonts w:ascii="宋体" w:hAnsi="宋体"/>
        </w:rPr>
      </w:pPr>
    </w:p>
    <w:p>
      <w:pPr>
        <w:pStyle w:val="12"/>
        <w:rPr>
          <w:rFonts w:ascii="宋体" w:hAnsi="宋体"/>
        </w:rPr>
      </w:pPr>
    </w:p>
    <w:p>
      <w:pPr>
        <w:autoSpaceDE w:val="0"/>
        <w:autoSpaceDN w:val="0"/>
        <w:adjustRightInd w:val="0"/>
        <w:spacing w:line="440" w:lineRule="exact"/>
        <w:outlineLvl w:val="0"/>
        <w:rPr>
          <w:rStyle w:val="31"/>
        </w:rPr>
      </w:pPr>
      <w:bookmarkStart w:id="146" w:name="_Toc480388832"/>
      <w:bookmarkStart w:id="147" w:name="_Toc482348022"/>
      <w:bookmarkStart w:id="148" w:name="_Toc23871222"/>
      <w:bookmarkStart w:id="149" w:name="_Toc480387490"/>
      <w:bookmarkStart w:id="150" w:name="_Toc480382598"/>
      <w:bookmarkStart w:id="151" w:name="_Toc482346840"/>
    </w:p>
    <w:p>
      <w:pPr>
        <w:autoSpaceDE w:val="0"/>
        <w:autoSpaceDN w:val="0"/>
        <w:adjustRightInd w:val="0"/>
        <w:spacing w:line="440" w:lineRule="exact"/>
        <w:outlineLvl w:val="0"/>
        <w:rPr>
          <w:rStyle w:val="31"/>
          <w:rFonts w:ascii="宋体" w:hAnsi="宋体"/>
          <w:b w:val="0"/>
          <w:sz w:val="24"/>
          <w:szCs w:val="24"/>
        </w:rPr>
      </w:pPr>
      <w:r>
        <w:rPr>
          <w:rStyle w:val="31"/>
          <w:rFonts w:hint="eastAsia"/>
          <w:b w:val="0"/>
          <w:sz w:val="24"/>
          <w:szCs w:val="24"/>
        </w:rPr>
        <w:t>12</w:t>
      </w:r>
      <w:r>
        <w:rPr>
          <w:rStyle w:val="31"/>
          <w:rFonts w:hint="eastAsia" w:ascii="宋体" w:hAnsi="宋体"/>
          <w:b w:val="0"/>
          <w:sz w:val="24"/>
          <w:szCs w:val="24"/>
        </w:rPr>
        <w:t>-3</w:t>
      </w:r>
      <w:r>
        <w:rPr>
          <w:rStyle w:val="31"/>
          <w:rFonts w:ascii="宋体" w:hAnsi="宋体"/>
          <w:b w:val="0"/>
          <w:sz w:val="24"/>
          <w:szCs w:val="24"/>
        </w:rPr>
        <w:t>具有履行合同所必需的设备和专业技术能力的承诺函</w:t>
      </w:r>
      <w:r>
        <w:rPr>
          <w:rFonts w:hint="eastAsia" w:ascii="宋体" w:hAnsi="宋体"/>
          <w:b/>
          <w:sz w:val="24"/>
          <w:szCs w:val="24"/>
        </w:rPr>
        <w:t>（格式）</w:t>
      </w:r>
      <w:bookmarkEnd w:id="146"/>
      <w:bookmarkEnd w:id="147"/>
      <w:bookmarkEnd w:id="148"/>
      <w:bookmarkEnd w:id="149"/>
      <w:bookmarkEnd w:id="150"/>
      <w:bookmarkEnd w:id="151"/>
    </w:p>
    <w:p>
      <w:pPr>
        <w:autoSpaceDE w:val="0"/>
        <w:autoSpaceDN w:val="0"/>
        <w:adjustRightInd w:val="0"/>
        <w:spacing w:line="440" w:lineRule="exact"/>
        <w:rPr>
          <w:rFonts w:ascii="宋体" w:hAnsi="宋体"/>
          <w:szCs w:val="21"/>
        </w:rPr>
      </w:pPr>
      <w:r>
        <w:rPr>
          <w:rFonts w:hint="eastAsia" w:ascii="宋体" w:hAnsi="宋体" w:cs="宋体"/>
          <w:szCs w:val="21"/>
          <w:u w:val="single"/>
          <w:lang w:val="zh-CN"/>
        </w:rPr>
        <w:t>致江西久和招标服务有限公司</w:t>
      </w:r>
      <w:r>
        <w:rPr>
          <w:rFonts w:hint="eastAsia" w:ascii="宋体" w:hAnsi="宋体" w:cs="宋体"/>
          <w:szCs w:val="21"/>
          <w:lang w:val="zh-CN"/>
        </w:rPr>
        <w:t>：</w:t>
      </w:r>
    </w:p>
    <w:p>
      <w:pPr>
        <w:spacing w:line="360" w:lineRule="auto"/>
        <w:rPr>
          <w:rFonts w:ascii="宋体" w:hAnsi="宋体"/>
          <w:b/>
          <w:szCs w:val="24"/>
        </w:rPr>
      </w:pPr>
    </w:p>
    <w:p>
      <w:pPr>
        <w:spacing w:line="360" w:lineRule="auto"/>
        <w:ind w:firstLine="560"/>
        <w:rPr>
          <w:rFonts w:ascii="宋体" w:hAnsi="宋体"/>
        </w:rPr>
      </w:pPr>
      <w:r>
        <w:rPr>
          <w:rFonts w:hint="eastAsia" w:ascii="宋体" w:hAnsi="宋体"/>
        </w:rPr>
        <w:t>我公司承诺参与本次</w:t>
      </w:r>
      <w:r>
        <w:rPr>
          <w:rFonts w:hint="eastAsia" w:ascii="宋体" w:hAnsi="宋体"/>
          <w:u w:val="single"/>
        </w:rPr>
        <w:t xml:space="preserve">                 </w:t>
      </w:r>
      <w:r>
        <w:rPr>
          <w:rFonts w:hint="eastAsia" w:ascii="宋体" w:hAnsi="宋体"/>
        </w:rPr>
        <w:t>采购项目（采购编号：JXJH2020-GZ-C003-1）采购活动中，具有履行合同所必需的设备和专业技术能力，能够完全按照磋商文件技术要求、商务条款及响应文件中所响应的所有条款提供货物、服务。</w:t>
      </w:r>
    </w:p>
    <w:p>
      <w:pPr>
        <w:spacing w:line="360" w:lineRule="auto"/>
        <w:ind w:firstLine="560"/>
        <w:rPr>
          <w:rFonts w:ascii="宋体" w:hAnsi="宋体"/>
        </w:rPr>
      </w:pPr>
      <w:r>
        <w:rPr>
          <w:rFonts w:hint="eastAsia" w:ascii="宋体" w:hAnsi="宋体"/>
        </w:rPr>
        <w:t>特此承诺。如我公司提供虚假信息，将承担虚假应标及违约的全部责任，并按《中华人民共和国政府采购法》、《中华人民共和国合同法》相关法律、法规规定接受处罚。</w:t>
      </w:r>
    </w:p>
    <w:p>
      <w:pPr>
        <w:ind w:left="560"/>
        <w:rPr>
          <w:rFonts w:ascii="宋体" w:hAnsi="宋体"/>
        </w:rPr>
      </w:pPr>
    </w:p>
    <w:p>
      <w:pPr>
        <w:ind w:left="560"/>
        <w:rPr>
          <w:rFonts w:ascii="宋体" w:hAnsi="宋体"/>
        </w:rPr>
      </w:pPr>
    </w:p>
    <w:p>
      <w:pPr>
        <w:spacing w:line="480" w:lineRule="auto"/>
        <w:ind w:left="561"/>
        <w:rPr>
          <w:rFonts w:ascii="宋体" w:hAnsi="宋体"/>
        </w:rPr>
      </w:pPr>
      <w:r>
        <w:rPr>
          <w:rFonts w:hint="eastAsia" w:ascii="宋体" w:hAnsi="宋体"/>
        </w:rPr>
        <w:t>供应商（名称）：</w:t>
      </w:r>
      <w:r>
        <w:rPr>
          <w:rFonts w:ascii="宋体" w:hAnsi="宋体"/>
        </w:rPr>
        <w:t>（加盖公章）</w:t>
      </w:r>
    </w:p>
    <w:p>
      <w:pPr>
        <w:spacing w:line="480" w:lineRule="auto"/>
        <w:ind w:left="561"/>
        <w:rPr>
          <w:rFonts w:ascii="宋体" w:hAnsi="宋体"/>
        </w:rPr>
      </w:pPr>
      <w:r>
        <w:rPr>
          <w:rFonts w:hint="eastAsia" w:ascii="宋体" w:hAnsi="宋体"/>
        </w:rPr>
        <w:t>日期：      年      月     日</w:t>
      </w:r>
    </w:p>
    <w:p>
      <w:pPr>
        <w:ind w:left="560"/>
        <w:rPr>
          <w:rFonts w:ascii="宋体" w:hAnsi="宋体"/>
        </w:rPr>
      </w:pPr>
    </w:p>
    <w:p>
      <w:pPr>
        <w:ind w:left="560"/>
        <w:rPr>
          <w:rFonts w:ascii="宋体" w:hAnsi="宋体"/>
        </w:rPr>
      </w:pPr>
    </w:p>
    <w:p>
      <w:pPr>
        <w:ind w:left="560"/>
        <w:rPr>
          <w:rFonts w:ascii="宋体" w:hAnsi="宋体"/>
        </w:rPr>
      </w:pPr>
    </w:p>
    <w:p>
      <w:pPr>
        <w:ind w:left="560"/>
        <w:rPr>
          <w:rFonts w:ascii="宋体" w:hAnsi="宋体"/>
        </w:rPr>
      </w:pPr>
    </w:p>
    <w:p>
      <w:pPr>
        <w:ind w:left="560"/>
        <w:rPr>
          <w:rFonts w:ascii="宋体" w:hAnsi="宋体"/>
        </w:rPr>
      </w:pPr>
    </w:p>
    <w:p>
      <w:pPr>
        <w:ind w:left="560"/>
        <w:rPr>
          <w:rFonts w:ascii="宋体" w:hAnsi="宋体"/>
        </w:rPr>
      </w:pPr>
    </w:p>
    <w:p>
      <w:pPr>
        <w:ind w:left="560"/>
        <w:rPr>
          <w:rFonts w:ascii="宋体" w:hAnsi="宋体"/>
        </w:rPr>
      </w:pPr>
    </w:p>
    <w:p>
      <w:pPr>
        <w:ind w:left="560"/>
        <w:rPr>
          <w:rFonts w:ascii="宋体" w:hAnsi="宋体"/>
        </w:rPr>
      </w:pPr>
    </w:p>
    <w:p>
      <w:pPr>
        <w:ind w:left="560"/>
        <w:rPr>
          <w:rFonts w:ascii="宋体" w:hAnsi="宋体"/>
        </w:rPr>
      </w:pPr>
    </w:p>
    <w:p>
      <w:pPr>
        <w:ind w:left="560"/>
        <w:rPr>
          <w:rFonts w:ascii="宋体" w:hAnsi="宋体"/>
        </w:rPr>
      </w:pPr>
    </w:p>
    <w:p>
      <w:pPr>
        <w:ind w:left="560"/>
        <w:rPr>
          <w:rFonts w:ascii="宋体" w:hAnsi="宋体"/>
        </w:rPr>
      </w:pPr>
    </w:p>
    <w:p>
      <w:pPr>
        <w:pStyle w:val="11"/>
        <w:rPr>
          <w:rFonts w:ascii="宋体" w:hAnsi="宋体"/>
        </w:rPr>
      </w:pPr>
    </w:p>
    <w:p>
      <w:pPr>
        <w:pStyle w:val="12"/>
        <w:rPr>
          <w:rFonts w:ascii="宋体" w:hAnsi="宋体"/>
        </w:rPr>
      </w:pPr>
    </w:p>
    <w:p>
      <w:pPr>
        <w:rPr>
          <w:rFonts w:ascii="宋体" w:hAnsi="宋体"/>
        </w:rPr>
      </w:pPr>
    </w:p>
    <w:p>
      <w:pPr>
        <w:pStyle w:val="11"/>
        <w:rPr>
          <w:rFonts w:ascii="宋体" w:hAnsi="宋体"/>
        </w:rPr>
      </w:pPr>
    </w:p>
    <w:p>
      <w:pPr>
        <w:pStyle w:val="12"/>
        <w:rPr>
          <w:rFonts w:ascii="宋体" w:hAnsi="宋体"/>
        </w:rPr>
      </w:pPr>
    </w:p>
    <w:p>
      <w:pPr>
        <w:rPr>
          <w:rFonts w:ascii="宋体" w:hAnsi="宋体"/>
        </w:rPr>
      </w:pPr>
    </w:p>
    <w:p>
      <w:pPr>
        <w:pStyle w:val="11"/>
        <w:rPr>
          <w:rFonts w:ascii="宋体" w:hAnsi="宋体"/>
        </w:rPr>
      </w:pPr>
    </w:p>
    <w:p>
      <w:pPr>
        <w:pStyle w:val="12"/>
        <w:rPr>
          <w:rFonts w:ascii="宋体" w:hAnsi="宋体"/>
        </w:rPr>
      </w:pPr>
    </w:p>
    <w:p>
      <w:pPr>
        <w:rPr>
          <w:rFonts w:ascii="宋体" w:hAnsi="宋体"/>
        </w:rPr>
      </w:pPr>
    </w:p>
    <w:p>
      <w:pPr>
        <w:autoSpaceDE w:val="0"/>
        <w:autoSpaceDN w:val="0"/>
        <w:adjustRightInd w:val="0"/>
        <w:spacing w:line="440" w:lineRule="exact"/>
        <w:outlineLvl w:val="0"/>
        <w:rPr>
          <w:rStyle w:val="31"/>
        </w:rPr>
      </w:pPr>
      <w:bookmarkStart w:id="152" w:name="_Toc482348023"/>
      <w:bookmarkStart w:id="153" w:name="_Toc482346841"/>
      <w:bookmarkStart w:id="154" w:name="_Toc23871223"/>
      <w:bookmarkStart w:id="155" w:name="_Toc480388833"/>
      <w:bookmarkStart w:id="156" w:name="_Toc480387491"/>
      <w:bookmarkStart w:id="157" w:name="_Toc480382599"/>
    </w:p>
    <w:p>
      <w:pPr>
        <w:autoSpaceDE w:val="0"/>
        <w:autoSpaceDN w:val="0"/>
        <w:adjustRightInd w:val="0"/>
        <w:spacing w:line="440" w:lineRule="exact"/>
        <w:outlineLvl w:val="0"/>
        <w:rPr>
          <w:rStyle w:val="31"/>
          <w:rFonts w:ascii="宋体" w:hAnsi="宋体"/>
          <w:b w:val="0"/>
          <w:sz w:val="24"/>
          <w:szCs w:val="24"/>
        </w:rPr>
      </w:pPr>
      <w:r>
        <w:rPr>
          <w:rStyle w:val="31"/>
          <w:rFonts w:hint="eastAsia"/>
          <w:b w:val="0"/>
          <w:sz w:val="24"/>
          <w:szCs w:val="24"/>
        </w:rPr>
        <w:t>12</w:t>
      </w:r>
      <w:r>
        <w:rPr>
          <w:rStyle w:val="31"/>
          <w:rFonts w:hint="eastAsia" w:ascii="宋体" w:hAnsi="宋体"/>
          <w:b w:val="0"/>
          <w:sz w:val="24"/>
          <w:szCs w:val="24"/>
        </w:rPr>
        <w:t>-4有依法缴纳税收和社会保障资金的良好记录证明材料（格式）</w:t>
      </w:r>
      <w:bookmarkEnd w:id="152"/>
      <w:bookmarkEnd w:id="153"/>
      <w:bookmarkEnd w:id="154"/>
      <w:bookmarkEnd w:id="155"/>
      <w:bookmarkEnd w:id="156"/>
      <w:bookmarkEnd w:id="157"/>
    </w:p>
    <w:p>
      <w:pPr>
        <w:spacing w:line="360" w:lineRule="auto"/>
        <w:ind w:firstLine="562"/>
        <w:rPr>
          <w:rFonts w:ascii="宋体" w:hAnsi="宋体"/>
          <w:b/>
        </w:rPr>
      </w:pPr>
      <w:r>
        <w:rPr>
          <w:rFonts w:hint="eastAsia" w:ascii="宋体" w:hAnsi="宋体"/>
          <w:b/>
        </w:rPr>
        <w:t>材料说明：</w:t>
      </w:r>
    </w:p>
    <w:p>
      <w:pPr>
        <w:spacing w:line="360" w:lineRule="auto"/>
        <w:ind w:firstLine="560"/>
        <w:rPr>
          <w:rFonts w:ascii="宋体" w:hAnsi="宋体"/>
        </w:rPr>
      </w:pPr>
      <w:r>
        <w:rPr>
          <w:rFonts w:hint="eastAsia" w:ascii="宋体" w:hAnsi="宋体"/>
        </w:rPr>
        <w:t>1、供应商须提供</w:t>
      </w:r>
      <w:r>
        <w:rPr>
          <w:rFonts w:ascii="宋体" w:hAnsi="宋体"/>
        </w:rPr>
        <w:t>开标前</w:t>
      </w:r>
      <w:r>
        <w:rPr>
          <w:rFonts w:hint="eastAsia" w:ascii="宋体" w:hAnsi="宋体"/>
        </w:rPr>
        <w:t>一年内</w:t>
      </w:r>
      <w:r>
        <w:rPr>
          <w:rFonts w:ascii="宋体" w:hAnsi="宋体"/>
        </w:rPr>
        <w:t>任意三个月的</w:t>
      </w:r>
      <w:r>
        <w:rPr>
          <w:rFonts w:hint="eastAsia" w:ascii="宋体" w:hAnsi="宋体"/>
        </w:rPr>
        <w:t>依法缴纳税收的证明材料；</w:t>
      </w:r>
    </w:p>
    <w:p>
      <w:pPr>
        <w:spacing w:line="360" w:lineRule="auto"/>
        <w:ind w:firstLine="560"/>
        <w:rPr>
          <w:rFonts w:ascii="宋体" w:hAnsi="宋体"/>
        </w:rPr>
      </w:pPr>
      <w:r>
        <w:rPr>
          <w:rFonts w:hint="eastAsia" w:ascii="宋体" w:hAnsi="宋体"/>
        </w:rPr>
        <w:t>2、供应商须提供</w:t>
      </w:r>
      <w:r>
        <w:rPr>
          <w:rFonts w:ascii="宋体" w:hAnsi="宋体"/>
        </w:rPr>
        <w:t>开标前</w:t>
      </w:r>
      <w:r>
        <w:rPr>
          <w:rFonts w:hint="eastAsia" w:ascii="宋体" w:hAnsi="宋体"/>
        </w:rPr>
        <w:t>一年内</w:t>
      </w:r>
      <w:r>
        <w:rPr>
          <w:rFonts w:ascii="宋体" w:hAnsi="宋体"/>
        </w:rPr>
        <w:t>任意三个月的</w:t>
      </w:r>
      <w:r>
        <w:rPr>
          <w:rFonts w:hint="eastAsia" w:ascii="宋体" w:hAnsi="宋体"/>
        </w:rPr>
        <w:t>依法缴纳</w:t>
      </w:r>
      <w:r>
        <w:rPr>
          <w:rFonts w:hint="eastAsia" w:ascii="宋体" w:hAnsi="宋体"/>
          <w:szCs w:val="28"/>
        </w:rPr>
        <w:t>社会保障资金</w:t>
      </w:r>
      <w:r>
        <w:rPr>
          <w:rFonts w:hint="eastAsia" w:ascii="宋体" w:hAnsi="宋体"/>
        </w:rPr>
        <w:t>的证明材料；</w:t>
      </w:r>
    </w:p>
    <w:p>
      <w:pPr>
        <w:spacing w:line="360" w:lineRule="auto"/>
        <w:ind w:firstLine="560"/>
        <w:rPr>
          <w:rFonts w:ascii="宋体" w:hAnsi="宋体"/>
        </w:rPr>
      </w:pPr>
      <w:r>
        <w:rPr>
          <w:rFonts w:hint="eastAsia" w:ascii="宋体" w:hAnsi="宋体"/>
        </w:rPr>
        <w:t>3、依法免税或不需要缴纳社会保障资金的供应商，应提供相应文件证明其依法免税或不需要缴纳社会保障资金。</w:t>
      </w:r>
    </w:p>
    <w:p>
      <w:pPr>
        <w:ind w:left="560"/>
        <w:rPr>
          <w:rFonts w:ascii="宋体" w:hAnsi="宋体"/>
        </w:rPr>
      </w:pPr>
    </w:p>
    <w:p>
      <w:pPr>
        <w:ind w:left="560"/>
        <w:rPr>
          <w:rFonts w:ascii="宋体" w:hAnsi="宋体"/>
        </w:rPr>
      </w:pPr>
    </w:p>
    <w:p>
      <w:pPr>
        <w:ind w:left="560"/>
        <w:rPr>
          <w:rFonts w:ascii="宋体" w:hAnsi="宋体"/>
        </w:rPr>
      </w:pPr>
    </w:p>
    <w:p>
      <w:pPr>
        <w:ind w:left="560"/>
        <w:rPr>
          <w:rFonts w:ascii="宋体" w:hAnsi="宋体"/>
        </w:rPr>
      </w:pPr>
    </w:p>
    <w:p>
      <w:pPr>
        <w:ind w:left="560"/>
        <w:rPr>
          <w:rFonts w:ascii="宋体" w:hAnsi="宋体"/>
        </w:rPr>
      </w:pPr>
    </w:p>
    <w:p>
      <w:pPr>
        <w:ind w:left="560"/>
        <w:rPr>
          <w:rFonts w:ascii="宋体" w:hAnsi="宋体"/>
        </w:rPr>
      </w:pPr>
    </w:p>
    <w:p>
      <w:pPr>
        <w:ind w:left="560"/>
        <w:rPr>
          <w:rFonts w:ascii="宋体" w:hAnsi="宋体"/>
        </w:rPr>
      </w:pPr>
    </w:p>
    <w:p>
      <w:pPr>
        <w:ind w:left="560"/>
        <w:rPr>
          <w:rFonts w:ascii="宋体" w:hAnsi="宋体"/>
        </w:rPr>
      </w:pPr>
    </w:p>
    <w:p>
      <w:pPr>
        <w:ind w:left="560"/>
        <w:rPr>
          <w:rFonts w:ascii="宋体" w:hAnsi="宋体"/>
        </w:rPr>
      </w:pPr>
    </w:p>
    <w:p>
      <w:pPr>
        <w:ind w:left="560"/>
        <w:rPr>
          <w:rFonts w:ascii="宋体" w:hAnsi="宋体"/>
        </w:rPr>
      </w:pPr>
    </w:p>
    <w:p>
      <w:pPr>
        <w:ind w:left="560"/>
        <w:rPr>
          <w:rFonts w:ascii="宋体" w:hAnsi="宋体"/>
        </w:rPr>
      </w:pPr>
    </w:p>
    <w:p>
      <w:pPr>
        <w:ind w:left="560"/>
        <w:rPr>
          <w:rFonts w:ascii="宋体" w:hAnsi="宋体"/>
        </w:rPr>
      </w:pPr>
    </w:p>
    <w:p>
      <w:pPr>
        <w:ind w:left="560"/>
        <w:rPr>
          <w:rFonts w:ascii="宋体" w:hAnsi="宋体"/>
        </w:rPr>
      </w:pPr>
    </w:p>
    <w:p>
      <w:pPr>
        <w:ind w:left="560"/>
        <w:rPr>
          <w:rFonts w:ascii="宋体" w:hAnsi="宋体"/>
        </w:rPr>
      </w:pPr>
    </w:p>
    <w:p>
      <w:pPr>
        <w:ind w:left="560"/>
        <w:rPr>
          <w:rFonts w:ascii="宋体" w:hAnsi="宋体"/>
        </w:rPr>
      </w:pPr>
    </w:p>
    <w:p>
      <w:pPr>
        <w:ind w:left="560"/>
        <w:rPr>
          <w:rFonts w:ascii="宋体" w:hAnsi="宋体"/>
        </w:rPr>
      </w:pPr>
    </w:p>
    <w:p>
      <w:pPr>
        <w:pStyle w:val="11"/>
        <w:rPr>
          <w:rFonts w:ascii="宋体" w:hAnsi="宋体"/>
        </w:rPr>
      </w:pPr>
    </w:p>
    <w:p>
      <w:pPr>
        <w:pStyle w:val="12"/>
        <w:rPr>
          <w:rFonts w:ascii="宋体" w:hAnsi="宋体"/>
        </w:rPr>
      </w:pPr>
    </w:p>
    <w:p>
      <w:pPr>
        <w:rPr>
          <w:rFonts w:ascii="宋体" w:hAnsi="宋体"/>
        </w:rPr>
      </w:pPr>
    </w:p>
    <w:p>
      <w:pPr>
        <w:pStyle w:val="11"/>
        <w:rPr>
          <w:rFonts w:ascii="宋体" w:hAnsi="宋体"/>
        </w:rPr>
      </w:pPr>
    </w:p>
    <w:p>
      <w:pPr>
        <w:pStyle w:val="12"/>
        <w:rPr>
          <w:rFonts w:ascii="宋体" w:hAnsi="宋体"/>
        </w:rPr>
      </w:pPr>
    </w:p>
    <w:p>
      <w:pPr>
        <w:rPr>
          <w:rFonts w:ascii="宋体" w:hAnsi="宋体"/>
        </w:rPr>
      </w:pPr>
    </w:p>
    <w:p>
      <w:pPr>
        <w:pStyle w:val="11"/>
        <w:rPr>
          <w:rFonts w:ascii="宋体" w:hAnsi="宋体"/>
        </w:rPr>
      </w:pPr>
    </w:p>
    <w:p>
      <w:pPr>
        <w:pStyle w:val="12"/>
        <w:rPr>
          <w:rFonts w:ascii="宋体" w:hAnsi="宋体"/>
        </w:rPr>
      </w:pPr>
    </w:p>
    <w:p>
      <w:pPr>
        <w:rPr>
          <w:rFonts w:ascii="宋体" w:hAnsi="宋体"/>
        </w:rPr>
      </w:pPr>
    </w:p>
    <w:p>
      <w:pPr>
        <w:pStyle w:val="11"/>
        <w:rPr>
          <w:rFonts w:ascii="宋体" w:hAnsi="宋体"/>
        </w:rPr>
      </w:pPr>
    </w:p>
    <w:p>
      <w:pPr>
        <w:pStyle w:val="12"/>
        <w:rPr>
          <w:rFonts w:ascii="宋体" w:hAnsi="宋体"/>
        </w:rPr>
      </w:pPr>
    </w:p>
    <w:p>
      <w:pPr>
        <w:rPr>
          <w:rFonts w:ascii="宋体" w:hAnsi="宋体"/>
        </w:rPr>
      </w:pPr>
    </w:p>
    <w:p>
      <w:pPr>
        <w:autoSpaceDE w:val="0"/>
        <w:autoSpaceDN w:val="0"/>
        <w:adjustRightInd w:val="0"/>
        <w:spacing w:line="440" w:lineRule="exact"/>
        <w:outlineLvl w:val="0"/>
        <w:rPr>
          <w:rStyle w:val="31"/>
        </w:rPr>
      </w:pPr>
      <w:bookmarkStart w:id="158" w:name="_Toc480387492"/>
      <w:bookmarkStart w:id="159" w:name="_Toc482348024"/>
      <w:bookmarkStart w:id="160" w:name="_Toc482346842"/>
      <w:bookmarkStart w:id="161" w:name="_Toc23871224"/>
      <w:bookmarkStart w:id="162" w:name="_Toc480388834"/>
      <w:bookmarkStart w:id="163" w:name="_Toc480382600"/>
    </w:p>
    <w:p>
      <w:pPr>
        <w:autoSpaceDE w:val="0"/>
        <w:autoSpaceDN w:val="0"/>
        <w:adjustRightInd w:val="0"/>
        <w:spacing w:line="440" w:lineRule="exact"/>
        <w:outlineLvl w:val="0"/>
        <w:rPr>
          <w:rStyle w:val="31"/>
          <w:rFonts w:ascii="宋体" w:hAnsi="宋体"/>
          <w:b w:val="0"/>
          <w:sz w:val="24"/>
          <w:szCs w:val="24"/>
        </w:rPr>
      </w:pPr>
      <w:r>
        <w:rPr>
          <w:rStyle w:val="31"/>
          <w:rFonts w:hint="eastAsia"/>
          <w:b w:val="0"/>
          <w:sz w:val="24"/>
          <w:szCs w:val="24"/>
        </w:rPr>
        <w:t>12</w:t>
      </w:r>
      <w:r>
        <w:rPr>
          <w:rStyle w:val="31"/>
          <w:rFonts w:hint="eastAsia" w:ascii="宋体" w:hAnsi="宋体"/>
          <w:b w:val="0"/>
          <w:sz w:val="24"/>
          <w:szCs w:val="24"/>
        </w:rPr>
        <w:t>-5参加采购活动前三年内，在经营活动中没有重大违法记录的声明函（格式）</w:t>
      </w:r>
      <w:bookmarkEnd w:id="158"/>
      <w:bookmarkEnd w:id="159"/>
      <w:bookmarkEnd w:id="160"/>
      <w:bookmarkEnd w:id="161"/>
      <w:bookmarkEnd w:id="162"/>
      <w:bookmarkEnd w:id="163"/>
    </w:p>
    <w:p>
      <w:pPr>
        <w:autoSpaceDE w:val="0"/>
        <w:autoSpaceDN w:val="0"/>
        <w:adjustRightInd w:val="0"/>
        <w:spacing w:line="440" w:lineRule="exact"/>
        <w:rPr>
          <w:rFonts w:ascii="宋体" w:hAnsi="宋体"/>
          <w:szCs w:val="21"/>
        </w:rPr>
      </w:pPr>
      <w:r>
        <w:rPr>
          <w:rFonts w:hint="eastAsia" w:ascii="宋体" w:hAnsi="宋体" w:cs="宋体"/>
          <w:szCs w:val="21"/>
          <w:u w:val="single"/>
          <w:lang w:val="zh-CN"/>
        </w:rPr>
        <w:t>致江西久和招标服务有限公司</w:t>
      </w:r>
      <w:r>
        <w:rPr>
          <w:rFonts w:hint="eastAsia" w:ascii="宋体" w:hAnsi="宋体" w:cs="宋体"/>
          <w:szCs w:val="21"/>
          <w:lang w:val="zh-CN"/>
        </w:rPr>
        <w:t>：</w:t>
      </w:r>
    </w:p>
    <w:p>
      <w:pPr>
        <w:spacing w:line="360" w:lineRule="auto"/>
        <w:rPr>
          <w:rFonts w:ascii="宋体" w:hAnsi="宋体"/>
          <w:b/>
          <w:szCs w:val="24"/>
        </w:rPr>
      </w:pPr>
    </w:p>
    <w:p>
      <w:pPr>
        <w:spacing w:line="360" w:lineRule="auto"/>
        <w:ind w:firstLine="560"/>
        <w:rPr>
          <w:rFonts w:ascii="宋体" w:hAnsi="宋体"/>
        </w:rPr>
      </w:pPr>
      <w:r>
        <w:rPr>
          <w:rFonts w:hint="eastAsia" w:ascii="宋体" w:hAnsi="宋体"/>
        </w:rPr>
        <w:t>我公司在参加本次采购活动前3年内在经营活动中没有因违法经营受到刑事处罚或者责令停产停业、吊销许可证或者执照、较大数额罚款等行政处罚。</w:t>
      </w:r>
    </w:p>
    <w:p>
      <w:pPr>
        <w:spacing w:line="360" w:lineRule="auto"/>
        <w:ind w:firstLine="560"/>
        <w:rPr>
          <w:rFonts w:ascii="宋体" w:hAnsi="宋体"/>
        </w:rPr>
      </w:pPr>
      <w:r>
        <w:rPr>
          <w:rFonts w:hint="eastAsia" w:ascii="宋体" w:hAnsi="宋体"/>
        </w:rPr>
        <w:t>特此声明。如我公司提供虚假信息，将承担虚假应标的全部责任，并按《中华人民共和国政府采购法》相关法律、法规规定接受处罚。</w:t>
      </w:r>
    </w:p>
    <w:p>
      <w:pPr>
        <w:spacing w:line="480" w:lineRule="auto"/>
        <w:ind w:left="561"/>
        <w:rPr>
          <w:rFonts w:ascii="宋体" w:hAnsi="宋体"/>
        </w:rPr>
      </w:pPr>
      <w:bookmarkStart w:id="164" w:name="_Toc520487493"/>
      <w:bookmarkStart w:id="165" w:name="_Toc520396972"/>
    </w:p>
    <w:p>
      <w:pPr>
        <w:spacing w:line="480" w:lineRule="auto"/>
        <w:ind w:left="561"/>
        <w:rPr>
          <w:rFonts w:ascii="宋体" w:hAnsi="宋体"/>
        </w:rPr>
      </w:pPr>
    </w:p>
    <w:p>
      <w:pPr>
        <w:spacing w:line="480" w:lineRule="auto"/>
        <w:ind w:left="561"/>
        <w:rPr>
          <w:rFonts w:ascii="宋体" w:hAnsi="宋体"/>
        </w:rPr>
      </w:pPr>
      <w:r>
        <w:rPr>
          <w:rFonts w:hint="eastAsia" w:ascii="宋体" w:hAnsi="宋体"/>
        </w:rPr>
        <w:t>供应商（名称）：</w:t>
      </w:r>
      <w:r>
        <w:rPr>
          <w:rFonts w:ascii="宋体" w:hAnsi="宋体"/>
        </w:rPr>
        <w:t>（加盖公章）</w:t>
      </w:r>
    </w:p>
    <w:p>
      <w:pPr>
        <w:spacing w:line="480" w:lineRule="auto"/>
        <w:ind w:left="561"/>
        <w:rPr>
          <w:rFonts w:ascii="宋体" w:hAnsi="宋体"/>
        </w:rPr>
      </w:pPr>
      <w:r>
        <w:rPr>
          <w:rFonts w:hint="eastAsia" w:ascii="宋体" w:hAnsi="宋体"/>
        </w:rPr>
        <w:t>日期：      年      月     日</w:t>
      </w:r>
    </w:p>
    <w:p>
      <w:pPr>
        <w:spacing w:line="480" w:lineRule="auto"/>
        <w:ind w:left="561"/>
        <w:rPr>
          <w:rFonts w:ascii="宋体" w:hAnsi="宋体"/>
        </w:rPr>
      </w:pPr>
    </w:p>
    <w:p>
      <w:pPr>
        <w:spacing w:line="480" w:lineRule="auto"/>
        <w:ind w:left="561"/>
        <w:rPr>
          <w:rFonts w:ascii="宋体" w:hAnsi="宋体"/>
        </w:rPr>
      </w:pPr>
    </w:p>
    <w:p>
      <w:pPr>
        <w:spacing w:line="480" w:lineRule="auto"/>
        <w:ind w:left="561"/>
        <w:rPr>
          <w:rFonts w:ascii="宋体" w:hAnsi="宋体"/>
        </w:rPr>
      </w:pPr>
    </w:p>
    <w:p>
      <w:pPr>
        <w:spacing w:line="480" w:lineRule="auto"/>
        <w:ind w:left="561"/>
        <w:rPr>
          <w:rFonts w:ascii="宋体" w:hAnsi="宋体"/>
        </w:rPr>
      </w:pPr>
    </w:p>
    <w:p>
      <w:pPr>
        <w:spacing w:line="480" w:lineRule="auto"/>
        <w:ind w:left="561"/>
        <w:rPr>
          <w:rFonts w:ascii="宋体" w:hAnsi="宋体"/>
        </w:rPr>
      </w:pPr>
    </w:p>
    <w:p>
      <w:pPr>
        <w:spacing w:line="480" w:lineRule="auto"/>
        <w:ind w:left="561"/>
        <w:rPr>
          <w:rFonts w:ascii="宋体" w:hAnsi="宋体"/>
        </w:rPr>
      </w:pPr>
    </w:p>
    <w:p>
      <w:pPr>
        <w:spacing w:line="480" w:lineRule="auto"/>
        <w:ind w:left="561"/>
        <w:rPr>
          <w:rFonts w:ascii="宋体" w:hAnsi="宋体"/>
        </w:rPr>
      </w:pPr>
    </w:p>
    <w:p>
      <w:pPr>
        <w:autoSpaceDE w:val="0"/>
        <w:autoSpaceDN w:val="0"/>
        <w:adjustRightInd w:val="0"/>
        <w:spacing w:line="360" w:lineRule="auto"/>
        <w:outlineLvl w:val="0"/>
        <w:rPr>
          <w:rFonts w:ascii="宋体" w:hAnsi="宋体"/>
        </w:rPr>
      </w:pPr>
      <w:bookmarkStart w:id="166" w:name="_Toc23871225"/>
    </w:p>
    <w:p>
      <w:pPr>
        <w:autoSpaceDE w:val="0"/>
        <w:autoSpaceDN w:val="0"/>
        <w:adjustRightInd w:val="0"/>
        <w:spacing w:line="360" w:lineRule="auto"/>
        <w:outlineLvl w:val="0"/>
        <w:rPr>
          <w:rFonts w:ascii="宋体" w:hAnsi="宋体"/>
        </w:rPr>
      </w:pPr>
    </w:p>
    <w:p>
      <w:pPr>
        <w:autoSpaceDE w:val="0"/>
        <w:autoSpaceDN w:val="0"/>
        <w:adjustRightInd w:val="0"/>
        <w:spacing w:line="360" w:lineRule="auto"/>
        <w:outlineLvl w:val="0"/>
        <w:rPr>
          <w:rFonts w:ascii="宋体" w:hAnsi="宋体"/>
        </w:rPr>
      </w:pPr>
    </w:p>
    <w:p>
      <w:pPr>
        <w:autoSpaceDE w:val="0"/>
        <w:autoSpaceDN w:val="0"/>
        <w:adjustRightInd w:val="0"/>
        <w:spacing w:line="360" w:lineRule="auto"/>
        <w:outlineLvl w:val="0"/>
        <w:rPr>
          <w:rFonts w:ascii="宋体" w:hAnsi="宋体"/>
        </w:rPr>
      </w:pPr>
    </w:p>
    <w:p>
      <w:pPr>
        <w:autoSpaceDE w:val="0"/>
        <w:autoSpaceDN w:val="0"/>
        <w:adjustRightInd w:val="0"/>
        <w:spacing w:line="360" w:lineRule="auto"/>
        <w:outlineLvl w:val="0"/>
        <w:rPr>
          <w:rFonts w:ascii="宋体" w:hAnsi="宋体"/>
        </w:rPr>
      </w:pPr>
    </w:p>
    <w:p>
      <w:pPr>
        <w:autoSpaceDE w:val="0"/>
        <w:autoSpaceDN w:val="0"/>
        <w:adjustRightInd w:val="0"/>
        <w:spacing w:line="360" w:lineRule="auto"/>
        <w:outlineLvl w:val="0"/>
        <w:rPr>
          <w:rFonts w:ascii="宋体" w:hAnsi="宋体"/>
        </w:rPr>
      </w:pPr>
    </w:p>
    <w:p>
      <w:pPr>
        <w:autoSpaceDE w:val="0"/>
        <w:autoSpaceDN w:val="0"/>
        <w:adjustRightInd w:val="0"/>
        <w:spacing w:line="360" w:lineRule="auto"/>
        <w:outlineLvl w:val="0"/>
        <w:rPr>
          <w:rStyle w:val="31"/>
        </w:rPr>
      </w:pPr>
    </w:p>
    <w:p>
      <w:pPr>
        <w:autoSpaceDE w:val="0"/>
        <w:autoSpaceDN w:val="0"/>
        <w:adjustRightInd w:val="0"/>
        <w:spacing w:line="360" w:lineRule="auto"/>
        <w:outlineLvl w:val="0"/>
        <w:rPr>
          <w:rStyle w:val="31"/>
          <w:rFonts w:ascii="宋体" w:hAnsi="宋体"/>
          <w:b w:val="0"/>
          <w:sz w:val="24"/>
          <w:szCs w:val="24"/>
        </w:rPr>
      </w:pPr>
      <w:r>
        <w:rPr>
          <w:rStyle w:val="31"/>
          <w:rFonts w:hint="eastAsia"/>
          <w:b w:val="0"/>
          <w:sz w:val="24"/>
          <w:szCs w:val="24"/>
        </w:rPr>
        <w:t>12</w:t>
      </w:r>
      <w:r>
        <w:rPr>
          <w:rStyle w:val="31"/>
          <w:rFonts w:hint="eastAsia" w:ascii="宋体" w:hAnsi="宋体"/>
          <w:b w:val="0"/>
          <w:sz w:val="24"/>
          <w:szCs w:val="24"/>
        </w:rPr>
        <w:t>-6法律、行政法规规定的其他条件</w:t>
      </w:r>
      <w:bookmarkEnd w:id="164"/>
      <w:bookmarkEnd w:id="165"/>
      <w:bookmarkEnd w:id="166"/>
    </w:p>
    <w:p>
      <w:pPr>
        <w:shd w:val="clear" w:color="auto" w:fill="FFFFFF"/>
        <w:tabs>
          <w:tab w:val="left" w:pos="3580"/>
          <w:tab w:val="left" w:pos="5040"/>
          <w:tab w:val="left" w:pos="8520"/>
        </w:tabs>
        <w:spacing w:line="460" w:lineRule="exact"/>
        <w:ind w:right="-23"/>
        <w:rPr>
          <w:rFonts w:ascii="宋体" w:hAnsi="宋体" w:cs="宋体"/>
          <w:b/>
          <w:bCs/>
          <w:kern w:val="0"/>
          <w:szCs w:val="21"/>
        </w:rPr>
      </w:pPr>
      <w:r>
        <w:rPr>
          <w:rFonts w:hint="eastAsia" w:hAnsi="宋体"/>
          <w:b/>
        </w:rPr>
        <w:t>由采购人或采购代理机构通过“信用中国”网站（</w:t>
      </w:r>
      <w:r>
        <w:rPr>
          <w:rFonts w:hAnsi="宋体"/>
          <w:b/>
        </w:rPr>
        <w:t>www.creditchina.gov.cn）进行查询，未被列入失信被执行人、重大税收违法案件当事人名单。</w:t>
      </w:r>
    </w:p>
    <w:p>
      <w:pPr>
        <w:autoSpaceDE w:val="0"/>
        <w:autoSpaceDN w:val="0"/>
        <w:adjustRightInd w:val="0"/>
        <w:spacing w:line="360" w:lineRule="auto"/>
        <w:outlineLvl w:val="0"/>
        <w:rPr>
          <w:rStyle w:val="31"/>
        </w:rPr>
      </w:pPr>
    </w:p>
    <w:p>
      <w:pPr>
        <w:autoSpaceDE w:val="0"/>
        <w:autoSpaceDN w:val="0"/>
        <w:adjustRightInd w:val="0"/>
        <w:spacing w:line="360" w:lineRule="auto"/>
        <w:outlineLvl w:val="0"/>
        <w:rPr>
          <w:rStyle w:val="31"/>
        </w:rPr>
      </w:pPr>
    </w:p>
    <w:p>
      <w:pPr>
        <w:autoSpaceDE w:val="0"/>
        <w:autoSpaceDN w:val="0"/>
        <w:adjustRightInd w:val="0"/>
        <w:spacing w:line="360" w:lineRule="auto"/>
        <w:outlineLvl w:val="0"/>
        <w:rPr>
          <w:rStyle w:val="31"/>
        </w:rPr>
      </w:pPr>
    </w:p>
    <w:p>
      <w:pPr>
        <w:autoSpaceDE w:val="0"/>
        <w:autoSpaceDN w:val="0"/>
        <w:adjustRightInd w:val="0"/>
        <w:spacing w:line="360" w:lineRule="auto"/>
        <w:outlineLvl w:val="0"/>
        <w:rPr>
          <w:rStyle w:val="31"/>
        </w:rPr>
      </w:pPr>
    </w:p>
    <w:p>
      <w:pPr>
        <w:autoSpaceDE w:val="0"/>
        <w:autoSpaceDN w:val="0"/>
        <w:adjustRightInd w:val="0"/>
        <w:spacing w:line="360" w:lineRule="auto"/>
        <w:outlineLvl w:val="0"/>
        <w:rPr>
          <w:rStyle w:val="31"/>
        </w:rPr>
      </w:pPr>
    </w:p>
    <w:p>
      <w:pPr>
        <w:autoSpaceDE w:val="0"/>
        <w:autoSpaceDN w:val="0"/>
        <w:adjustRightInd w:val="0"/>
        <w:spacing w:line="360" w:lineRule="auto"/>
        <w:outlineLvl w:val="0"/>
        <w:rPr>
          <w:rStyle w:val="31"/>
        </w:rPr>
      </w:pPr>
    </w:p>
    <w:p>
      <w:pPr>
        <w:autoSpaceDE w:val="0"/>
        <w:autoSpaceDN w:val="0"/>
        <w:adjustRightInd w:val="0"/>
        <w:spacing w:line="360" w:lineRule="auto"/>
        <w:outlineLvl w:val="0"/>
        <w:rPr>
          <w:rStyle w:val="31"/>
        </w:rPr>
      </w:pPr>
    </w:p>
    <w:p>
      <w:pPr>
        <w:autoSpaceDE w:val="0"/>
        <w:autoSpaceDN w:val="0"/>
        <w:adjustRightInd w:val="0"/>
        <w:spacing w:line="360" w:lineRule="auto"/>
        <w:outlineLvl w:val="0"/>
        <w:rPr>
          <w:rStyle w:val="31"/>
        </w:rPr>
      </w:pPr>
    </w:p>
    <w:p>
      <w:pPr>
        <w:autoSpaceDE w:val="0"/>
        <w:autoSpaceDN w:val="0"/>
        <w:adjustRightInd w:val="0"/>
        <w:spacing w:line="360" w:lineRule="auto"/>
        <w:outlineLvl w:val="0"/>
        <w:rPr>
          <w:rStyle w:val="31"/>
        </w:rPr>
      </w:pPr>
    </w:p>
    <w:p>
      <w:pPr>
        <w:autoSpaceDE w:val="0"/>
        <w:autoSpaceDN w:val="0"/>
        <w:adjustRightInd w:val="0"/>
        <w:spacing w:line="360" w:lineRule="auto"/>
        <w:outlineLvl w:val="0"/>
        <w:rPr>
          <w:rStyle w:val="31"/>
        </w:rPr>
      </w:pPr>
    </w:p>
    <w:p>
      <w:pPr>
        <w:autoSpaceDE w:val="0"/>
        <w:autoSpaceDN w:val="0"/>
        <w:adjustRightInd w:val="0"/>
        <w:spacing w:line="360" w:lineRule="auto"/>
        <w:outlineLvl w:val="0"/>
        <w:rPr>
          <w:rStyle w:val="31"/>
        </w:rPr>
      </w:pPr>
    </w:p>
    <w:p>
      <w:pPr>
        <w:autoSpaceDE w:val="0"/>
        <w:autoSpaceDN w:val="0"/>
        <w:adjustRightInd w:val="0"/>
        <w:spacing w:line="360" w:lineRule="auto"/>
        <w:outlineLvl w:val="0"/>
        <w:rPr>
          <w:rStyle w:val="31"/>
        </w:rPr>
      </w:pPr>
    </w:p>
    <w:p>
      <w:pPr>
        <w:autoSpaceDE w:val="0"/>
        <w:autoSpaceDN w:val="0"/>
        <w:adjustRightInd w:val="0"/>
        <w:spacing w:line="360" w:lineRule="auto"/>
        <w:outlineLvl w:val="0"/>
        <w:rPr>
          <w:rStyle w:val="31"/>
        </w:rPr>
      </w:pPr>
    </w:p>
    <w:p>
      <w:pPr>
        <w:autoSpaceDE w:val="0"/>
        <w:autoSpaceDN w:val="0"/>
        <w:adjustRightInd w:val="0"/>
        <w:spacing w:line="360" w:lineRule="auto"/>
        <w:outlineLvl w:val="0"/>
        <w:rPr>
          <w:rStyle w:val="31"/>
        </w:rPr>
      </w:pPr>
    </w:p>
    <w:p>
      <w:pPr>
        <w:autoSpaceDE w:val="0"/>
        <w:autoSpaceDN w:val="0"/>
        <w:adjustRightInd w:val="0"/>
        <w:spacing w:line="360" w:lineRule="auto"/>
        <w:outlineLvl w:val="0"/>
        <w:rPr>
          <w:rStyle w:val="31"/>
        </w:rPr>
      </w:pPr>
    </w:p>
    <w:p>
      <w:pPr>
        <w:autoSpaceDE w:val="0"/>
        <w:autoSpaceDN w:val="0"/>
        <w:adjustRightInd w:val="0"/>
        <w:spacing w:line="360" w:lineRule="auto"/>
        <w:outlineLvl w:val="0"/>
        <w:rPr>
          <w:rStyle w:val="31"/>
        </w:rPr>
      </w:pPr>
    </w:p>
    <w:p>
      <w:pPr>
        <w:autoSpaceDE w:val="0"/>
        <w:autoSpaceDN w:val="0"/>
        <w:adjustRightInd w:val="0"/>
        <w:spacing w:line="360" w:lineRule="auto"/>
        <w:outlineLvl w:val="0"/>
        <w:rPr>
          <w:rStyle w:val="31"/>
        </w:rPr>
      </w:pPr>
    </w:p>
    <w:p>
      <w:pPr>
        <w:autoSpaceDE w:val="0"/>
        <w:autoSpaceDN w:val="0"/>
        <w:adjustRightInd w:val="0"/>
        <w:spacing w:line="360" w:lineRule="auto"/>
        <w:outlineLvl w:val="0"/>
        <w:rPr>
          <w:rStyle w:val="31"/>
        </w:rPr>
      </w:pPr>
    </w:p>
    <w:p>
      <w:pPr>
        <w:autoSpaceDE w:val="0"/>
        <w:autoSpaceDN w:val="0"/>
        <w:adjustRightInd w:val="0"/>
        <w:spacing w:line="360" w:lineRule="auto"/>
        <w:outlineLvl w:val="0"/>
        <w:rPr>
          <w:rStyle w:val="31"/>
        </w:rPr>
      </w:pPr>
    </w:p>
    <w:p>
      <w:pPr>
        <w:autoSpaceDE w:val="0"/>
        <w:autoSpaceDN w:val="0"/>
        <w:adjustRightInd w:val="0"/>
        <w:spacing w:line="360" w:lineRule="auto"/>
        <w:outlineLvl w:val="0"/>
        <w:rPr>
          <w:rStyle w:val="31"/>
        </w:rPr>
      </w:pPr>
    </w:p>
    <w:p>
      <w:pPr>
        <w:autoSpaceDE w:val="0"/>
        <w:autoSpaceDN w:val="0"/>
        <w:adjustRightInd w:val="0"/>
        <w:spacing w:line="360" w:lineRule="auto"/>
        <w:outlineLvl w:val="0"/>
        <w:rPr>
          <w:rStyle w:val="31"/>
        </w:rPr>
      </w:pPr>
    </w:p>
    <w:p>
      <w:pPr>
        <w:autoSpaceDE w:val="0"/>
        <w:autoSpaceDN w:val="0"/>
        <w:adjustRightInd w:val="0"/>
        <w:spacing w:line="360" w:lineRule="auto"/>
        <w:outlineLvl w:val="0"/>
        <w:rPr>
          <w:rStyle w:val="31"/>
        </w:rPr>
      </w:pPr>
    </w:p>
    <w:p>
      <w:pPr>
        <w:autoSpaceDE w:val="0"/>
        <w:autoSpaceDN w:val="0"/>
        <w:adjustRightInd w:val="0"/>
        <w:spacing w:line="360" w:lineRule="auto"/>
        <w:outlineLvl w:val="0"/>
        <w:rPr>
          <w:rStyle w:val="31"/>
        </w:rPr>
      </w:pPr>
    </w:p>
    <w:p>
      <w:pPr>
        <w:autoSpaceDE w:val="0"/>
        <w:autoSpaceDN w:val="0"/>
        <w:adjustRightInd w:val="0"/>
        <w:spacing w:line="360" w:lineRule="auto"/>
        <w:outlineLvl w:val="0"/>
        <w:rPr>
          <w:rStyle w:val="31"/>
        </w:rPr>
      </w:pPr>
    </w:p>
    <w:p>
      <w:pPr>
        <w:autoSpaceDE w:val="0"/>
        <w:autoSpaceDN w:val="0"/>
        <w:adjustRightInd w:val="0"/>
        <w:spacing w:line="360" w:lineRule="auto"/>
        <w:outlineLvl w:val="0"/>
        <w:rPr>
          <w:rStyle w:val="31"/>
          <w:b w:val="0"/>
          <w:sz w:val="24"/>
          <w:szCs w:val="24"/>
        </w:rPr>
      </w:pPr>
      <w:r>
        <w:rPr>
          <w:rStyle w:val="31"/>
          <w:rFonts w:hint="eastAsia"/>
          <w:b w:val="0"/>
          <w:sz w:val="24"/>
          <w:szCs w:val="24"/>
        </w:rPr>
        <w:t xml:space="preserve">12-7磋商供应商关于资格的声明函（格式） </w:t>
      </w:r>
    </w:p>
    <w:p>
      <w:pPr>
        <w:shd w:val="clear" w:color="auto" w:fill="FFFFFF"/>
        <w:tabs>
          <w:tab w:val="left" w:pos="3580"/>
          <w:tab w:val="left" w:pos="5040"/>
          <w:tab w:val="left" w:pos="8520"/>
        </w:tabs>
        <w:spacing w:line="460" w:lineRule="exact"/>
        <w:ind w:left="73" w:leftChars="35" w:right="-23" w:firstLine="420" w:firstLineChars="200"/>
        <w:rPr>
          <w:rFonts w:ascii="宋体" w:hAnsi="宋体" w:cs="宋体"/>
          <w:position w:val="-2"/>
          <w:szCs w:val="21"/>
        </w:rPr>
      </w:pPr>
      <w:r>
        <w:rPr>
          <w:rFonts w:hint="eastAsia" w:ascii="宋体" w:hAnsi="宋体" w:cs="宋体"/>
          <w:position w:val="-2"/>
          <w:szCs w:val="21"/>
        </w:rPr>
        <w:t>致江西久和招标服务有限公司：</w:t>
      </w:r>
    </w:p>
    <w:p>
      <w:pPr>
        <w:shd w:val="clear" w:color="auto" w:fill="FFFFFF"/>
        <w:tabs>
          <w:tab w:val="left" w:pos="3580"/>
          <w:tab w:val="left" w:pos="5040"/>
          <w:tab w:val="left" w:pos="8520"/>
        </w:tabs>
        <w:spacing w:line="460" w:lineRule="exact"/>
        <w:ind w:left="73" w:leftChars="35" w:right="-23" w:firstLine="420" w:firstLineChars="200"/>
        <w:rPr>
          <w:rFonts w:ascii="宋体" w:hAnsi="宋体" w:cs="宋体"/>
          <w:position w:val="-2"/>
          <w:szCs w:val="21"/>
        </w:rPr>
      </w:pPr>
      <w:r>
        <w:rPr>
          <w:rFonts w:hint="eastAsia" w:ascii="宋体" w:hAnsi="宋体" w:cs="宋体"/>
          <w:position w:val="-2"/>
          <w:szCs w:val="21"/>
        </w:rPr>
        <w:t>我公司愿意针对</w:t>
      </w:r>
      <w:r>
        <w:rPr>
          <w:rFonts w:hint="eastAsia" w:ascii="宋体" w:hAnsi="宋体" w:cs="宋体"/>
          <w:position w:val="-2"/>
          <w:szCs w:val="21"/>
          <w:u w:val="single"/>
        </w:rPr>
        <w:t xml:space="preserve">          </w:t>
      </w:r>
      <w:r>
        <w:rPr>
          <w:rFonts w:hint="eastAsia" w:ascii="宋体" w:hAnsi="宋体" w:cs="宋体"/>
          <w:position w:val="-2"/>
          <w:szCs w:val="21"/>
        </w:rPr>
        <w:t>项目进行磋商。响应文件中所有关于磋商供应商资格的文件、证明和陈述均是真实和准确的。若有违背，我公司承担由此产生的一切后果。</w:t>
      </w:r>
    </w:p>
    <w:p>
      <w:pPr>
        <w:shd w:val="clear" w:color="auto" w:fill="FFFFFF"/>
        <w:tabs>
          <w:tab w:val="left" w:pos="3580"/>
          <w:tab w:val="left" w:pos="5040"/>
          <w:tab w:val="left" w:pos="8520"/>
        </w:tabs>
        <w:spacing w:line="460" w:lineRule="exact"/>
        <w:ind w:left="73" w:leftChars="35" w:right="-23" w:firstLine="420" w:firstLineChars="200"/>
        <w:rPr>
          <w:rFonts w:ascii="宋体" w:hAnsi="宋体" w:cs="宋体"/>
          <w:position w:val="-2"/>
          <w:szCs w:val="21"/>
        </w:rPr>
      </w:pPr>
      <w:r>
        <w:rPr>
          <w:rFonts w:hint="eastAsia" w:ascii="宋体" w:hAnsi="宋体" w:cs="宋体"/>
          <w:position w:val="-2"/>
          <w:szCs w:val="21"/>
        </w:rPr>
        <w:t xml:space="preserve">特此声明！                        </w:t>
      </w:r>
    </w:p>
    <w:p>
      <w:pPr>
        <w:shd w:val="clear" w:color="auto" w:fill="FFFFFF"/>
        <w:tabs>
          <w:tab w:val="left" w:pos="3580"/>
          <w:tab w:val="left" w:pos="5040"/>
          <w:tab w:val="left" w:pos="8520"/>
        </w:tabs>
        <w:spacing w:line="460" w:lineRule="exact"/>
        <w:ind w:left="73" w:leftChars="35" w:right="-23" w:firstLine="420" w:firstLineChars="200"/>
        <w:rPr>
          <w:rFonts w:ascii="宋体" w:hAnsi="宋体" w:cs="宋体"/>
          <w:position w:val="-2"/>
          <w:szCs w:val="21"/>
        </w:rPr>
      </w:pPr>
      <w:r>
        <w:rPr>
          <w:rFonts w:hint="eastAsia" w:ascii="宋体" w:hAnsi="宋体" w:cs="宋体"/>
          <w:position w:val="-2"/>
          <w:szCs w:val="21"/>
        </w:rPr>
        <w:t xml:space="preserve">法定代表人或经营者（签字）： </w:t>
      </w:r>
    </w:p>
    <w:p>
      <w:pPr>
        <w:shd w:val="clear" w:color="auto" w:fill="FFFFFF"/>
        <w:tabs>
          <w:tab w:val="left" w:pos="3580"/>
          <w:tab w:val="left" w:pos="5040"/>
          <w:tab w:val="left" w:pos="8520"/>
        </w:tabs>
        <w:spacing w:line="460" w:lineRule="exact"/>
        <w:ind w:left="73" w:leftChars="35" w:right="-23" w:firstLine="420" w:firstLineChars="200"/>
        <w:rPr>
          <w:rFonts w:ascii="宋体" w:hAnsi="宋体" w:cs="宋体"/>
          <w:position w:val="-2"/>
          <w:szCs w:val="21"/>
        </w:rPr>
      </w:pPr>
      <w:r>
        <w:rPr>
          <w:rFonts w:hint="eastAsia" w:ascii="宋体" w:hAnsi="宋体" w:cs="宋体"/>
          <w:position w:val="-2"/>
          <w:szCs w:val="21"/>
        </w:rPr>
        <w:t xml:space="preserve">                                 磋商供应商名称（公章）  </w:t>
      </w:r>
    </w:p>
    <w:p>
      <w:pPr>
        <w:shd w:val="clear" w:color="auto" w:fill="FFFFFF"/>
        <w:tabs>
          <w:tab w:val="left" w:pos="3580"/>
          <w:tab w:val="left" w:pos="5040"/>
          <w:tab w:val="left" w:pos="8520"/>
        </w:tabs>
        <w:spacing w:line="460" w:lineRule="exact"/>
        <w:ind w:left="73" w:leftChars="35" w:right="-23" w:firstLine="420" w:firstLineChars="200"/>
        <w:rPr>
          <w:rFonts w:ascii="宋体" w:hAnsi="宋体" w:cs="宋体"/>
          <w:position w:val="-2"/>
          <w:szCs w:val="21"/>
        </w:rPr>
      </w:pPr>
      <w:r>
        <w:rPr>
          <w:rFonts w:hint="eastAsia" w:ascii="宋体" w:hAnsi="宋体" w:cs="宋体"/>
          <w:position w:val="-2"/>
          <w:szCs w:val="21"/>
        </w:rPr>
        <w:t xml:space="preserve">                                       年  月  日</w:t>
      </w:r>
    </w:p>
    <w:p>
      <w:pPr>
        <w:pStyle w:val="11"/>
        <w:rPr>
          <w:rFonts w:ascii="宋体" w:hAnsi="宋体" w:cs="宋体"/>
          <w:position w:val="-2"/>
          <w:szCs w:val="21"/>
        </w:rPr>
      </w:pPr>
    </w:p>
    <w:p>
      <w:pPr>
        <w:pStyle w:val="12"/>
        <w:rPr>
          <w:rFonts w:ascii="宋体" w:hAnsi="宋体" w:cs="宋体"/>
          <w:position w:val="-2"/>
          <w:szCs w:val="21"/>
        </w:rPr>
      </w:pPr>
    </w:p>
    <w:p>
      <w:pPr>
        <w:rPr>
          <w:rFonts w:ascii="宋体" w:hAnsi="宋体" w:cs="宋体"/>
          <w:position w:val="-2"/>
          <w:szCs w:val="21"/>
        </w:rPr>
      </w:pPr>
    </w:p>
    <w:p>
      <w:pPr>
        <w:pStyle w:val="11"/>
        <w:rPr>
          <w:rFonts w:ascii="宋体" w:hAnsi="宋体" w:cs="宋体"/>
          <w:position w:val="-2"/>
          <w:szCs w:val="21"/>
        </w:rPr>
      </w:pPr>
    </w:p>
    <w:p>
      <w:pPr>
        <w:pStyle w:val="12"/>
        <w:rPr>
          <w:rFonts w:ascii="宋体" w:hAnsi="宋体" w:cs="宋体"/>
          <w:position w:val="-2"/>
          <w:szCs w:val="21"/>
        </w:rPr>
      </w:pPr>
    </w:p>
    <w:p>
      <w:pPr>
        <w:rPr>
          <w:rFonts w:ascii="宋体" w:hAnsi="宋体" w:cs="宋体"/>
          <w:position w:val="-2"/>
          <w:szCs w:val="21"/>
        </w:rPr>
      </w:pPr>
    </w:p>
    <w:p>
      <w:pPr>
        <w:pStyle w:val="11"/>
        <w:rPr>
          <w:rFonts w:ascii="宋体" w:hAnsi="宋体" w:cs="宋体"/>
          <w:position w:val="-2"/>
          <w:szCs w:val="21"/>
        </w:rPr>
      </w:pPr>
    </w:p>
    <w:p>
      <w:pPr>
        <w:pStyle w:val="12"/>
        <w:rPr>
          <w:rFonts w:ascii="宋体" w:hAnsi="宋体" w:cs="宋体"/>
          <w:position w:val="-2"/>
          <w:szCs w:val="21"/>
        </w:rPr>
      </w:pPr>
    </w:p>
    <w:p>
      <w:pPr>
        <w:rPr>
          <w:rFonts w:ascii="宋体" w:hAnsi="宋体" w:cs="宋体"/>
          <w:position w:val="-2"/>
          <w:szCs w:val="21"/>
        </w:rPr>
      </w:pPr>
    </w:p>
    <w:p>
      <w:pPr>
        <w:pStyle w:val="11"/>
        <w:rPr>
          <w:rFonts w:ascii="宋体" w:hAnsi="宋体" w:cs="宋体"/>
          <w:position w:val="-2"/>
          <w:szCs w:val="21"/>
        </w:rPr>
      </w:pPr>
    </w:p>
    <w:p>
      <w:pPr>
        <w:pStyle w:val="12"/>
        <w:rPr>
          <w:rFonts w:ascii="宋体" w:hAnsi="宋体" w:cs="宋体"/>
          <w:position w:val="-2"/>
          <w:szCs w:val="21"/>
        </w:rPr>
      </w:pPr>
    </w:p>
    <w:p>
      <w:pPr>
        <w:rPr>
          <w:rFonts w:ascii="宋体" w:hAnsi="宋体" w:cs="宋体"/>
          <w:position w:val="-2"/>
          <w:szCs w:val="21"/>
        </w:rPr>
      </w:pPr>
    </w:p>
    <w:p>
      <w:pPr>
        <w:pStyle w:val="11"/>
        <w:rPr>
          <w:rFonts w:ascii="宋体" w:hAnsi="宋体" w:cs="宋体"/>
          <w:position w:val="-2"/>
          <w:szCs w:val="21"/>
        </w:rPr>
      </w:pPr>
    </w:p>
    <w:p>
      <w:pPr>
        <w:pStyle w:val="12"/>
        <w:rPr>
          <w:rFonts w:ascii="宋体" w:hAnsi="宋体" w:cs="宋体"/>
          <w:position w:val="-2"/>
          <w:szCs w:val="21"/>
        </w:rPr>
      </w:pPr>
    </w:p>
    <w:p>
      <w:pPr>
        <w:rPr>
          <w:rFonts w:ascii="宋体" w:hAnsi="宋体" w:cs="宋体"/>
          <w:position w:val="-2"/>
          <w:szCs w:val="21"/>
        </w:rPr>
      </w:pPr>
    </w:p>
    <w:p>
      <w:pPr>
        <w:pStyle w:val="11"/>
        <w:rPr>
          <w:rFonts w:ascii="宋体" w:hAnsi="宋体" w:cs="宋体"/>
          <w:position w:val="-2"/>
          <w:szCs w:val="21"/>
        </w:rPr>
      </w:pPr>
    </w:p>
    <w:p>
      <w:pPr>
        <w:pStyle w:val="12"/>
        <w:rPr>
          <w:rFonts w:ascii="宋体" w:hAnsi="宋体" w:cs="宋体"/>
          <w:position w:val="-2"/>
          <w:szCs w:val="21"/>
        </w:rPr>
      </w:pPr>
    </w:p>
    <w:p>
      <w:pPr>
        <w:rPr>
          <w:rFonts w:ascii="宋体" w:hAnsi="宋体" w:cs="宋体"/>
          <w:position w:val="-2"/>
          <w:szCs w:val="21"/>
        </w:rPr>
      </w:pPr>
    </w:p>
    <w:p>
      <w:pPr>
        <w:pStyle w:val="11"/>
        <w:rPr>
          <w:rFonts w:ascii="宋体" w:hAnsi="宋体" w:cs="宋体"/>
          <w:position w:val="-2"/>
          <w:szCs w:val="21"/>
        </w:rPr>
      </w:pPr>
    </w:p>
    <w:p>
      <w:pPr>
        <w:pStyle w:val="12"/>
        <w:rPr>
          <w:rFonts w:ascii="宋体" w:hAnsi="宋体" w:cs="宋体"/>
          <w:position w:val="-2"/>
          <w:szCs w:val="21"/>
        </w:rPr>
      </w:pPr>
    </w:p>
    <w:p>
      <w:pPr>
        <w:rPr>
          <w:rFonts w:ascii="宋体" w:hAnsi="宋体" w:cs="宋体"/>
          <w:position w:val="-2"/>
          <w:szCs w:val="21"/>
        </w:rPr>
      </w:pPr>
    </w:p>
    <w:p>
      <w:pPr>
        <w:shd w:val="clear" w:color="auto" w:fill="FFFFFF"/>
        <w:tabs>
          <w:tab w:val="left" w:pos="3580"/>
          <w:tab w:val="left" w:pos="5040"/>
          <w:tab w:val="left" w:pos="8520"/>
        </w:tabs>
        <w:spacing w:line="460" w:lineRule="exact"/>
        <w:ind w:right="-23"/>
        <w:rPr>
          <w:rFonts w:ascii="宋体" w:hAnsi="宋体" w:cs="宋体"/>
          <w:b/>
          <w:bCs/>
          <w:kern w:val="0"/>
          <w:szCs w:val="21"/>
        </w:rPr>
      </w:pPr>
    </w:p>
    <w:p>
      <w:pPr>
        <w:shd w:val="clear" w:color="auto" w:fill="FFFFFF"/>
        <w:tabs>
          <w:tab w:val="left" w:pos="3580"/>
          <w:tab w:val="left" w:pos="5040"/>
          <w:tab w:val="left" w:pos="8520"/>
        </w:tabs>
        <w:spacing w:line="460" w:lineRule="exact"/>
        <w:ind w:right="-23"/>
        <w:rPr>
          <w:rFonts w:ascii="宋体" w:hAnsi="宋体" w:cs="宋体"/>
          <w:bCs/>
          <w:kern w:val="0"/>
          <w:sz w:val="24"/>
          <w:szCs w:val="24"/>
        </w:rPr>
      </w:pPr>
    </w:p>
    <w:p>
      <w:pPr>
        <w:shd w:val="clear" w:color="auto" w:fill="FFFFFF"/>
        <w:tabs>
          <w:tab w:val="left" w:pos="3580"/>
          <w:tab w:val="left" w:pos="5040"/>
          <w:tab w:val="left" w:pos="8520"/>
        </w:tabs>
        <w:spacing w:line="460" w:lineRule="exact"/>
        <w:ind w:right="-23"/>
        <w:rPr>
          <w:rFonts w:ascii="宋体" w:hAnsi="宋体" w:cs="宋体"/>
          <w:bCs/>
          <w:kern w:val="0"/>
          <w:sz w:val="24"/>
          <w:szCs w:val="24"/>
        </w:rPr>
      </w:pPr>
      <w:r>
        <w:rPr>
          <w:rFonts w:hint="eastAsia" w:ascii="宋体" w:hAnsi="宋体" w:cs="宋体"/>
          <w:bCs/>
          <w:kern w:val="0"/>
          <w:sz w:val="24"/>
          <w:szCs w:val="24"/>
        </w:rPr>
        <w:t xml:space="preserve">附件13                          </w:t>
      </w:r>
    </w:p>
    <w:p>
      <w:pPr>
        <w:shd w:val="clear" w:color="auto" w:fill="FFFFFF"/>
        <w:tabs>
          <w:tab w:val="left" w:pos="3580"/>
          <w:tab w:val="left" w:pos="5040"/>
          <w:tab w:val="left" w:pos="8520"/>
        </w:tabs>
        <w:spacing w:line="460" w:lineRule="exact"/>
        <w:ind w:right="-23"/>
        <w:jc w:val="center"/>
        <w:rPr>
          <w:rFonts w:ascii="宋体" w:hAnsi="宋体" w:cs="宋体"/>
          <w:b/>
          <w:bCs/>
          <w:kern w:val="0"/>
          <w:sz w:val="24"/>
          <w:szCs w:val="24"/>
        </w:rPr>
      </w:pPr>
      <w:r>
        <w:rPr>
          <w:rFonts w:hint="eastAsia" w:ascii="宋体" w:hAnsi="宋体" w:cs="宋体"/>
          <w:b/>
          <w:bCs/>
          <w:kern w:val="0"/>
          <w:sz w:val="24"/>
          <w:szCs w:val="24"/>
        </w:rPr>
        <w:t>中小企业申明函</w:t>
      </w:r>
    </w:p>
    <w:p>
      <w:pPr>
        <w:shd w:val="clear" w:color="auto" w:fill="FFFFFF"/>
        <w:tabs>
          <w:tab w:val="left" w:pos="3580"/>
          <w:tab w:val="left" w:pos="5040"/>
          <w:tab w:val="left" w:pos="8520"/>
        </w:tabs>
        <w:spacing w:line="460" w:lineRule="exact"/>
        <w:ind w:left="73" w:leftChars="35" w:right="-23" w:firstLine="420" w:firstLineChars="200"/>
        <w:rPr>
          <w:rFonts w:ascii="宋体" w:hAnsi="宋体" w:cs="宋体"/>
          <w:position w:val="-2"/>
          <w:szCs w:val="21"/>
        </w:rPr>
      </w:pPr>
      <w:r>
        <w:rPr>
          <w:rFonts w:hint="eastAsia" w:ascii="宋体" w:hAnsi="宋体" w:cs="宋体"/>
          <w:position w:val="-2"/>
          <w:szCs w:val="21"/>
        </w:rPr>
        <w:t xml:space="preserve">本公司郑重声明，根据《政府采购促进中小企业发展暂行办法》（财库{2011}181 号）的规定，本公司为 （请填写：中型、小型、微型）企业。即，本公司同时满足以下条件： </w:t>
      </w:r>
    </w:p>
    <w:p>
      <w:pPr>
        <w:shd w:val="clear" w:color="auto" w:fill="FFFFFF"/>
        <w:tabs>
          <w:tab w:val="left" w:pos="3580"/>
          <w:tab w:val="left" w:pos="5040"/>
          <w:tab w:val="left" w:pos="8520"/>
        </w:tabs>
        <w:spacing w:line="460" w:lineRule="exact"/>
        <w:ind w:left="388" w:leftChars="35" w:right="-23" w:hanging="315" w:hangingChars="150"/>
        <w:rPr>
          <w:rFonts w:ascii="宋体" w:hAnsi="宋体" w:cs="宋体"/>
          <w:position w:val="-2"/>
          <w:szCs w:val="21"/>
        </w:rPr>
      </w:pPr>
      <w:r>
        <w:rPr>
          <w:rFonts w:hint="eastAsia" w:ascii="宋体" w:hAnsi="宋体" w:cs="宋体"/>
          <w:position w:val="-2"/>
          <w:szCs w:val="21"/>
        </w:rPr>
        <w:t>1.根据《工业和信息化部、国家统计局、国家发展和改革委员会、财政部关于印发中小企业划型标准规定的通知》（工信部联企业{2011}300 号）规定的划分标准，本公司为 （请填写：中型、小型、微型）企业。</w:t>
      </w:r>
    </w:p>
    <w:p>
      <w:pPr>
        <w:shd w:val="clear" w:color="auto" w:fill="FFFFFF"/>
        <w:tabs>
          <w:tab w:val="left" w:pos="3580"/>
          <w:tab w:val="left" w:pos="5040"/>
          <w:tab w:val="left" w:pos="8520"/>
        </w:tabs>
        <w:spacing w:line="460" w:lineRule="exact"/>
        <w:ind w:left="388" w:leftChars="35" w:right="-23" w:hanging="315" w:hangingChars="150"/>
        <w:rPr>
          <w:rFonts w:ascii="宋体" w:hAnsi="宋体" w:cs="宋体"/>
          <w:position w:val="-2"/>
          <w:szCs w:val="21"/>
        </w:rPr>
      </w:pPr>
      <w:r>
        <w:rPr>
          <w:rFonts w:hint="eastAsia" w:ascii="宋体" w:hAnsi="宋体" w:cs="宋体"/>
          <w:position w:val="-2"/>
          <w:szCs w:val="21"/>
        </w:rPr>
        <w:t xml:space="preserve">2.本公司参加 单位的 项目采购活动提供本企业制造的货物，或者提供其他 （请填写：中型、小型、微型）企业制造的货物。本条所称货物不包括使用大型企业注册商标的货物。本公司对上述声明的真实性负责。如有虚假，将依法承担相应责任。 </w:t>
      </w:r>
    </w:p>
    <w:p>
      <w:pPr>
        <w:shd w:val="clear" w:color="auto" w:fill="FFFFFF"/>
        <w:tabs>
          <w:tab w:val="left" w:pos="3580"/>
          <w:tab w:val="left" w:pos="5040"/>
          <w:tab w:val="left" w:pos="8520"/>
        </w:tabs>
        <w:spacing w:line="460" w:lineRule="exact"/>
        <w:ind w:right="-23" w:firstLine="420" w:firstLineChars="200"/>
        <w:rPr>
          <w:rFonts w:ascii="宋体" w:hAnsi="宋体" w:cs="宋体"/>
          <w:position w:val="-2"/>
          <w:szCs w:val="21"/>
        </w:rPr>
      </w:pPr>
      <w:r>
        <w:rPr>
          <w:rFonts w:hint="eastAsia" w:ascii="宋体" w:hAnsi="宋体" w:cs="宋体"/>
          <w:position w:val="-2"/>
          <w:szCs w:val="21"/>
        </w:rPr>
        <w:t xml:space="preserve">企业签章：            日期：              </w:t>
      </w:r>
      <w:r>
        <w:rPr>
          <w:rFonts w:hint="eastAsia" w:ascii="宋体" w:hAnsi="宋体" w:cs="宋体"/>
          <w:b/>
          <w:bCs/>
          <w:position w:val="-2"/>
          <w:szCs w:val="21"/>
        </w:rPr>
        <w:t xml:space="preserve">（注：不符合小型、微型企业条件的不需提供） </w:t>
      </w:r>
      <w:r>
        <w:rPr>
          <w:rFonts w:hint="eastAsia" w:ascii="宋体" w:hAnsi="宋体" w:cs="宋体"/>
          <w:position w:val="-2"/>
          <w:szCs w:val="21"/>
        </w:rPr>
        <w:cr/>
      </w:r>
    </w:p>
    <w:p>
      <w:pPr>
        <w:shd w:val="clear" w:color="auto" w:fill="FFFFFF"/>
        <w:tabs>
          <w:tab w:val="left" w:pos="3580"/>
          <w:tab w:val="left" w:pos="5040"/>
          <w:tab w:val="left" w:pos="8520"/>
        </w:tabs>
        <w:spacing w:line="460" w:lineRule="exact"/>
        <w:ind w:left="434" w:leftChars="35" w:right="-23" w:hanging="361" w:hangingChars="150"/>
        <w:jc w:val="center"/>
        <w:rPr>
          <w:rFonts w:ascii="宋体" w:hAnsi="宋体" w:cs="宋体"/>
          <w:position w:val="-2"/>
          <w:sz w:val="30"/>
          <w:szCs w:val="30"/>
        </w:rPr>
      </w:pPr>
      <w:r>
        <w:rPr>
          <w:rFonts w:hint="eastAsia" w:ascii="宋体" w:hAnsi="宋体" w:cs="宋体"/>
          <w:b/>
          <w:bCs/>
          <w:kern w:val="0"/>
          <w:sz w:val="24"/>
          <w:szCs w:val="24"/>
        </w:rPr>
        <w:t>残疾人福利性单位声明函</w:t>
      </w:r>
    </w:p>
    <w:p>
      <w:pPr>
        <w:shd w:val="clear" w:color="auto" w:fill="FFFFFF"/>
        <w:tabs>
          <w:tab w:val="left" w:pos="3580"/>
          <w:tab w:val="left" w:pos="5040"/>
          <w:tab w:val="left" w:pos="8520"/>
        </w:tabs>
        <w:spacing w:line="460" w:lineRule="exact"/>
        <w:ind w:right="-23" w:firstLine="420" w:firstLineChars="200"/>
        <w:jc w:val="left"/>
        <w:rPr>
          <w:rFonts w:ascii="宋体" w:hAnsi="宋体" w:cs="宋体"/>
          <w:position w:val="-2"/>
          <w:szCs w:val="21"/>
        </w:rPr>
      </w:pPr>
      <w:r>
        <w:rPr>
          <w:rFonts w:hint="eastAsia" w:ascii="宋体" w:hAnsi="宋体" w:cs="宋体"/>
          <w:position w:val="-2"/>
          <w:szCs w:val="21"/>
        </w:rPr>
        <w:t>本单位郑重声明，根据《财政部  民政部   中国残疾人联合会关于促进残疾人就业政府采购政策的通知》（财库[]2017]141号）的规定，本单位为符合条件的残疾人福利性单位，且本单位参加</w:t>
      </w:r>
      <w:r>
        <w:rPr>
          <w:rFonts w:hint="eastAsia" w:ascii="宋体" w:hAnsi="宋体" w:cs="宋体"/>
          <w:position w:val="-2"/>
          <w:szCs w:val="21"/>
          <w:u w:val="single"/>
        </w:rPr>
        <w:t xml:space="preserve">           </w:t>
      </w:r>
      <w:r>
        <w:rPr>
          <w:rFonts w:hint="eastAsia" w:ascii="宋体" w:hAnsi="宋体" w:cs="宋体"/>
          <w:position w:val="-2"/>
          <w:szCs w:val="21"/>
        </w:rPr>
        <w:t>单位的</w:t>
      </w:r>
      <w:r>
        <w:rPr>
          <w:rFonts w:hint="eastAsia" w:ascii="宋体" w:hAnsi="宋体" w:cs="宋体"/>
          <w:position w:val="-2"/>
          <w:szCs w:val="21"/>
          <w:u w:val="single"/>
        </w:rPr>
        <w:t xml:space="preserve">              </w:t>
      </w:r>
      <w:r>
        <w:rPr>
          <w:rFonts w:hint="eastAsia" w:ascii="宋体" w:hAnsi="宋体" w:cs="宋体"/>
          <w:position w:val="-2"/>
          <w:szCs w:val="21"/>
        </w:rPr>
        <w:t>项目采购活动提供本单位制造的货物（由本单位承担/提供服务），或者提供其他残疾人福利性单位制造的货物（不包括使用非残疾人福利性单位注册商标的货物）。</w:t>
      </w:r>
    </w:p>
    <w:p>
      <w:pPr>
        <w:shd w:val="clear" w:color="auto" w:fill="FFFFFF"/>
        <w:tabs>
          <w:tab w:val="left" w:pos="3580"/>
          <w:tab w:val="left" w:pos="5040"/>
          <w:tab w:val="left" w:pos="8520"/>
        </w:tabs>
        <w:spacing w:line="460" w:lineRule="exact"/>
        <w:ind w:left="388" w:leftChars="35" w:right="-23" w:hanging="315" w:hangingChars="150"/>
        <w:jc w:val="left"/>
        <w:rPr>
          <w:rFonts w:ascii="宋体" w:hAnsi="宋体" w:cs="宋体"/>
          <w:position w:val="-2"/>
          <w:szCs w:val="21"/>
        </w:rPr>
      </w:pPr>
      <w:r>
        <w:rPr>
          <w:rFonts w:hint="eastAsia" w:ascii="宋体" w:hAnsi="宋体" w:cs="宋体"/>
          <w:position w:val="-2"/>
          <w:szCs w:val="21"/>
        </w:rPr>
        <w:t>本单位对上述声明的真实性负责。如有虚假，将依法承担相应责任。</w:t>
      </w:r>
    </w:p>
    <w:p>
      <w:pPr>
        <w:shd w:val="clear" w:color="auto" w:fill="FFFFFF"/>
        <w:tabs>
          <w:tab w:val="left" w:pos="3580"/>
          <w:tab w:val="left" w:pos="5040"/>
          <w:tab w:val="left" w:pos="8520"/>
        </w:tabs>
        <w:spacing w:line="460" w:lineRule="exact"/>
        <w:ind w:left="388" w:leftChars="35" w:right="-23" w:hanging="315" w:hangingChars="150"/>
        <w:jc w:val="left"/>
        <w:rPr>
          <w:rFonts w:ascii="宋体" w:hAnsi="宋体" w:cs="宋体"/>
          <w:position w:val="-2"/>
          <w:szCs w:val="21"/>
        </w:rPr>
      </w:pPr>
    </w:p>
    <w:p>
      <w:pPr>
        <w:shd w:val="clear" w:color="auto" w:fill="FFFFFF"/>
        <w:tabs>
          <w:tab w:val="left" w:pos="3580"/>
          <w:tab w:val="left" w:pos="5040"/>
          <w:tab w:val="left" w:pos="8520"/>
        </w:tabs>
        <w:spacing w:line="460" w:lineRule="exact"/>
        <w:ind w:left="388" w:leftChars="35" w:right="-23" w:hanging="315" w:hangingChars="150"/>
        <w:jc w:val="left"/>
        <w:rPr>
          <w:rFonts w:ascii="宋体" w:hAnsi="宋体" w:cs="宋体"/>
          <w:position w:val="-2"/>
          <w:szCs w:val="21"/>
        </w:rPr>
      </w:pPr>
    </w:p>
    <w:p>
      <w:pPr>
        <w:shd w:val="clear" w:color="auto" w:fill="FFFFFF"/>
        <w:tabs>
          <w:tab w:val="left" w:pos="3580"/>
          <w:tab w:val="left" w:pos="5040"/>
          <w:tab w:val="left" w:pos="8520"/>
        </w:tabs>
        <w:spacing w:line="460" w:lineRule="exact"/>
        <w:ind w:left="388" w:leftChars="35" w:right="-23" w:hanging="315" w:hangingChars="150"/>
        <w:jc w:val="center"/>
        <w:rPr>
          <w:rFonts w:ascii="宋体" w:hAnsi="宋体" w:cs="宋体"/>
          <w:position w:val="-2"/>
          <w:szCs w:val="21"/>
        </w:rPr>
      </w:pPr>
      <w:r>
        <w:rPr>
          <w:rFonts w:hint="eastAsia" w:ascii="宋体" w:hAnsi="宋体" w:cs="宋体"/>
          <w:position w:val="-2"/>
          <w:szCs w:val="21"/>
        </w:rPr>
        <w:t xml:space="preserve">                                                  单位名称（盖章）：</w:t>
      </w:r>
    </w:p>
    <w:p>
      <w:pPr>
        <w:shd w:val="clear" w:color="auto" w:fill="FFFFFF"/>
        <w:tabs>
          <w:tab w:val="left" w:pos="3580"/>
          <w:tab w:val="left" w:pos="5040"/>
          <w:tab w:val="left" w:pos="8520"/>
        </w:tabs>
        <w:spacing w:line="460" w:lineRule="exact"/>
        <w:ind w:left="388" w:leftChars="35" w:right="-23" w:hanging="315" w:hangingChars="150"/>
        <w:jc w:val="center"/>
        <w:rPr>
          <w:rFonts w:ascii="宋体" w:hAnsi="宋体" w:cs="宋体"/>
          <w:position w:val="-2"/>
          <w:szCs w:val="21"/>
        </w:rPr>
      </w:pPr>
      <w:r>
        <w:rPr>
          <w:rFonts w:hint="eastAsia" w:ascii="宋体" w:hAnsi="宋体" w:cs="宋体"/>
          <w:position w:val="-2"/>
          <w:szCs w:val="21"/>
        </w:rPr>
        <w:t xml:space="preserve">                                         日期：</w:t>
      </w:r>
      <w:r>
        <w:rPr>
          <w:rFonts w:hint="eastAsia" w:ascii="宋体" w:hAnsi="宋体" w:cs="宋体"/>
          <w:position w:val="-2"/>
          <w:szCs w:val="21"/>
        </w:rPr>
        <w:cr/>
      </w:r>
    </w:p>
    <w:p>
      <w:pPr>
        <w:shd w:val="clear" w:color="auto" w:fill="FFFFFF"/>
        <w:tabs>
          <w:tab w:val="left" w:pos="3580"/>
          <w:tab w:val="left" w:pos="5040"/>
          <w:tab w:val="left" w:pos="8520"/>
        </w:tabs>
        <w:spacing w:line="460" w:lineRule="exact"/>
        <w:ind w:right="-23" w:firstLine="420" w:firstLineChars="200"/>
        <w:rPr>
          <w:rFonts w:ascii="宋体" w:hAnsi="宋体" w:cs="宋体"/>
          <w:position w:val="-2"/>
          <w:szCs w:val="21"/>
        </w:rPr>
      </w:pPr>
    </w:p>
    <w:p>
      <w:pPr>
        <w:shd w:val="clear" w:color="auto" w:fill="FFFFFF"/>
        <w:tabs>
          <w:tab w:val="left" w:pos="3580"/>
          <w:tab w:val="left" w:pos="5040"/>
          <w:tab w:val="left" w:pos="8520"/>
        </w:tabs>
        <w:spacing w:line="460" w:lineRule="exact"/>
        <w:ind w:right="-23" w:firstLine="420" w:firstLineChars="200"/>
        <w:rPr>
          <w:rFonts w:ascii="宋体" w:hAnsi="宋体" w:cs="宋体"/>
          <w:position w:val="-2"/>
          <w:szCs w:val="21"/>
        </w:rPr>
      </w:pPr>
    </w:p>
    <w:p>
      <w:pPr>
        <w:shd w:val="clear" w:color="auto" w:fill="FFFFFF"/>
        <w:tabs>
          <w:tab w:val="left" w:pos="3580"/>
          <w:tab w:val="left" w:pos="5040"/>
          <w:tab w:val="left" w:pos="8520"/>
        </w:tabs>
        <w:spacing w:line="460" w:lineRule="exact"/>
        <w:ind w:right="-23"/>
        <w:rPr>
          <w:rFonts w:ascii="宋体" w:hAnsi="宋体" w:cs="宋体"/>
          <w:position w:val="-2"/>
          <w:szCs w:val="21"/>
        </w:rPr>
      </w:pPr>
      <w:r>
        <w:rPr>
          <w:rFonts w:hint="eastAsia" w:ascii="宋体" w:hAnsi="宋体" w:cs="宋体"/>
          <w:position w:val="-2"/>
          <w:szCs w:val="21"/>
        </w:rPr>
        <w:t>备注：参加本次磋商活动的中小企业应当提供本附件。</w:t>
      </w:r>
    </w:p>
    <w:p>
      <w:pPr>
        <w:shd w:val="clear" w:color="auto" w:fill="FFFFFF"/>
        <w:tabs>
          <w:tab w:val="left" w:pos="3580"/>
          <w:tab w:val="left" w:pos="5040"/>
          <w:tab w:val="left" w:pos="8520"/>
        </w:tabs>
        <w:spacing w:line="460" w:lineRule="exact"/>
        <w:ind w:right="-23" w:firstLine="420" w:firstLineChars="200"/>
        <w:rPr>
          <w:rFonts w:ascii="宋体" w:hAnsi="宋体" w:cs="宋体"/>
          <w:position w:val="-2"/>
          <w:szCs w:val="21"/>
        </w:rPr>
      </w:pPr>
    </w:p>
    <w:p>
      <w:pPr>
        <w:shd w:val="clear" w:color="auto" w:fill="FFFFFF"/>
        <w:tabs>
          <w:tab w:val="left" w:pos="3580"/>
          <w:tab w:val="left" w:pos="5040"/>
          <w:tab w:val="left" w:pos="8520"/>
        </w:tabs>
        <w:spacing w:line="460" w:lineRule="exact"/>
        <w:ind w:right="-23" w:firstLine="420" w:firstLineChars="200"/>
        <w:rPr>
          <w:rFonts w:ascii="宋体" w:hAnsi="宋体" w:cs="宋体"/>
          <w:position w:val="-2"/>
          <w:szCs w:val="21"/>
        </w:rPr>
      </w:pPr>
    </w:p>
    <w:p>
      <w:pPr>
        <w:shd w:val="clear" w:color="auto" w:fill="FFFFFF"/>
        <w:tabs>
          <w:tab w:val="left" w:pos="3580"/>
          <w:tab w:val="left" w:pos="5040"/>
          <w:tab w:val="left" w:pos="8520"/>
        </w:tabs>
        <w:spacing w:line="460" w:lineRule="exact"/>
        <w:ind w:right="-23" w:firstLine="420" w:firstLineChars="200"/>
        <w:rPr>
          <w:rFonts w:ascii="宋体" w:hAnsi="宋体" w:cs="宋体"/>
          <w:position w:val="-2"/>
          <w:szCs w:val="21"/>
        </w:rPr>
      </w:pPr>
    </w:p>
    <w:p>
      <w:pPr>
        <w:shd w:val="clear" w:color="auto" w:fill="FFFFFF"/>
        <w:tabs>
          <w:tab w:val="left" w:pos="3580"/>
          <w:tab w:val="left" w:pos="5040"/>
          <w:tab w:val="left" w:pos="8520"/>
        </w:tabs>
        <w:spacing w:line="460" w:lineRule="exact"/>
        <w:ind w:right="-23" w:firstLine="420" w:firstLineChars="200"/>
        <w:rPr>
          <w:rFonts w:ascii="宋体" w:hAnsi="宋体" w:cs="宋体"/>
          <w:position w:val="-2"/>
          <w:szCs w:val="21"/>
        </w:rPr>
      </w:pPr>
    </w:p>
    <w:p>
      <w:pPr>
        <w:shd w:val="clear" w:color="auto" w:fill="FFFFFF"/>
        <w:tabs>
          <w:tab w:val="left" w:pos="3580"/>
          <w:tab w:val="left" w:pos="5040"/>
          <w:tab w:val="left" w:pos="8520"/>
        </w:tabs>
        <w:spacing w:line="460" w:lineRule="exact"/>
        <w:ind w:right="-23" w:firstLine="420" w:firstLineChars="200"/>
        <w:rPr>
          <w:rFonts w:ascii="宋体" w:hAnsi="宋体" w:cs="宋体"/>
          <w:position w:val="-2"/>
          <w:szCs w:val="21"/>
        </w:rPr>
      </w:pPr>
    </w:p>
    <w:p>
      <w:pPr>
        <w:shd w:val="clear" w:color="auto" w:fill="FFFFFF"/>
        <w:tabs>
          <w:tab w:val="left" w:pos="3580"/>
          <w:tab w:val="left" w:pos="5040"/>
          <w:tab w:val="left" w:pos="8520"/>
        </w:tabs>
        <w:spacing w:line="460" w:lineRule="exact"/>
        <w:ind w:right="-23"/>
        <w:rPr>
          <w:rFonts w:ascii="宋体" w:hAnsi="宋体" w:cs="宋体"/>
          <w:b/>
          <w:bCs/>
          <w:kern w:val="0"/>
          <w:szCs w:val="21"/>
        </w:rPr>
      </w:pPr>
    </w:p>
    <w:p>
      <w:pPr>
        <w:shd w:val="clear" w:color="auto" w:fill="FFFFFF"/>
        <w:tabs>
          <w:tab w:val="left" w:pos="3580"/>
          <w:tab w:val="left" w:pos="5040"/>
          <w:tab w:val="left" w:pos="8520"/>
        </w:tabs>
        <w:spacing w:line="460" w:lineRule="exact"/>
        <w:ind w:right="-23"/>
        <w:rPr>
          <w:rFonts w:ascii="宋体" w:hAnsi="宋体" w:cs="宋体"/>
          <w:bCs/>
          <w:kern w:val="0"/>
          <w:sz w:val="24"/>
          <w:szCs w:val="24"/>
        </w:rPr>
      </w:pPr>
      <w:r>
        <w:rPr>
          <w:rFonts w:hint="eastAsia" w:ascii="宋体" w:hAnsi="宋体" w:cs="宋体"/>
          <w:bCs/>
          <w:kern w:val="0"/>
          <w:sz w:val="24"/>
          <w:szCs w:val="24"/>
        </w:rPr>
        <w:t xml:space="preserve">附件14 </w:t>
      </w:r>
    </w:p>
    <w:p>
      <w:pPr>
        <w:shd w:val="clear" w:color="auto" w:fill="FFFFFF"/>
        <w:tabs>
          <w:tab w:val="left" w:pos="3580"/>
          <w:tab w:val="left" w:pos="5040"/>
          <w:tab w:val="left" w:pos="8520"/>
        </w:tabs>
        <w:spacing w:line="460" w:lineRule="exact"/>
        <w:ind w:right="-23"/>
        <w:jc w:val="center"/>
        <w:rPr>
          <w:rFonts w:ascii="宋体" w:hAnsi="宋体" w:cs="宋体"/>
          <w:b/>
          <w:bCs/>
          <w:kern w:val="0"/>
          <w:sz w:val="24"/>
          <w:szCs w:val="24"/>
        </w:rPr>
      </w:pPr>
      <w:r>
        <w:rPr>
          <w:rFonts w:hint="eastAsia" w:ascii="宋体" w:hAnsi="宋体" w:cs="宋体"/>
          <w:b/>
          <w:bCs/>
          <w:kern w:val="0"/>
          <w:sz w:val="24"/>
          <w:szCs w:val="24"/>
        </w:rPr>
        <w:t>企业所在地的县级以上中小企业主管部门出具的中、小、微企业认定有效证明或省级以上监狱管理局、戒毒管理局（含新疆生产建设兵团）出具的属于监狱企业证明文件</w:t>
      </w:r>
    </w:p>
    <w:tbl>
      <w:tblPr>
        <w:tblStyle w:val="28"/>
        <w:tblW w:w="9520" w:type="dxa"/>
        <w:tblInd w:w="2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0"/>
        <w:gridCol w:w="2040"/>
        <w:gridCol w:w="1020"/>
        <w:gridCol w:w="2040"/>
        <w:gridCol w:w="1360"/>
        <w:gridCol w:w="1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trPr>
        <w:tc>
          <w:tcPr>
            <w:tcW w:w="1190" w:type="dxa"/>
            <w:vMerge w:val="restart"/>
            <w:vAlign w:val="center"/>
          </w:tcPr>
          <w:p>
            <w:pPr>
              <w:shd w:val="clear" w:color="auto" w:fill="FFFFFF"/>
              <w:tabs>
                <w:tab w:val="left" w:pos="3580"/>
                <w:tab w:val="left" w:pos="5040"/>
                <w:tab w:val="left" w:pos="8520"/>
              </w:tabs>
              <w:spacing w:line="460" w:lineRule="exact"/>
              <w:ind w:right="-23"/>
              <w:jc w:val="center"/>
              <w:rPr>
                <w:rFonts w:ascii="宋体" w:hAnsi="宋体" w:cs="宋体"/>
                <w:position w:val="-2"/>
                <w:szCs w:val="21"/>
              </w:rPr>
            </w:pPr>
            <w:r>
              <w:rPr>
                <w:rFonts w:hint="eastAsia" w:ascii="宋体" w:hAnsi="宋体" w:cs="宋体"/>
                <w:position w:val="-2"/>
                <w:szCs w:val="21"/>
              </w:rPr>
              <w:t>企业基</w:t>
            </w:r>
          </w:p>
          <w:p>
            <w:pPr>
              <w:shd w:val="clear" w:color="auto" w:fill="FFFFFF"/>
              <w:tabs>
                <w:tab w:val="left" w:pos="3580"/>
                <w:tab w:val="left" w:pos="5040"/>
                <w:tab w:val="left" w:pos="8520"/>
              </w:tabs>
              <w:spacing w:line="460" w:lineRule="exact"/>
              <w:ind w:right="-23"/>
              <w:jc w:val="center"/>
              <w:rPr>
                <w:rFonts w:ascii="宋体" w:hAnsi="宋体" w:cs="宋体"/>
                <w:position w:val="-2"/>
                <w:szCs w:val="21"/>
              </w:rPr>
            </w:pPr>
            <w:r>
              <w:rPr>
                <w:rFonts w:hint="eastAsia" w:ascii="宋体" w:hAnsi="宋体" w:cs="宋体"/>
                <w:position w:val="-2"/>
                <w:szCs w:val="21"/>
              </w:rPr>
              <w:t>本情况</w:t>
            </w:r>
          </w:p>
        </w:tc>
        <w:tc>
          <w:tcPr>
            <w:tcW w:w="2040" w:type="dxa"/>
            <w:vAlign w:val="center"/>
          </w:tcPr>
          <w:p>
            <w:pPr>
              <w:shd w:val="clear" w:color="auto" w:fill="FFFFFF"/>
              <w:spacing w:line="460" w:lineRule="exact"/>
              <w:jc w:val="center"/>
              <w:rPr>
                <w:rFonts w:ascii="宋体" w:hAnsi="宋体"/>
                <w:szCs w:val="21"/>
              </w:rPr>
            </w:pPr>
            <w:r>
              <w:rPr>
                <w:rFonts w:hint="eastAsia" w:ascii="宋体" w:hAnsi="宋体"/>
                <w:szCs w:val="21"/>
              </w:rPr>
              <w:t>企业名称*</w:t>
            </w:r>
          </w:p>
        </w:tc>
        <w:tc>
          <w:tcPr>
            <w:tcW w:w="1020" w:type="dxa"/>
            <w:vAlign w:val="center"/>
          </w:tcPr>
          <w:p>
            <w:pPr>
              <w:shd w:val="clear" w:color="auto" w:fill="FFFFFF"/>
              <w:spacing w:line="460" w:lineRule="exact"/>
              <w:jc w:val="center"/>
              <w:rPr>
                <w:rFonts w:ascii="宋体" w:hAnsi="宋体"/>
                <w:szCs w:val="21"/>
              </w:rPr>
            </w:pPr>
          </w:p>
        </w:tc>
        <w:tc>
          <w:tcPr>
            <w:tcW w:w="2040" w:type="dxa"/>
            <w:vAlign w:val="center"/>
          </w:tcPr>
          <w:p>
            <w:pPr>
              <w:shd w:val="clear" w:color="auto" w:fill="FFFFFF"/>
              <w:spacing w:line="460" w:lineRule="exact"/>
              <w:jc w:val="center"/>
              <w:rPr>
                <w:rFonts w:ascii="宋体" w:hAnsi="宋体"/>
                <w:szCs w:val="21"/>
              </w:rPr>
            </w:pPr>
            <w:r>
              <w:rPr>
                <w:rFonts w:hint="eastAsia" w:ascii="宋体" w:hAnsi="宋体"/>
                <w:szCs w:val="21"/>
              </w:rPr>
              <w:t>组织机构代码*</w:t>
            </w:r>
          </w:p>
        </w:tc>
        <w:tc>
          <w:tcPr>
            <w:tcW w:w="1360" w:type="dxa"/>
            <w:vAlign w:val="center"/>
          </w:tcPr>
          <w:p>
            <w:pPr>
              <w:shd w:val="clear" w:color="auto" w:fill="FFFFFF"/>
              <w:spacing w:line="460" w:lineRule="exact"/>
              <w:jc w:val="center"/>
              <w:rPr>
                <w:rFonts w:ascii="宋体" w:hAnsi="宋体"/>
                <w:szCs w:val="21"/>
              </w:rPr>
            </w:pPr>
          </w:p>
        </w:tc>
        <w:tc>
          <w:tcPr>
            <w:tcW w:w="1870" w:type="dxa"/>
            <w:vAlign w:val="center"/>
          </w:tcPr>
          <w:p>
            <w:pPr>
              <w:shd w:val="clear" w:color="auto" w:fill="FFFFFF"/>
              <w:spacing w:line="460" w:lineRule="exact"/>
              <w:jc w:val="center"/>
              <w:rPr>
                <w:rFonts w:ascii="宋体" w:hAnsi="宋体"/>
                <w:szCs w:val="21"/>
              </w:rPr>
            </w:pPr>
            <w:r>
              <w:rPr>
                <w:rFonts w:hint="eastAsia" w:ascii="宋体" w:hAnsi="宋体"/>
                <w:szCs w:val="21"/>
              </w:rPr>
              <w:t>法定代表人</w:t>
            </w:r>
            <w:r>
              <w:rPr>
                <w:rFonts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1190" w:type="dxa"/>
            <w:vMerge w:val="continue"/>
            <w:vAlign w:val="center"/>
          </w:tcPr>
          <w:p>
            <w:pPr>
              <w:shd w:val="clear" w:color="auto" w:fill="FFFFFF"/>
              <w:tabs>
                <w:tab w:val="left" w:pos="3580"/>
                <w:tab w:val="left" w:pos="5040"/>
                <w:tab w:val="left" w:pos="8520"/>
              </w:tabs>
              <w:spacing w:line="460" w:lineRule="exact"/>
              <w:ind w:right="-23"/>
              <w:jc w:val="center"/>
              <w:rPr>
                <w:rFonts w:ascii="宋体" w:hAnsi="宋体" w:cs="宋体"/>
                <w:position w:val="-2"/>
                <w:szCs w:val="21"/>
              </w:rPr>
            </w:pPr>
          </w:p>
        </w:tc>
        <w:tc>
          <w:tcPr>
            <w:tcW w:w="2040" w:type="dxa"/>
            <w:vAlign w:val="center"/>
          </w:tcPr>
          <w:p>
            <w:pPr>
              <w:shd w:val="clear" w:color="auto" w:fill="FFFFFF"/>
              <w:spacing w:line="460" w:lineRule="exact"/>
              <w:jc w:val="center"/>
              <w:rPr>
                <w:rFonts w:ascii="宋体" w:hAnsi="宋体"/>
                <w:szCs w:val="21"/>
              </w:rPr>
            </w:pPr>
            <w:r>
              <w:rPr>
                <w:rFonts w:hint="eastAsia" w:ascii="宋体" w:hAnsi="宋体"/>
                <w:szCs w:val="21"/>
              </w:rPr>
              <w:t>行业代码（见赣财购{2012}3 号文）*</w:t>
            </w:r>
          </w:p>
        </w:tc>
        <w:tc>
          <w:tcPr>
            <w:tcW w:w="1020" w:type="dxa"/>
            <w:vAlign w:val="center"/>
          </w:tcPr>
          <w:p>
            <w:pPr>
              <w:shd w:val="clear" w:color="auto" w:fill="FFFFFF"/>
              <w:spacing w:line="460" w:lineRule="exact"/>
              <w:jc w:val="center"/>
              <w:rPr>
                <w:rFonts w:ascii="宋体" w:hAnsi="宋体"/>
                <w:szCs w:val="21"/>
              </w:rPr>
            </w:pPr>
          </w:p>
        </w:tc>
        <w:tc>
          <w:tcPr>
            <w:tcW w:w="2040" w:type="dxa"/>
            <w:vAlign w:val="center"/>
          </w:tcPr>
          <w:p>
            <w:pPr>
              <w:shd w:val="clear" w:color="auto" w:fill="FFFFFF"/>
              <w:spacing w:line="460" w:lineRule="exact"/>
              <w:jc w:val="center"/>
              <w:rPr>
                <w:rFonts w:ascii="宋体" w:hAnsi="宋体"/>
                <w:szCs w:val="21"/>
              </w:rPr>
            </w:pPr>
            <w:r>
              <w:rPr>
                <w:rFonts w:hint="eastAsia" w:ascii="宋体" w:hAnsi="宋体"/>
                <w:szCs w:val="21"/>
              </w:rPr>
              <w:t>注册类型（见赣财购{2012}3 号文）</w:t>
            </w:r>
          </w:p>
        </w:tc>
        <w:tc>
          <w:tcPr>
            <w:tcW w:w="1360" w:type="dxa"/>
            <w:vAlign w:val="center"/>
          </w:tcPr>
          <w:p>
            <w:pPr>
              <w:shd w:val="clear" w:color="auto" w:fill="FFFFFF"/>
              <w:spacing w:line="460" w:lineRule="exact"/>
              <w:jc w:val="center"/>
              <w:rPr>
                <w:rFonts w:ascii="宋体" w:hAnsi="宋体"/>
                <w:szCs w:val="21"/>
              </w:rPr>
            </w:pPr>
          </w:p>
        </w:tc>
        <w:tc>
          <w:tcPr>
            <w:tcW w:w="1870" w:type="dxa"/>
            <w:vAlign w:val="center"/>
          </w:tcPr>
          <w:p>
            <w:pPr>
              <w:shd w:val="clear" w:color="auto" w:fill="FFFFFF"/>
              <w:spacing w:line="460" w:lineRule="exact"/>
              <w:jc w:val="center"/>
              <w:rPr>
                <w:rFonts w:ascii="宋体" w:hAnsi="宋体"/>
                <w:szCs w:val="21"/>
              </w:rPr>
            </w:pPr>
            <w:r>
              <w:rPr>
                <w:rFonts w:hint="eastAsia" w:ascii="宋体" w:hAnsi="宋体"/>
                <w:szCs w:val="21"/>
              </w:rPr>
              <w:t>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1190" w:type="dxa"/>
            <w:vMerge w:val="continue"/>
            <w:vAlign w:val="center"/>
          </w:tcPr>
          <w:p>
            <w:pPr>
              <w:shd w:val="clear" w:color="auto" w:fill="FFFFFF"/>
              <w:tabs>
                <w:tab w:val="left" w:pos="3580"/>
                <w:tab w:val="left" w:pos="5040"/>
                <w:tab w:val="left" w:pos="8520"/>
              </w:tabs>
              <w:spacing w:line="460" w:lineRule="exact"/>
              <w:ind w:right="-23"/>
              <w:jc w:val="center"/>
              <w:rPr>
                <w:rFonts w:ascii="宋体" w:hAnsi="宋体" w:cs="宋体"/>
                <w:position w:val="-2"/>
                <w:szCs w:val="21"/>
              </w:rPr>
            </w:pPr>
          </w:p>
        </w:tc>
        <w:tc>
          <w:tcPr>
            <w:tcW w:w="2040" w:type="dxa"/>
            <w:vAlign w:val="center"/>
          </w:tcPr>
          <w:p>
            <w:pPr>
              <w:shd w:val="clear" w:color="auto" w:fill="FFFFFF"/>
              <w:spacing w:line="460" w:lineRule="exact"/>
              <w:jc w:val="center"/>
              <w:rPr>
                <w:rFonts w:ascii="宋体" w:hAnsi="宋体"/>
                <w:szCs w:val="21"/>
              </w:rPr>
            </w:pPr>
            <w:r>
              <w:rPr>
                <w:rFonts w:hint="eastAsia" w:ascii="宋体" w:hAnsi="宋体"/>
                <w:szCs w:val="21"/>
              </w:rPr>
              <w:t>主营业务（万元）</w:t>
            </w:r>
          </w:p>
        </w:tc>
        <w:tc>
          <w:tcPr>
            <w:tcW w:w="1020" w:type="dxa"/>
            <w:vAlign w:val="center"/>
          </w:tcPr>
          <w:p>
            <w:pPr>
              <w:shd w:val="clear" w:color="auto" w:fill="FFFFFF"/>
              <w:spacing w:line="460" w:lineRule="exact"/>
              <w:jc w:val="center"/>
              <w:rPr>
                <w:rFonts w:ascii="宋体" w:hAnsi="宋体"/>
                <w:szCs w:val="21"/>
              </w:rPr>
            </w:pPr>
          </w:p>
        </w:tc>
        <w:tc>
          <w:tcPr>
            <w:tcW w:w="2040" w:type="dxa"/>
            <w:vAlign w:val="center"/>
          </w:tcPr>
          <w:p>
            <w:pPr>
              <w:shd w:val="clear" w:color="auto" w:fill="FFFFFF"/>
              <w:spacing w:line="460" w:lineRule="exact"/>
              <w:jc w:val="center"/>
              <w:rPr>
                <w:rFonts w:ascii="宋体" w:hAnsi="宋体"/>
                <w:szCs w:val="21"/>
              </w:rPr>
            </w:pPr>
            <w:r>
              <w:rPr>
                <w:rFonts w:hint="eastAsia" w:ascii="宋体" w:hAnsi="宋体"/>
                <w:szCs w:val="21"/>
              </w:rPr>
              <w:t>联系地址</w:t>
            </w:r>
          </w:p>
        </w:tc>
        <w:tc>
          <w:tcPr>
            <w:tcW w:w="1360" w:type="dxa"/>
            <w:vAlign w:val="center"/>
          </w:tcPr>
          <w:p>
            <w:pPr>
              <w:shd w:val="clear" w:color="auto" w:fill="FFFFFF"/>
              <w:spacing w:line="460" w:lineRule="exact"/>
              <w:jc w:val="center"/>
              <w:rPr>
                <w:rFonts w:ascii="宋体" w:hAnsi="宋体"/>
                <w:szCs w:val="21"/>
              </w:rPr>
            </w:pPr>
          </w:p>
        </w:tc>
        <w:tc>
          <w:tcPr>
            <w:tcW w:w="1870" w:type="dxa"/>
            <w:vAlign w:val="center"/>
          </w:tcPr>
          <w:p>
            <w:pPr>
              <w:shd w:val="clear" w:color="auto" w:fill="FFFFFF"/>
              <w:spacing w:line="460" w:lineRule="exact"/>
              <w:jc w:val="center"/>
              <w:rPr>
                <w:rFonts w:ascii="宋体" w:hAnsi="宋体"/>
                <w:szCs w:val="21"/>
              </w:rPr>
            </w:pPr>
            <w:r>
              <w:rPr>
                <w:rFonts w:hint="eastAsia" w:ascii="宋体" w:hAnsi="宋体"/>
                <w:szCs w:val="21"/>
              </w:rPr>
              <w:t>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1190" w:type="dxa"/>
            <w:vMerge w:val="continue"/>
            <w:vAlign w:val="center"/>
          </w:tcPr>
          <w:p>
            <w:pPr>
              <w:shd w:val="clear" w:color="auto" w:fill="FFFFFF"/>
              <w:tabs>
                <w:tab w:val="left" w:pos="3580"/>
                <w:tab w:val="left" w:pos="5040"/>
                <w:tab w:val="left" w:pos="8520"/>
              </w:tabs>
              <w:spacing w:line="460" w:lineRule="exact"/>
              <w:ind w:right="-23"/>
              <w:jc w:val="center"/>
              <w:rPr>
                <w:rFonts w:ascii="宋体" w:hAnsi="宋体" w:cs="宋体"/>
                <w:position w:val="-2"/>
                <w:szCs w:val="21"/>
              </w:rPr>
            </w:pPr>
          </w:p>
        </w:tc>
        <w:tc>
          <w:tcPr>
            <w:tcW w:w="2040" w:type="dxa"/>
            <w:vAlign w:val="center"/>
          </w:tcPr>
          <w:p>
            <w:pPr>
              <w:shd w:val="clear" w:color="auto" w:fill="FFFFFF"/>
              <w:spacing w:line="460" w:lineRule="exact"/>
              <w:jc w:val="center"/>
              <w:rPr>
                <w:rFonts w:ascii="宋体" w:hAnsi="宋体"/>
                <w:szCs w:val="21"/>
              </w:rPr>
            </w:pPr>
            <w:r>
              <w:rPr>
                <w:rFonts w:hint="eastAsia" w:ascii="宋体" w:hAnsi="宋体"/>
                <w:szCs w:val="21"/>
              </w:rPr>
              <w:t>联系电话*</w:t>
            </w:r>
          </w:p>
        </w:tc>
        <w:tc>
          <w:tcPr>
            <w:tcW w:w="1020" w:type="dxa"/>
            <w:vAlign w:val="center"/>
          </w:tcPr>
          <w:p>
            <w:pPr>
              <w:shd w:val="clear" w:color="auto" w:fill="FFFFFF"/>
              <w:spacing w:line="460" w:lineRule="exact"/>
              <w:jc w:val="center"/>
              <w:rPr>
                <w:rFonts w:ascii="宋体" w:hAnsi="宋体"/>
                <w:szCs w:val="21"/>
              </w:rPr>
            </w:pPr>
          </w:p>
        </w:tc>
        <w:tc>
          <w:tcPr>
            <w:tcW w:w="2040" w:type="dxa"/>
            <w:vAlign w:val="center"/>
          </w:tcPr>
          <w:p>
            <w:pPr>
              <w:shd w:val="clear" w:color="auto" w:fill="FFFFFF"/>
              <w:spacing w:line="460" w:lineRule="exact"/>
              <w:jc w:val="center"/>
              <w:rPr>
                <w:rFonts w:ascii="宋体" w:hAnsi="宋体"/>
                <w:szCs w:val="21"/>
              </w:rPr>
            </w:pPr>
            <w:r>
              <w:rPr>
                <w:rFonts w:hint="eastAsia" w:ascii="宋体" w:hAnsi="宋体"/>
                <w:szCs w:val="21"/>
              </w:rPr>
              <w:t>传真</w:t>
            </w:r>
          </w:p>
        </w:tc>
        <w:tc>
          <w:tcPr>
            <w:tcW w:w="1360" w:type="dxa"/>
            <w:vAlign w:val="center"/>
          </w:tcPr>
          <w:p>
            <w:pPr>
              <w:shd w:val="clear" w:color="auto" w:fill="FFFFFF"/>
              <w:spacing w:line="460" w:lineRule="exact"/>
              <w:jc w:val="center"/>
              <w:rPr>
                <w:rFonts w:ascii="宋体" w:hAnsi="宋体"/>
                <w:szCs w:val="21"/>
              </w:rPr>
            </w:pPr>
          </w:p>
        </w:tc>
        <w:tc>
          <w:tcPr>
            <w:tcW w:w="1870" w:type="dxa"/>
            <w:vAlign w:val="center"/>
          </w:tcPr>
          <w:p>
            <w:pPr>
              <w:shd w:val="clear" w:color="auto" w:fill="FFFFFF"/>
              <w:spacing w:line="460" w:lineRule="exact"/>
              <w:jc w:val="center"/>
              <w:rPr>
                <w:rFonts w:ascii="宋体" w:hAnsi="宋体"/>
                <w:szCs w:val="21"/>
              </w:rPr>
            </w:pPr>
            <w:r>
              <w:rPr>
                <w:rFonts w:hint="eastAsia" w:ascii="宋体" w:hAnsi="宋体"/>
                <w:szCs w:val="21"/>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1190" w:type="dxa"/>
            <w:vMerge w:val="continue"/>
            <w:vAlign w:val="center"/>
          </w:tcPr>
          <w:p>
            <w:pPr>
              <w:shd w:val="clear" w:color="auto" w:fill="FFFFFF"/>
              <w:tabs>
                <w:tab w:val="left" w:pos="3580"/>
                <w:tab w:val="left" w:pos="5040"/>
                <w:tab w:val="left" w:pos="8520"/>
              </w:tabs>
              <w:spacing w:line="460" w:lineRule="exact"/>
              <w:ind w:right="-23"/>
              <w:jc w:val="center"/>
              <w:rPr>
                <w:rFonts w:ascii="宋体" w:hAnsi="宋体" w:cs="宋体"/>
                <w:position w:val="-2"/>
                <w:szCs w:val="21"/>
              </w:rPr>
            </w:pPr>
          </w:p>
        </w:tc>
        <w:tc>
          <w:tcPr>
            <w:tcW w:w="2040" w:type="dxa"/>
            <w:vAlign w:val="center"/>
          </w:tcPr>
          <w:p>
            <w:pPr>
              <w:shd w:val="clear" w:color="auto" w:fill="FFFFFF"/>
              <w:spacing w:line="460" w:lineRule="exact"/>
              <w:jc w:val="center"/>
              <w:rPr>
                <w:rFonts w:ascii="宋体" w:hAnsi="宋体"/>
                <w:szCs w:val="21"/>
              </w:rPr>
            </w:pPr>
            <w:r>
              <w:rPr>
                <w:rFonts w:hint="eastAsia" w:ascii="宋体" w:hAnsi="宋体"/>
                <w:szCs w:val="21"/>
              </w:rPr>
              <w:t>营业收入*</w:t>
            </w:r>
          </w:p>
        </w:tc>
        <w:tc>
          <w:tcPr>
            <w:tcW w:w="1020" w:type="dxa"/>
            <w:vAlign w:val="center"/>
          </w:tcPr>
          <w:p>
            <w:pPr>
              <w:shd w:val="clear" w:color="auto" w:fill="FFFFFF"/>
              <w:spacing w:line="460" w:lineRule="exact"/>
              <w:jc w:val="center"/>
              <w:rPr>
                <w:rFonts w:ascii="宋体" w:hAnsi="宋体"/>
                <w:szCs w:val="21"/>
              </w:rPr>
            </w:pPr>
          </w:p>
        </w:tc>
        <w:tc>
          <w:tcPr>
            <w:tcW w:w="2040" w:type="dxa"/>
            <w:vAlign w:val="center"/>
          </w:tcPr>
          <w:p>
            <w:pPr>
              <w:shd w:val="clear" w:color="auto" w:fill="FFFFFF"/>
              <w:spacing w:line="460" w:lineRule="exact"/>
              <w:jc w:val="center"/>
              <w:rPr>
                <w:rFonts w:ascii="宋体" w:hAnsi="宋体"/>
                <w:szCs w:val="21"/>
              </w:rPr>
            </w:pPr>
            <w:r>
              <w:rPr>
                <w:rFonts w:hint="eastAsia" w:ascii="宋体" w:hAnsi="宋体"/>
                <w:szCs w:val="21"/>
              </w:rPr>
              <w:t>从业人员*</w:t>
            </w:r>
          </w:p>
        </w:tc>
        <w:tc>
          <w:tcPr>
            <w:tcW w:w="1360" w:type="dxa"/>
            <w:vAlign w:val="center"/>
          </w:tcPr>
          <w:p>
            <w:pPr>
              <w:shd w:val="clear" w:color="auto" w:fill="FFFFFF"/>
              <w:spacing w:line="460" w:lineRule="exact"/>
              <w:jc w:val="center"/>
              <w:rPr>
                <w:rFonts w:ascii="宋体" w:hAnsi="宋体"/>
                <w:szCs w:val="21"/>
              </w:rPr>
            </w:pPr>
          </w:p>
        </w:tc>
        <w:tc>
          <w:tcPr>
            <w:tcW w:w="1870" w:type="dxa"/>
            <w:vAlign w:val="center"/>
          </w:tcPr>
          <w:p>
            <w:pPr>
              <w:shd w:val="clear" w:color="auto" w:fill="FFFFFF"/>
              <w:spacing w:line="460" w:lineRule="exact"/>
              <w:jc w:val="center"/>
              <w:rPr>
                <w:rFonts w:ascii="宋体" w:hAnsi="宋体"/>
                <w:szCs w:val="21"/>
              </w:rPr>
            </w:pPr>
            <w:r>
              <w:rPr>
                <w:rFonts w:hint="eastAsia" w:ascii="宋体" w:hAnsi="宋体"/>
                <w:szCs w:val="21"/>
              </w:rPr>
              <w:t>开业时间*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6" w:hRule="atLeast"/>
        </w:trPr>
        <w:tc>
          <w:tcPr>
            <w:tcW w:w="1190" w:type="dxa"/>
            <w:vAlign w:val="center"/>
          </w:tcPr>
          <w:p>
            <w:pPr>
              <w:shd w:val="clear" w:color="auto" w:fill="FFFFFF"/>
              <w:tabs>
                <w:tab w:val="left" w:pos="3580"/>
                <w:tab w:val="left" w:pos="5040"/>
                <w:tab w:val="left" w:pos="8520"/>
              </w:tabs>
              <w:spacing w:line="460" w:lineRule="exact"/>
              <w:ind w:right="-23"/>
              <w:rPr>
                <w:rFonts w:ascii="宋体" w:hAnsi="宋体" w:cs="宋体"/>
                <w:position w:val="-2"/>
                <w:szCs w:val="21"/>
              </w:rPr>
            </w:pPr>
            <w:r>
              <w:rPr>
                <w:rFonts w:hint="eastAsia" w:ascii="宋体" w:hAnsi="宋体" w:cs="宋体"/>
                <w:position w:val="-2"/>
                <w:szCs w:val="21"/>
              </w:rPr>
              <w:t>县级中小企业主管部门认定</w:t>
            </w:r>
          </w:p>
          <w:p>
            <w:pPr>
              <w:shd w:val="clear" w:color="auto" w:fill="FFFFFF"/>
              <w:tabs>
                <w:tab w:val="left" w:pos="3580"/>
                <w:tab w:val="left" w:pos="5040"/>
                <w:tab w:val="left" w:pos="8520"/>
              </w:tabs>
              <w:spacing w:line="460" w:lineRule="exact"/>
              <w:ind w:right="-23"/>
              <w:jc w:val="center"/>
              <w:rPr>
                <w:rFonts w:ascii="宋体" w:hAnsi="宋体" w:cs="宋体"/>
                <w:position w:val="-2"/>
                <w:szCs w:val="21"/>
              </w:rPr>
            </w:pPr>
            <w:r>
              <w:rPr>
                <w:rFonts w:hint="eastAsia" w:ascii="宋体" w:hAnsi="宋体" w:cs="宋体"/>
                <w:position w:val="-2"/>
                <w:szCs w:val="21"/>
              </w:rPr>
              <w:t>意见</w:t>
            </w:r>
          </w:p>
        </w:tc>
        <w:tc>
          <w:tcPr>
            <w:tcW w:w="8330" w:type="dxa"/>
            <w:gridSpan w:val="5"/>
          </w:tcPr>
          <w:p>
            <w:pPr>
              <w:shd w:val="clear" w:color="auto" w:fill="FFFFFF"/>
              <w:tabs>
                <w:tab w:val="left" w:pos="3580"/>
                <w:tab w:val="left" w:pos="5040"/>
                <w:tab w:val="left" w:pos="8520"/>
              </w:tabs>
              <w:spacing w:line="460" w:lineRule="exact"/>
              <w:ind w:right="-23"/>
              <w:rPr>
                <w:rFonts w:ascii="宋体" w:hAnsi="宋体" w:cs="宋体"/>
                <w:position w:val="-2"/>
                <w:szCs w:val="21"/>
              </w:rPr>
            </w:pPr>
            <w:r>
              <w:rPr>
                <w:rFonts w:hint="eastAsia" w:ascii="宋体" w:hAnsi="宋体" w:cs="宋体"/>
                <w:position w:val="-2"/>
                <w:szCs w:val="21"/>
              </w:rPr>
              <w:t xml:space="preserve">经调查核实，该企业属 行业 （请填写：中型、小型、微型）企业，有效期至本年底。 </w:t>
            </w:r>
          </w:p>
          <w:p>
            <w:pPr>
              <w:shd w:val="clear" w:color="auto" w:fill="FFFFFF"/>
              <w:tabs>
                <w:tab w:val="left" w:pos="3580"/>
                <w:tab w:val="left" w:pos="5040"/>
                <w:tab w:val="left" w:pos="8520"/>
              </w:tabs>
              <w:spacing w:line="460" w:lineRule="exact"/>
              <w:ind w:right="-23"/>
              <w:rPr>
                <w:rFonts w:ascii="宋体" w:hAnsi="宋体" w:cs="宋体"/>
                <w:position w:val="-2"/>
                <w:szCs w:val="21"/>
              </w:rPr>
            </w:pPr>
            <w:r>
              <w:rPr>
                <w:rFonts w:ascii="宋体" w:hAnsi="宋体" w:cs="宋体"/>
                <w:position w:val="-2"/>
                <w:szCs w:val="21"/>
              </w:rPr>
              <w:t xml:space="preserve">  </w:t>
            </w:r>
            <w:r>
              <w:rPr>
                <w:rFonts w:hint="eastAsia" w:ascii="宋体" w:hAnsi="宋体" w:cs="宋体"/>
                <w:position w:val="-2"/>
                <w:szCs w:val="21"/>
              </w:rPr>
              <w:t xml:space="preserve"> 盖章： </w:t>
            </w:r>
          </w:p>
          <w:p>
            <w:pPr>
              <w:shd w:val="clear" w:color="auto" w:fill="FFFFFF"/>
              <w:tabs>
                <w:tab w:val="left" w:pos="3580"/>
                <w:tab w:val="left" w:pos="5040"/>
                <w:tab w:val="left" w:pos="8520"/>
              </w:tabs>
              <w:spacing w:line="460" w:lineRule="exact"/>
              <w:ind w:right="-23"/>
              <w:rPr>
                <w:rFonts w:ascii="宋体" w:hAnsi="宋体" w:cs="宋体"/>
                <w:position w:val="-2"/>
                <w:szCs w:val="21"/>
              </w:rPr>
            </w:pPr>
            <w:r>
              <w:rPr>
                <w:rFonts w:hint="eastAsia" w:ascii="宋体" w:hAnsi="宋体" w:cs="宋体"/>
                <w:position w:val="-2"/>
                <w:szCs w:val="21"/>
              </w:rPr>
              <w:t>日期：</w:t>
            </w:r>
          </w:p>
        </w:tc>
      </w:tr>
    </w:tbl>
    <w:p>
      <w:pPr>
        <w:shd w:val="clear" w:color="auto" w:fill="FFFFFF"/>
        <w:tabs>
          <w:tab w:val="left" w:pos="3580"/>
          <w:tab w:val="left" w:pos="5040"/>
          <w:tab w:val="left" w:pos="8520"/>
        </w:tabs>
        <w:spacing w:line="460" w:lineRule="exact"/>
        <w:ind w:left="73" w:leftChars="35" w:right="-23" w:firstLine="210" w:firstLineChars="100"/>
        <w:rPr>
          <w:rFonts w:ascii="宋体" w:hAnsi="宋体" w:cs="宋体"/>
          <w:position w:val="-2"/>
          <w:szCs w:val="21"/>
        </w:rPr>
      </w:pPr>
      <w:r>
        <w:rPr>
          <w:rFonts w:hint="eastAsia" w:ascii="宋体" w:hAnsi="宋体" w:cs="宋体"/>
          <w:position w:val="-2"/>
          <w:szCs w:val="21"/>
        </w:rPr>
        <w:t xml:space="preserve">备注：*为必填内容。 </w:t>
      </w:r>
    </w:p>
    <w:p>
      <w:pPr>
        <w:shd w:val="clear" w:color="auto" w:fill="FFFFFF"/>
        <w:tabs>
          <w:tab w:val="left" w:pos="3580"/>
          <w:tab w:val="left" w:pos="5040"/>
          <w:tab w:val="left" w:pos="8520"/>
        </w:tabs>
        <w:spacing w:line="460" w:lineRule="exact"/>
        <w:ind w:left="73" w:leftChars="35" w:right="-23" w:firstLine="210" w:firstLineChars="100"/>
        <w:rPr>
          <w:rFonts w:ascii="宋体" w:hAnsi="宋体" w:cs="宋体"/>
          <w:position w:val="-2"/>
          <w:szCs w:val="21"/>
        </w:rPr>
      </w:pPr>
      <w:r>
        <w:rPr>
          <w:rFonts w:hint="eastAsia" w:ascii="宋体" w:hAnsi="宋体" w:cs="宋体"/>
          <w:position w:val="-2"/>
          <w:szCs w:val="21"/>
        </w:rPr>
        <w:t xml:space="preserve">注：1、省级以上监狱管理局、戒毒管理局（含新疆生产建设兵团）出具的属于监狱企业证明文件格式由出具单位提供； </w:t>
      </w:r>
    </w:p>
    <w:p>
      <w:pPr>
        <w:shd w:val="clear" w:color="auto" w:fill="FFFFFF"/>
        <w:tabs>
          <w:tab w:val="left" w:pos="3580"/>
          <w:tab w:val="left" w:pos="5040"/>
          <w:tab w:val="left" w:pos="8520"/>
        </w:tabs>
        <w:spacing w:line="460" w:lineRule="exact"/>
        <w:ind w:left="73" w:leftChars="35" w:right="-23" w:firstLine="210" w:firstLineChars="100"/>
        <w:rPr>
          <w:rFonts w:ascii="宋体" w:hAnsi="宋体"/>
          <w:b/>
          <w:bCs/>
          <w:szCs w:val="21"/>
          <w:lang w:val="zh-CN"/>
        </w:rPr>
      </w:pPr>
      <w:r>
        <w:rPr>
          <w:rFonts w:hint="eastAsia" w:ascii="宋体" w:hAnsi="宋体" w:cs="宋体"/>
          <w:position w:val="-2"/>
          <w:szCs w:val="21"/>
        </w:rPr>
        <w:t xml:space="preserve"> 2、不符合小型、微型企业条件或不属于监狱企业的不需提供，符合条件的则提供原件的扫描件。</w:t>
      </w:r>
    </w:p>
    <w:p>
      <w:pPr>
        <w:spacing w:line="400" w:lineRule="exact"/>
        <w:ind w:firstLine="720" w:firstLineChars="300"/>
        <w:rPr>
          <w:rFonts w:ascii="宋体" w:hAnsi="宋体" w:cs="宋体"/>
          <w:sz w:val="24"/>
          <w:szCs w:val="24"/>
        </w:rPr>
      </w:pPr>
    </w:p>
    <w:p>
      <w:pPr>
        <w:spacing w:line="400" w:lineRule="exact"/>
        <w:ind w:firstLine="720" w:firstLineChars="300"/>
        <w:rPr>
          <w:rFonts w:ascii="宋体" w:hAnsi="宋体" w:cs="宋体"/>
          <w:sz w:val="24"/>
          <w:szCs w:val="24"/>
        </w:rPr>
      </w:pPr>
    </w:p>
    <w:p>
      <w:pPr>
        <w:spacing w:line="400" w:lineRule="exact"/>
        <w:ind w:firstLine="720" w:firstLineChars="300"/>
        <w:rPr>
          <w:rFonts w:ascii="宋体" w:hAnsi="宋体" w:cs="宋体"/>
          <w:sz w:val="24"/>
          <w:szCs w:val="24"/>
        </w:rPr>
      </w:pPr>
    </w:p>
    <w:p>
      <w:pPr>
        <w:spacing w:line="400" w:lineRule="exact"/>
        <w:ind w:firstLine="720" w:firstLineChars="300"/>
        <w:rPr>
          <w:rFonts w:ascii="宋体" w:hAnsi="宋体" w:cs="宋体"/>
          <w:sz w:val="24"/>
          <w:szCs w:val="24"/>
        </w:rPr>
      </w:pPr>
    </w:p>
    <w:p>
      <w:pPr>
        <w:spacing w:line="400" w:lineRule="exact"/>
        <w:ind w:firstLine="720" w:firstLineChars="300"/>
        <w:rPr>
          <w:rFonts w:ascii="宋体" w:hAnsi="宋体" w:cs="宋体"/>
          <w:sz w:val="24"/>
          <w:szCs w:val="24"/>
        </w:rPr>
      </w:pPr>
      <w:r>
        <w:rPr>
          <w:rFonts w:hint="eastAsia" w:ascii="宋体" w:hAnsi="宋体" w:cs="宋体"/>
          <w:sz w:val="24"/>
          <w:szCs w:val="24"/>
        </w:rPr>
        <w:t xml:space="preserve"> </w:t>
      </w:r>
    </w:p>
    <w:p>
      <w:pPr>
        <w:spacing w:line="400" w:lineRule="exact"/>
        <w:ind w:firstLine="723" w:firstLineChars="300"/>
        <w:jc w:val="left"/>
        <w:rPr>
          <w:rFonts w:ascii="宋体" w:hAnsi="宋体" w:cs="宋体"/>
          <w:b/>
          <w:bCs/>
          <w:sz w:val="24"/>
          <w:szCs w:val="24"/>
        </w:rPr>
      </w:pPr>
      <w:r>
        <w:rPr>
          <w:rFonts w:hint="eastAsia" w:ascii="宋体" w:hAnsi="宋体" w:cs="宋体"/>
          <w:b/>
          <w:bCs/>
          <w:sz w:val="24"/>
          <w:szCs w:val="24"/>
        </w:rPr>
        <w:t>（注：不符合小型、微型企业条件的不需提供，符合条件的则提供原件的扫描件）</w:t>
      </w:r>
    </w:p>
    <w:p>
      <w:pPr>
        <w:pStyle w:val="4"/>
        <w:snapToGrid w:val="0"/>
        <w:spacing w:before="0" w:after="0" w:line="460" w:lineRule="exact"/>
        <w:ind w:firstLine="2811" w:firstLineChars="1000"/>
        <w:jc w:val="left"/>
        <w:rPr>
          <w:rFonts w:hAnsi="宋体"/>
          <w:sz w:val="28"/>
          <w:szCs w:val="28"/>
        </w:rPr>
      </w:pPr>
    </w:p>
    <w:p>
      <w:pPr>
        <w:rPr>
          <w:rFonts w:hAnsi="宋体"/>
          <w:sz w:val="28"/>
          <w:szCs w:val="28"/>
        </w:rPr>
      </w:pPr>
    </w:p>
    <w:p>
      <w:pPr>
        <w:pStyle w:val="2"/>
      </w:pPr>
    </w:p>
    <w:p>
      <w:pPr>
        <w:pStyle w:val="4"/>
        <w:snapToGrid w:val="0"/>
        <w:spacing w:before="0" w:after="0" w:line="460" w:lineRule="exact"/>
        <w:ind w:firstLine="3213" w:firstLineChars="1000"/>
        <w:jc w:val="left"/>
        <w:rPr>
          <w:rFonts w:hAnsi="宋体"/>
          <w:sz w:val="32"/>
          <w:szCs w:val="32"/>
        </w:rPr>
      </w:pPr>
      <w:r>
        <w:rPr>
          <w:rFonts w:hint="eastAsia" w:hAnsi="宋体"/>
          <w:sz w:val="32"/>
          <w:szCs w:val="32"/>
        </w:rPr>
        <w:t>第四章 政府采购合同</w:t>
      </w:r>
      <w:bookmarkEnd w:id="128"/>
    </w:p>
    <w:p>
      <w:pPr>
        <w:adjustRightInd w:val="0"/>
        <w:snapToGrid w:val="0"/>
        <w:spacing w:line="360" w:lineRule="auto"/>
        <w:ind w:firstLine="420" w:firstLineChars="200"/>
        <w:jc w:val="right"/>
        <w:rPr>
          <w:rFonts w:ascii="宋体" w:hAnsi="宋体"/>
          <w:szCs w:val="21"/>
        </w:rPr>
      </w:pPr>
      <w:r>
        <w:rPr>
          <w:rFonts w:hint="eastAsia" w:asciiTheme="minorEastAsia" w:hAnsiTheme="minorEastAsia" w:eastAsiaTheme="minorEastAsia" w:cstheme="minorEastAsia"/>
          <w:szCs w:val="21"/>
        </w:rPr>
        <w:t xml:space="preserve">（合同编号：JXJH2020-GZ-C003-1 </w:t>
      </w:r>
      <w:r>
        <w:rPr>
          <w:rFonts w:hint="eastAsia"/>
          <w:szCs w:val="21"/>
        </w:rPr>
        <w:t>）</w:t>
      </w:r>
    </w:p>
    <w:bookmarkEnd w:id="129"/>
    <w:bookmarkEnd w:id="130"/>
    <w:bookmarkEnd w:id="131"/>
    <w:bookmarkEnd w:id="132"/>
    <w:p>
      <w:pPr>
        <w:pStyle w:val="2"/>
        <w:pageBreakBefore w:val="0"/>
        <w:widowControl w:val="0"/>
        <w:kinsoku/>
        <w:wordWrap/>
        <w:overflowPunct/>
        <w:topLinePunct w:val="0"/>
        <w:bidi w:val="0"/>
        <w:spacing w:line="312" w:lineRule="auto"/>
        <w:rPr>
          <w:rFonts w:hAnsi="宋体"/>
          <w:szCs w:val="21"/>
        </w:rPr>
      </w:pPr>
      <w:bookmarkStart w:id="167" w:name="_Hlt487972895"/>
      <w:bookmarkEnd w:id="167"/>
      <w:r>
        <w:rPr>
          <w:rFonts w:hint="eastAsia" w:hAnsi="宋体"/>
          <w:szCs w:val="21"/>
        </w:rPr>
        <w:t>甲方（采购人）：</w:t>
      </w:r>
      <w:r>
        <w:rPr>
          <w:rFonts w:hint="eastAsia"/>
          <w:szCs w:val="21"/>
        </w:rPr>
        <w:t xml:space="preserve"> 赣州银行股份有限公司</w:t>
      </w:r>
    </w:p>
    <w:p>
      <w:pPr>
        <w:pStyle w:val="2"/>
        <w:pageBreakBefore w:val="0"/>
        <w:widowControl w:val="0"/>
        <w:kinsoku/>
        <w:wordWrap/>
        <w:overflowPunct/>
        <w:topLinePunct w:val="0"/>
        <w:bidi w:val="0"/>
        <w:spacing w:line="312" w:lineRule="auto"/>
        <w:rPr>
          <w:szCs w:val="21"/>
        </w:rPr>
      </w:pPr>
      <w:r>
        <w:rPr>
          <w:rFonts w:hint="eastAsia" w:hAnsi="宋体"/>
          <w:szCs w:val="21"/>
        </w:rPr>
        <w:t>乙方（成交供应商）：</w:t>
      </w:r>
    </w:p>
    <w:p>
      <w:pPr>
        <w:pStyle w:val="2"/>
        <w:pageBreakBefore w:val="0"/>
        <w:widowControl w:val="0"/>
        <w:kinsoku/>
        <w:wordWrap/>
        <w:overflowPunct/>
        <w:topLinePunct w:val="0"/>
        <w:bidi w:val="0"/>
        <w:spacing w:line="312" w:lineRule="auto"/>
        <w:rPr>
          <w:rFonts w:hAnsi="宋体"/>
          <w:szCs w:val="21"/>
        </w:rPr>
      </w:pPr>
      <w:r>
        <w:rPr>
          <w:rFonts w:hint="eastAsia" w:hAnsi="宋体"/>
          <w:szCs w:val="21"/>
        </w:rPr>
        <w:t>丙方（采购代理机构）：江西久和招标服务有限公司</w:t>
      </w:r>
    </w:p>
    <w:p>
      <w:pPr>
        <w:pStyle w:val="24"/>
        <w:pageBreakBefore w:val="0"/>
        <w:widowControl w:val="0"/>
        <w:kinsoku/>
        <w:wordWrap/>
        <w:overflowPunct/>
        <w:topLinePunct w:val="0"/>
        <w:bidi w:val="0"/>
        <w:spacing w:beforeAutospacing="0" w:afterAutospacing="0" w:line="312" w:lineRule="auto"/>
        <w:ind w:firstLine="312" w:firstLineChars="149"/>
        <w:textAlignment w:val="baseline"/>
        <w:rPr>
          <w:rFonts w:cs="宋体"/>
          <w:sz w:val="21"/>
          <w:szCs w:val="21"/>
        </w:rPr>
      </w:pPr>
      <w:r>
        <w:rPr>
          <w:rFonts w:hint="eastAsia" w:cs="宋体"/>
          <w:sz w:val="21"/>
          <w:szCs w:val="21"/>
        </w:rPr>
        <w:t>甲、乙、丙三方根据</w:t>
      </w:r>
      <w:r>
        <w:rPr>
          <w:rFonts w:hint="eastAsia" w:cs="宋体"/>
          <w:color w:val="000000" w:themeColor="text1"/>
          <w:sz w:val="21"/>
          <w:szCs w:val="21"/>
          <w14:textFill>
            <w14:solidFill>
              <w14:schemeClr w14:val="tx1"/>
            </w14:solidFill>
          </w14:textFill>
        </w:rPr>
        <w:t>2020年</w:t>
      </w:r>
      <w:r>
        <w:rPr>
          <w:rFonts w:hint="eastAsia" w:cs="宋体"/>
          <w:color w:val="000000" w:themeColor="text1"/>
          <w:sz w:val="21"/>
          <w:szCs w:val="21"/>
          <w:lang w:val="en-US" w:eastAsia="zh-CN"/>
          <w14:textFill>
            <w14:solidFill>
              <w14:schemeClr w14:val="tx1"/>
            </w14:solidFill>
          </w14:textFill>
        </w:rPr>
        <w:t>11</w:t>
      </w:r>
      <w:r>
        <w:rPr>
          <w:rFonts w:hint="eastAsia" w:cs="宋体"/>
          <w:color w:val="000000" w:themeColor="text1"/>
          <w:sz w:val="21"/>
          <w:szCs w:val="21"/>
          <w14:textFill>
            <w14:solidFill>
              <w14:schemeClr w14:val="tx1"/>
            </w14:solidFill>
          </w14:textFill>
        </w:rPr>
        <w:t>月</w:t>
      </w:r>
      <w:r>
        <w:rPr>
          <w:rFonts w:hint="eastAsia" w:cs="宋体"/>
          <w:color w:val="000000" w:themeColor="text1"/>
          <w:sz w:val="21"/>
          <w:szCs w:val="21"/>
          <w:lang w:val="en-US" w:eastAsia="zh-CN"/>
          <w14:textFill>
            <w14:solidFill>
              <w14:schemeClr w14:val="tx1"/>
            </w14:solidFill>
          </w14:textFill>
        </w:rPr>
        <w:t>10</w:t>
      </w:r>
      <w:bookmarkStart w:id="168" w:name="_GoBack"/>
      <w:bookmarkEnd w:id="168"/>
      <w:r>
        <w:rPr>
          <w:rFonts w:hint="eastAsia" w:cs="宋体"/>
          <w:color w:val="000000" w:themeColor="text1"/>
          <w:sz w:val="21"/>
          <w:szCs w:val="21"/>
          <w14:textFill>
            <w14:solidFill>
              <w14:schemeClr w14:val="tx1"/>
            </w14:solidFill>
          </w14:textFill>
        </w:rPr>
        <w:t>日</w:t>
      </w:r>
      <w:r>
        <w:rPr>
          <w:rFonts w:hint="eastAsia" w:cs="宋体"/>
          <w:sz w:val="21"/>
          <w:szCs w:val="21"/>
        </w:rPr>
        <w:t>进行的赣州银行股份有限公司原大楼主楼及附楼电梯采购及安装项目（第二次）磋商采购结果，依据磋商文件、响应文件及中标通知书等内容达成本合同。</w:t>
      </w:r>
    </w:p>
    <w:p>
      <w:pPr>
        <w:pStyle w:val="24"/>
        <w:pageBreakBefore w:val="0"/>
        <w:widowControl w:val="0"/>
        <w:kinsoku/>
        <w:wordWrap/>
        <w:overflowPunct/>
        <w:topLinePunct w:val="0"/>
        <w:bidi w:val="0"/>
        <w:spacing w:beforeAutospacing="0" w:afterAutospacing="0" w:line="312" w:lineRule="auto"/>
        <w:textAlignment w:val="baseline"/>
        <w:rPr>
          <w:b/>
          <w:bCs/>
          <w:sz w:val="21"/>
          <w:szCs w:val="21"/>
        </w:rPr>
      </w:pPr>
      <w:r>
        <w:rPr>
          <w:rFonts w:hint="eastAsia"/>
          <w:b/>
          <w:bCs/>
          <w:sz w:val="21"/>
          <w:szCs w:val="21"/>
        </w:rPr>
        <w:t>一、中标商品清单及中标价格</w:t>
      </w:r>
    </w:p>
    <w:tbl>
      <w:tblPr>
        <w:tblStyle w:val="28"/>
        <w:tblW w:w="97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709"/>
        <w:gridCol w:w="799"/>
        <w:gridCol w:w="1692"/>
        <w:gridCol w:w="1492"/>
        <w:gridCol w:w="1250"/>
        <w:gridCol w:w="2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1701" w:type="dxa"/>
            <w:tcBorders>
              <w:top w:val="single" w:color="auto" w:sz="4" w:space="0"/>
              <w:left w:val="single" w:color="auto" w:sz="4" w:space="0"/>
              <w:bottom w:val="single" w:color="auto" w:sz="4" w:space="0"/>
              <w:right w:val="single" w:color="auto" w:sz="4" w:space="0"/>
            </w:tcBorders>
            <w:vAlign w:val="center"/>
          </w:tcPr>
          <w:p>
            <w:pPr>
              <w:pStyle w:val="2"/>
              <w:pageBreakBefore w:val="0"/>
              <w:widowControl w:val="0"/>
              <w:kinsoku/>
              <w:wordWrap/>
              <w:overflowPunct/>
              <w:topLinePunct w:val="0"/>
              <w:bidi w:val="0"/>
              <w:spacing w:line="312" w:lineRule="auto"/>
              <w:jc w:val="center"/>
              <w:rPr>
                <w:rFonts w:hAnsi="宋体" w:cs="宋体"/>
                <w:szCs w:val="21"/>
              </w:rPr>
            </w:pPr>
            <w:r>
              <w:rPr>
                <w:rFonts w:hint="eastAsia" w:hAnsi="宋体" w:cs="宋体"/>
                <w:szCs w:val="21"/>
              </w:rPr>
              <w:t>响应货物名称</w:t>
            </w:r>
          </w:p>
        </w:tc>
        <w:tc>
          <w:tcPr>
            <w:tcW w:w="709" w:type="dxa"/>
            <w:tcBorders>
              <w:top w:val="single" w:color="auto" w:sz="4" w:space="0"/>
              <w:left w:val="single" w:color="auto" w:sz="4" w:space="0"/>
              <w:bottom w:val="single" w:color="auto" w:sz="4" w:space="0"/>
              <w:right w:val="single" w:color="auto" w:sz="4" w:space="0"/>
            </w:tcBorders>
            <w:vAlign w:val="center"/>
          </w:tcPr>
          <w:p>
            <w:pPr>
              <w:pStyle w:val="2"/>
              <w:pageBreakBefore w:val="0"/>
              <w:widowControl w:val="0"/>
              <w:kinsoku/>
              <w:wordWrap/>
              <w:overflowPunct/>
              <w:topLinePunct w:val="0"/>
              <w:bidi w:val="0"/>
              <w:spacing w:line="312" w:lineRule="auto"/>
              <w:jc w:val="center"/>
              <w:rPr>
                <w:rFonts w:hAnsi="宋体" w:cs="宋体"/>
                <w:szCs w:val="21"/>
              </w:rPr>
            </w:pPr>
            <w:r>
              <w:rPr>
                <w:rFonts w:hint="eastAsia" w:hAnsi="宋体" w:cs="宋体"/>
                <w:szCs w:val="21"/>
              </w:rPr>
              <w:t>单位</w:t>
            </w:r>
          </w:p>
        </w:tc>
        <w:tc>
          <w:tcPr>
            <w:tcW w:w="799" w:type="dxa"/>
            <w:tcBorders>
              <w:top w:val="single" w:color="auto" w:sz="4" w:space="0"/>
              <w:left w:val="single" w:color="auto" w:sz="4" w:space="0"/>
              <w:bottom w:val="single" w:color="auto" w:sz="4" w:space="0"/>
              <w:right w:val="single" w:color="auto" w:sz="4" w:space="0"/>
            </w:tcBorders>
            <w:vAlign w:val="center"/>
          </w:tcPr>
          <w:p>
            <w:pPr>
              <w:pStyle w:val="2"/>
              <w:pageBreakBefore w:val="0"/>
              <w:widowControl w:val="0"/>
              <w:kinsoku/>
              <w:wordWrap/>
              <w:overflowPunct/>
              <w:topLinePunct w:val="0"/>
              <w:bidi w:val="0"/>
              <w:spacing w:line="312" w:lineRule="auto"/>
              <w:jc w:val="center"/>
              <w:rPr>
                <w:rFonts w:hAnsi="宋体" w:cs="宋体"/>
                <w:szCs w:val="21"/>
              </w:rPr>
            </w:pPr>
            <w:r>
              <w:rPr>
                <w:rFonts w:hint="eastAsia" w:hAnsi="宋体" w:cs="宋体"/>
                <w:szCs w:val="21"/>
              </w:rPr>
              <w:t>数量</w:t>
            </w:r>
          </w:p>
        </w:tc>
        <w:tc>
          <w:tcPr>
            <w:tcW w:w="1692" w:type="dxa"/>
            <w:tcBorders>
              <w:top w:val="single" w:color="auto" w:sz="4" w:space="0"/>
              <w:left w:val="single" w:color="auto" w:sz="4" w:space="0"/>
              <w:bottom w:val="single" w:color="auto" w:sz="4" w:space="0"/>
              <w:right w:val="single" w:color="auto" w:sz="4" w:space="0"/>
            </w:tcBorders>
            <w:vAlign w:val="center"/>
          </w:tcPr>
          <w:p>
            <w:pPr>
              <w:pStyle w:val="2"/>
              <w:pageBreakBefore w:val="0"/>
              <w:widowControl w:val="0"/>
              <w:kinsoku/>
              <w:wordWrap/>
              <w:overflowPunct/>
              <w:topLinePunct w:val="0"/>
              <w:bidi w:val="0"/>
              <w:spacing w:line="312" w:lineRule="auto"/>
              <w:jc w:val="center"/>
              <w:rPr>
                <w:rFonts w:hAnsi="宋体" w:cs="宋体"/>
                <w:szCs w:val="21"/>
              </w:rPr>
            </w:pPr>
            <w:r>
              <w:rPr>
                <w:rFonts w:hint="eastAsia" w:hAnsi="宋体" w:cs="宋体"/>
                <w:szCs w:val="21"/>
              </w:rPr>
              <w:t>规格与型号</w:t>
            </w:r>
          </w:p>
        </w:tc>
        <w:tc>
          <w:tcPr>
            <w:tcW w:w="1492" w:type="dxa"/>
            <w:tcBorders>
              <w:top w:val="single" w:color="auto" w:sz="4" w:space="0"/>
              <w:left w:val="single" w:color="auto" w:sz="4" w:space="0"/>
              <w:bottom w:val="single" w:color="auto" w:sz="4" w:space="0"/>
              <w:right w:val="single" w:color="auto" w:sz="4" w:space="0"/>
            </w:tcBorders>
            <w:vAlign w:val="center"/>
          </w:tcPr>
          <w:p>
            <w:pPr>
              <w:pStyle w:val="2"/>
              <w:pageBreakBefore w:val="0"/>
              <w:widowControl w:val="0"/>
              <w:kinsoku/>
              <w:wordWrap/>
              <w:overflowPunct/>
              <w:topLinePunct w:val="0"/>
              <w:bidi w:val="0"/>
              <w:spacing w:line="312" w:lineRule="auto"/>
              <w:jc w:val="center"/>
              <w:rPr>
                <w:rFonts w:hAnsi="宋体" w:cs="宋体"/>
                <w:szCs w:val="21"/>
              </w:rPr>
            </w:pPr>
            <w:r>
              <w:rPr>
                <w:rFonts w:hint="eastAsia" w:hAnsi="宋体" w:cs="宋体"/>
                <w:szCs w:val="21"/>
              </w:rPr>
              <w:t>原厂商及原产地</w:t>
            </w:r>
          </w:p>
        </w:tc>
        <w:tc>
          <w:tcPr>
            <w:tcW w:w="1250" w:type="dxa"/>
            <w:tcBorders>
              <w:top w:val="single" w:color="auto" w:sz="4" w:space="0"/>
              <w:left w:val="single" w:color="auto" w:sz="4" w:space="0"/>
              <w:bottom w:val="single" w:color="auto" w:sz="4" w:space="0"/>
              <w:right w:val="single" w:color="auto" w:sz="4" w:space="0"/>
            </w:tcBorders>
            <w:vAlign w:val="center"/>
          </w:tcPr>
          <w:p>
            <w:pPr>
              <w:pStyle w:val="2"/>
              <w:pageBreakBefore w:val="0"/>
              <w:widowControl w:val="0"/>
              <w:kinsoku/>
              <w:wordWrap/>
              <w:overflowPunct/>
              <w:topLinePunct w:val="0"/>
              <w:bidi w:val="0"/>
              <w:spacing w:line="312" w:lineRule="auto"/>
              <w:jc w:val="center"/>
              <w:rPr>
                <w:rFonts w:hAnsi="宋体" w:cs="宋体"/>
                <w:szCs w:val="21"/>
              </w:rPr>
            </w:pPr>
            <w:r>
              <w:rPr>
                <w:rFonts w:hint="eastAsia" w:hAnsi="宋体" w:cs="宋体"/>
                <w:szCs w:val="21"/>
              </w:rPr>
              <w:t>单价（元）</w:t>
            </w:r>
          </w:p>
        </w:tc>
        <w:tc>
          <w:tcPr>
            <w:tcW w:w="2138" w:type="dxa"/>
            <w:tcBorders>
              <w:top w:val="single" w:color="auto" w:sz="4" w:space="0"/>
              <w:left w:val="single" w:color="auto" w:sz="4" w:space="0"/>
              <w:bottom w:val="single" w:color="auto" w:sz="4" w:space="0"/>
              <w:right w:val="single" w:color="auto" w:sz="4" w:space="0"/>
            </w:tcBorders>
            <w:vAlign w:val="center"/>
          </w:tcPr>
          <w:p>
            <w:pPr>
              <w:pStyle w:val="2"/>
              <w:pageBreakBefore w:val="0"/>
              <w:widowControl w:val="0"/>
              <w:kinsoku/>
              <w:wordWrap/>
              <w:overflowPunct/>
              <w:topLinePunct w:val="0"/>
              <w:bidi w:val="0"/>
              <w:spacing w:line="312" w:lineRule="auto"/>
              <w:jc w:val="center"/>
              <w:rPr>
                <w:rFonts w:hAnsi="宋体" w:cs="宋体"/>
                <w:szCs w:val="21"/>
              </w:rPr>
            </w:pPr>
            <w:r>
              <w:rPr>
                <w:rFonts w:hint="eastAsia" w:hAnsi="宋体" w:cs="宋体"/>
                <w:szCs w:val="21"/>
              </w:rPr>
              <w:t>合计（元）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701" w:type="dxa"/>
            <w:tcBorders>
              <w:top w:val="single" w:color="auto" w:sz="4" w:space="0"/>
              <w:left w:val="single" w:color="auto" w:sz="4" w:space="0"/>
              <w:bottom w:val="single" w:color="auto" w:sz="4" w:space="0"/>
              <w:right w:val="single" w:color="auto" w:sz="4" w:space="0"/>
            </w:tcBorders>
            <w:vAlign w:val="center"/>
          </w:tcPr>
          <w:p>
            <w:pPr>
              <w:pStyle w:val="2"/>
              <w:pageBreakBefore w:val="0"/>
              <w:widowControl w:val="0"/>
              <w:kinsoku/>
              <w:wordWrap/>
              <w:overflowPunct/>
              <w:topLinePunct w:val="0"/>
              <w:bidi w:val="0"/>
              <w:spacing w:line="312" w:lineRule="auto"/>
              <w:jc w:val="center"/>
              <w:rPr>
                <w:rFonts w:hAnsi="宋体" w:cs="宋体"/>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pStyle w:val="2"/>
              <w:pageBreakBefore w:val="0"/>
              <w:widowControl w:val="0"/>
              <w:kinsoku/>
              <w:wordWrap/>
              <w:overflowPunct/>
              <w:topLinePunct w:val="0"/>
              <w:bidi w:val="0"/>
              <w:spacing w:line="312" w:lineRule="auto"/>
              <w:jc w:val="center"/>
              <w:rPr>
                <w:rFonts w:hAnsi="宋体" w:cs="宋体"/>
                <w:szCs w:val="21"/>
              </w:rPr>
            </w:pPr>
          </w:p>
        </w:tc>
        <w:tc>
          <w:tcPr>
            <w:tcW w:w="799" w:type="dxa"/>
            <w:tcBorders>
              <w:top w:val="single" w:color="auto" w:sz="4" w:space="0"/>
              <w:left w:val="single" w:color="auto" w:sz="4" w:space="0"/>
              <w:bottom w:val="single" w:color="auto" w:sz="4" w:space="0"/>
              <w:right w:val="single" w:color="auto" w:sz="4" w:space="0"/>
            </w:tcBorders>
            <w:vAlign w:val="center"/>
          </w:tcPr>
          <w:p>
            <w:pPr>
              <w:pStyle w:val="2"/>
              <w:pageBreakBefore w:val="0"/>
              <w:widowControl w:val="0"/>
              <w:kinsoku/>
              <w:wordWrap/>
              <w:overflowPunct/>
              <w:topLinePunct w:val="0"/>
              <w:bidi w:val="0"/>
              <w:spacing w:line="312" w:lineRule="auto"/>
              <w:jc w:val="center"/>
              <w:rPr>
                <w:rFonts w:hAnsi="宋体" w:cs="宋体"/>
                <w:szCs w:val="21"/>
              </w:rPr>
            </w:pPr>
          </w:p>
        </w:tc>
        <w:tc>
          <w:tcPr>
            <w:tcW w:w="1692" w:type="dxa"/>
            <w:tcBorders>
              <w:top w:val="single" w:color="auto" w:sz="4" w:space="0"/>
              <w:left w:val="single" w:color="auto" w:sz="4" w:space="0"/>
              <w:bottom w:val="single" w:color="auto" w:sz="4" w:space="0"/>
              <w:right w:val="single" w:color="auto" w:sz="4" w:space="0"/>
            </w:tcBorders>
            <w:vAlign w:val="center"/>
          </w:tcPr>
          <w:p>
            <w:pPr>
              <w:pStyle w:val="2"/>
              <w:pageBreakBefore w:val="0"/>
              <w:widowControl w:val="0"/>
              <w:kinsoku/>
              <w:wordWrap/>
              <w:overflowPunct/>
              <w:topLinePunct w:val="0"/>
              <w:bidi w:val="0"/>
              <w:spacing w:line="312" w:lineRule="auto"/>
              <w:jc w:val="center"/>
              <w:rPr>
                <w:rFonts w:hAnsi="宋体" w:cs="宋体"/>
                <w:szCs w:val="21"/>
              </w:rPr>
            </w:pPr>
          </w:p>
        </w:tc>
        <w:tc>
          <w:tcPr>
            <w:tcW w:w="1492" w:type="dxa"/>
            <w:tcBorders>
              <w:top w:val="single" w:color="auto" w:sz="4" w:space="0"/>
              <w:left w:val="single" w:color="auto" w:sz="4" w:space="0"/>
              <w:bottom w:val="single" w:color="auto" w:sz="4" w:space="0"/>
              <w:right w:val="single" w:color="auto" w:sz="4" w:space="0"/>
            </w:tcBorders>
            <w:vAlign w:val="center"/>
          </w:tcPr>
          <w:p>
            <w:pPr>
              <w:pStyle w:val="2"/>
              <w:pageBreakBefore w:val="0"/>
              <w:widowControl w:val="0"/>
              <w:kinsoku/>
              <w:wordWrap/>
              <w:overflowPunct/>
              <w:topLinePunct w:val="0"/>
              <w:bidi w:val="0"/>
              <w:spacing w:line="312" w:lineRule="auto"/>
              <w:jc w:val="center"/>
              <w:rPr>
                <w:rFonts w:hAnsi="宋体" w:cs="宋体"/>
                <w:szCs w:val="21"/>
              </w:rPr>
            </w:pPr>
          </w:p>
        </w:tc>
        <w:tc>
          <w:tcPr>
            <w:tcW w:w="1250" w:type="dxa"/>
            <w:tcBorders>
              <w:top w:val="single" w:color="auto" w:sz="4" w:space="0"/>
              <w:left w:val="single" w:color="auto" w:sz="4" w:space="0"/>
              <w:bottom w:val="single" w:color="auto" w:sz="4" w:space="0"/>
              <w:right w:val="single" w:color="auto" w:sz="4" w:space="0"/>
            </w:tcBorders>
            <w:vAlign w:val="center"/>
          </w:tcPr>
          <w:p>
            <w:pPr>
              <w:pStyle w:val="2"/>
              <w:pageBreakBefore w:val="0"/>
              <w:widowControl w:val="0"/>
              <w:kinsoku/>
              <w:wordWrap/>
              <w:overflowPunct/>
              <w:topLinePunct w:val="0"/>
              <w:bidi w:val="0"/>
              <w:spacing w:line="312" w:lineRule="auto"/>
              <w:jc w:val="center"/>
              <w:rPr>
                <w:rFonts w:hAnsi="宋体" w:cs="宋体"/>
                <w:szCs w:val="21"/>
              </w:rPr>
            </w:pPr>
          </w:p>
        </w:tc>
        <w:tc>
          <w:tcPr>
            <w:tcW w:w="2138" w:type="dxa"/>
            <w:tcBorders>
              <w:top w:val="single" w:color="auto" w:sz="4" w:space="0"/>
              <w:left w:val="single" w:color="auto" w:sz="4" w:space="0"/>
              <w:bottom w:val="single" w:color="auto" w:sz="4" w:space="0"/>
              <w:right w:val="single" w:color="auto" w:sz="4" w:space="0"/>
            </w:tcBorders>
            <w:vAlign w:val="center"/>
          </w:tcPr>
          <w:p>
            <w:pPr>
              <w:pStyle w:val="2"/>
              <w:pageBreakBefore w:val="0"/>
              <w:widowControl w:val="0"/>
              <w:kinsoku/>
              <w:wordWrap/>
              <w:overflowPunct/>
              <w:topLinePunct w:val="0"/>
              <w:bidi w:val="0"/>
              <w:spacing w:line="312" w:lineRule="auto"/>
              <w:jc w:val="center"/>
              <w:rPr>
                <w:rFonts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1701" w:type="dxa"/>
            <w:tcBorders>
              <w:top w:val="single" w:color="auto" w:sz="4" w:space="0"/>
              <w:left w:val="single" w:color="auto" w:sz="4" w:space="0"/>
              <w:bottom w:val="single" w:color="auto" w:sz="4" w:space="0"/>
              <w:right w:val="single" w:color="auto" w:sz="4" w:space="0"/>
            </w:tcBorders>
            <w:vAlign w:val="center"/>
          </w:tcPr>
          <w:p>
            <w:pPr>
              <w:pStyle w:val="2"/>
              <w:pageBreakBefore w:val="0"/>
              <w:widowControl w:val="0"/>
              <w:kinsoku/>
              <w:wordWrap/>
              <w:overflowPunct/>
              <w:topLinePunct w:val="0"/>
              <w:bidi w:val="0"/>
              <w:spacing w:line="312" w:lineRule="auto"/>
              <w:jc w:val="center"/>
              <w:rPr>
                <w:rFonts w:hAnsi="宋体" w:cs="宋体"/>
                <w:szCs w:val="21"/>
              </w:rPr>
            </w:pPr>
            <w:r>
              <w:rPr>
                <w:rFonts w:hint="eastAsia" w:hAnsi="宋体" w:cs="宋体"/>
                <w:szCs w:val="21"/>
              </w:rPr>
              <w:t>响应总价</w:t>
            </w:r>
          </w:p>
        </w:tc>
        <w:tc>
          <w:tcPr>
            <w:tcW w:w="8080" w:type="dxa"/>
            <w:gridSpan w:val="6"/>
            <w:tcBorders>
              <w:top w:val="single" w:color="auto" w:sz="4" w:space="0"/>
              <w:left w:val="single" w:color="auto" w:sz="4" w:space="0"/>
              <w:bottom w:val="single" w:color="auto" w:sz="4" w:space="0"/>
              <w:right w:val="single" w:color="auto" w:sz="4" w:space="0"/>
            </w:tcBorders>
            <w:vAlign w:val="center"/>
          </w:tcPr>
          <w:p>
            <w:pPr>
              <w:pStyle w:val="2"/>
              <w:pageBreakBefore w:val="0"/>
              <w:widowControl w:val="0"/>
              <w:kinsoku/>
              <w:wordWrap/>
              <w:overflowPunct/>
              <w:topLinePunct w:val="0"/>
              <w:bidi w:val="0"/>
              <w:spacing w:line="312" w:lineRule="auto"/>
              <w:rPr>
                <w:rFonts w:hAnsi="宋体" w:cs="宋体"/>
                <w:szCs w:val="21"/>
              </w:rPr>
            </w:pPr>
            <w:r>
              <w:rPr>
                <w:rFonts w:hint="eastAsia" w:hAnsi="宋体" w:cs="宋体"/>
                <w:szCs w:val="21"/>
              </w:rPr>
              <w:t>(大写)：</w:t>
            </w:r>
          </w:p>
        </w:tc>
      </w:tr>
    </w:tbl>
    <w:p>
      <w:pPr>
        <w:pStyle w:val="24"/>
        <w:pageBreakBefore w:val="0"/>
        <w:widowControl w:val="0"/>
        <w:kinsoku/>
        <w:wordWrap/>
        <w:overflowPunct/>
        <w:topLinePunct w:val="0"/>
        <w:bidi w:val="0"/>
        <w:spacing w:beforeAutospacing="0" w:afterAutospacing="0" w:line="312" w:lineRule="auto"/>
        <w:ind w:firstLine="420" w:firstLineChars="200"/>
        <w:textAlignment w:val="baseline"/>
        <w:rPr>
          <w:sz w:val="21"/>
          <w:szCs w:val="21"/>
        </w:rPr>
      </w:pPr>
      <w:r>
        <w:rPr>
          <w:rFonts w:hint="eastAsia"/>
          <w:sz w:val="21"/>
          <w:szCs w:val="21"/>
        </w:rPr>
        <w:t>合同另附：磋商文件产品技术参数要求。</w:t>
      </w:r>
    </w:p>
    <w:p>
      <w:pPr>
        <w:pStyle w:val="24"/>
        <w:pageBreakBefore w:val="0"/>
        <w:widowControl w:val="0"/>
        <w:kinsoku/>
        <w:wordWrap/>
        <w:overflowPunct/>
        <w:topLinePunct w:val="0"/>
        <w:bidi w:val="0"/>
        <w:spacing w:beforeAutospacing="0" w:afterAutospacing="0" w:line="312" w:lineRule="auto"/>
        <w:textAlignment w:val="baseline"/>
        <w:rPr>
          <w:b/>
          <w:bCs/>
          <w:sz w:val="21"/>
          <w:szCs w:val="21"/>
        </w:rPr>
      </w:pPr>
      <w:r>
        <w:rPr>
          <w:rFonts w:hint="eastAsia"/>
          <w:b/>
          <w:bCs/>
          <w:sz w:val="21"/>
          <w:szCs w:val="21"/>
        </w:rPr>
        <w:t>二、</w:t>
      </w:r>
      <w:r>
        <w:rPr>
          <w:rFonts w:hint="eastAsia"/>
          <w:sz w:val="21"/>
          <w:szCs w:val="21"/>
        </w:rPr>
        <w:t>乙方售出的货物必须附有合法齐全手续以及厂家随商品附带的说明书等资料及物品。</w:t>
      </w:r>
    </w:p>
    <w:p>
      <w:pPr>
        <w:pStyle w:val="24"/>
        <w:pageBreakBefore w:val="0"/>
        <w:widowControl w:val="0"/>
        <w:kinsoku/>
        <w:wordWrap/>
        <w:overflowPunct/>
        <w:topLinePunct w:val="0"/>
        <w:bidi w:val="0"/>
        <w:spacing w:beforeAutospacing="0" w:afterAutospacing="0" w:line="312" w:lineRule="auto"/>
        <w:textAlignment w:val="baseline"/>
        <w:rPr>
          <w:color w:val="FF0000"/>
          <w:sz w:val="27"/>
          <w:szCs w:val="27"/>
        </w:rPr>
      </w:pPr>
      <w:r>
        <w:rPr>
          <w:rFonts w:hint="eastAsia"/>
          <w:b/>
          <w:bCs/>
          <w:sz w:val="21"/>
          <w:szCs w:val="21"/>
        </w:rPr>
        <w:t>三、商品质量要求及</w:t>
      </w:r>
      <w:r>
        <w:rPr>
          <w:rFonts w:hint="eastAsia"/>
          <w:b/>
          <w:bCs/>
          <w:sz w:val="21"/>
          <w:szCs w:val="21"/>
          <w:lang w:eastAsia="zh-CN"/>
        </w:rPr>
        <w:t>乙</w:t>
      </w:r>
      <w:r>
        <w:rPr>
          <w:rFonts w:hint="eastAsia"/>
          <w:b/>
          <w:bCs/>
          <w:sz w:val="21"/>
          <w:szCs w:val="21"/>
        </w:rPr>
        <w:t>方对质量保证条件和售后服务。</w:t>
      </w:r>
    </w:p>
    <w:p>
      <w:pPr>
        <w:pageBreakBefore w:val="0"/>
        <w:widowControl w:val="0"/>
        <w:kinsoku/>
        <w:wordWrap/>
        <w:overflowPunct/>
        <w:topLinePunct w:val="0"/>
        <w:autoSpaceDE w:val="0"/>
        <w:autoSpaceDN w:val="0"/>
        <w:bidi w:val="0"/>
        <w:adjustRightInd w:val="0"/>
        <w:snapToGrid w:val="0"/>
        <w:spacing w:line="312" w:lineRule="auto"/>
        <w:ind w:right="32" w:firstLine="420" w:firstLineChars="200"/>
        <w:rPr>
          <w:rFonts w:ascii="宋体" w:hAnsi="宋体"/>
          <w:kern w:val="0"/>
          <w:szCs w:val="21"/>
        </w:rPr>
      </w:pPr>
      <w:r>
        <w:rPr>
          <w:rFonts w:hint="eastAsia" w:ascii="宋体" w:hAnsi="宋体"/>
          <w:kern w:val="0"/>
          <w:szCs w:val="21"/>
        </w:rPr>
        <w:t>1、确保提供的货物是全新、优质、合格的产品，符合国家的质量标准，并向甲方提供相关设备技术资料（中文资料）。</w:t>
      </w:r>
    </w:p>
    <w:p>
      <w:pPr>
        <w:pageBreakBefore w:val="0"/>
        <w:widowControl w:val="0"/>
        <w:kinsoku/>
        <w:wordWrap/>
        <w:overflowPunct/>
        <w:topLinePunct w:val="0"/>
        <w:autoSpaceDE w:val="0"/>
        <w:autoSpaceDN w:val="0"/>
        <w:bidi w:val="0"/>
        <w:adjustRightInd w:val="0"/>
        <w:snapToGrid w:val="0"/>
        <w:spacing w:line="312" w:lineRule="auto"/>
        <w:ind w:right="32" w:firstLine="420" w:firstLineChars="200"/>
        <w:rPr>
          <w:rFonts w:ascii="宋体" w:hAnsi="宋体"/>
          <w:kern w:val="0"/>
          <w:szCs w:val="21"/>
        </w:rPr>
      </w:pPr>
      <w:r>
        <w:rPr>
          <w:rFonts w:hint="eastAsia" w:ascii="宋体" w:hAnsi="宋体"/>
          <w:kern w:val="0"/>
          <w:szCs w:val="21"/>
        </w:rPr>
        <w:t>2、质保期2年，在质量保证期内，凡因正常使用出现的质量问题，乙方应提供免费维修或更换，在制造商（供货商维修服务点）维修时，乙方应支付设备或组件的包装和运费。对更换或修复的零部件从更换或修复之日起重新计算质量保证期。</w:t>
      </w:r>
    </w:p>
    <w:p>
      <w:pPr>
        <w:pageBreakBefore w:val="0"/>
        <w:widowControl w:val="0"/>
        <w:kinsoku/>
        <w:wordWrap/>
        <w:overflowPunct/>
        <w:topLinePunct w:val="0"/>
        <w:autoSpaceDE w:val="0"/>
        <w:autoSpaceDN w:val="0"/>
        <w:bidi w:val="0"/>
        <w:adjustRightInd w:val="0"/>
        <w:snapToGrid w:val="0"/>
        <w:spacing w:line="312" w:lineRule="auto"/>
        <w:ind w:right="32" w:firstLine="420" w:firstLineChars="200"/>
        <w:rPr>
          <w:rFonts w:ascii="宋体" w:hAnsi="宋体"/>
          <w:kern w:val="0"/>
          <w:szCs w:val="21"/>
        </w:rPr>
      </w:pPr>
      <w:r>
        <w:rPr>
          <w:rFonts w:hint="eastAsia" w:ascii="宋体" w:hAnsi="宋体"/>
          <w:kern w:val="0"/>
          <w:szCs w:val="21"/>
        </w:rPr>
        <w:t>3、严格执行</w:t>
      </w:r>
      <w:r>
        <w:rPr>
          <w:rFonts w:hint="eastAsia" w:ascii="宋体" w:hAnsi="宋体"/>
          <w:kern w:val="0"/>
          <w:szCs w:val="21"/>
          <w:lang w:eastAsia="zh-CN"/>
        </w:rPr>
        <w:t>甲</w:t>
      </w:r>
      <w:r>
        <w:rPr>
          <w:rFonts w:hint="eastAsia" w:ascii="宋体" w:hAnsi="宋体"/>
          <w:kern w:val="0"/>
          <w:szCs w:val="21"/>
        </w:rPr>
        <w:t>方的保修规定，在质量保证期内，如电梯发生故障，乙方应免费提供咨询、维修服务（含易损备品备件的免费更换，并无偿提供应急专用工具一套，并在投标文件中详细列明清单），并承诺生产厂商设备故障的维修响应时效。维护保养人员不能排除故障时，乙方应负责请电梯生产厂家派技术人员到现场解决故障问题，相关费用由乙方负责。质量保证期满后，设备需维修的，乙方应本着微利服务原则，按最低价格收取维修费。</w:t>
      </w:r>
    </w:p>
    <w:p>
      <w:pPr>
        <w:pageBreakBefore w:val="0"/>
        <w:widowControl w:val="0"/>
        <w:kinsoku/>
        <w:wordWrap/>
        <w:overflowPunct/>
        <w:topLinePunct w:val="0"/>
        <w:autoSpaceDE w:val="0"/>
        <w:autoSpaceDN w:val="0"/>
        <w:bidi w:val="0"/>
        <w:adjustRightInd w:val="0"/>
        <w:snapToGrid w:val="0"/>
        <w:spacing w:line="312" w:lineRule="auto"/>
        <w:ind w:right="32" w:firstLine="420" w:firstLineChars="200"/>
        <w:rPr>
          <w:rFonts w:ascii="宋体" w:hAnsi="宋体"/>
          <w:kern w:val="0"/>
          <w:szCs w:val="21"/>
        </w:rPr>
      </w:pPr>
      <w:r>
        <w:rPr>
          <w:rFonts w:hint="eastAsia" w:ascii="宋体" w:hAnsi="宋体"/>
          <w:kern w:val="0"/>
          <w:szCs w:val="21"/>
        </w:rPr>
        <w:t>4、在质量保证期内，乙方应按照招标文件和维护保养合同的要求进行维护保养，若乙方未尽到维保义务，则甲方有权根据双方签订的维保合同酌情扣除或拒付余款（质量保证期内每月至少两次例行定期上门维保）；质量保证期满后，乙方应承诺为甲方提供长期优惠维护、保养及售后服务。列出质量保证期过后维护及保养服务费用的详细说明。</w:t>
      </w:r>
    </w:p>
    <w:p>
      <w:pPr>
        <w:pageBreakBefore w:val="0"/>
        <w:widowControl w:val="0"/>
        <w:kinsoku/>
        <w:wordWrap/>
        <w:overflowPunct/>
        <w:topLinePunct w:val="0"/>
        <w:autoSpaceDE w:val="0"/>
        <w:autoSpaceDN w:val="0"/>
        <w:bidi w:val="0"/>
        <w:adjustRightInd w:val="0"/>
        <w:snapToGrid w:val="0"/>
        <w:spacing w:line="312" w:lineRule="auto"/>
        <w:ind w:right="32" w:firstLine="420" w:firstLineChars="200"/>
        <w:rPr>
          <w:rFonts w:ascii="宋体" w:hAnsi="宋体"/>
          <w:kern w:val="0"/>
          <w:szCs w:val="21"/>
        </w:rPr>
      </w:pPr>
      <w:r>
        <w:rPr>
          <w:rFonts w:hint="eastAsia" w:ascii="宋体" w:hAnsi="宋体"/>
          <w:kern w:val="0"/>
          <w:szCs w:val="21"/>
        </w:rPr>
        <w:t>5、乙方在赣州市中心城区（章贡区或赣州经济技术开发区或南康区或蓉江新区或赣县区）具有备品备件库，以备及时维修和更换产品部件。</w:t>
      </w:r>
    </w:p>
    <w:p>
      <w:pPr>
        <w:pageBreakBefore w:val="0"/>
        <w:widowControl w:val="0"/>
        <w:kinsoku/>
        <w:wordWrap/>
        <w:overflowPunct/>
        <w:topLinePunct w:val="0"/>
        <w:autoSpaceDE w:val="0"/>
        <w:autoSpaceDN w:val="0"/>
        <w:bidi w:val="0"/>
        <w:adjustRightInd w:val="0"/>
        <w:snapToGrid w:val="0"/>
        <w:spacing w:line="312" w:lineRule="auto"/>
        <w:ind w:right="32" w:firstLine="420" w:firstLineChars="200"/>
        <w:rPr>
          <w:rFonts w:ascii="宋体" w:hAnsi="宋体"/>
          <w:kern w:val="0"/>
          <w:szCs w:val="21"/>
        </w:rPr>
      </w:pPr>
      <w:r>
        <w:rPr>
          <w:rFonts w:hint="eastAsia" w:ascii="宋体" w:hAnsi="宋体"/>
          <w:kern w:val="0"/>
          <w:szCs w:val="21"/>
        </w:rPr>
        <w:t>6、乙方在电梯安装完成，验收合格后，应及时对电梯进行成品保护，轿厢内壁和地面应设置保护板。维护时间不少于 12 个月，到期后（以甲方通知为准）负责拆除。</w:t>
      </w:r>
    </w:p>
    <w:p>
      <w:pPr>
        <w:pStyle w:val="24"/>
        <w:pageBreakBefore w:val="0"/>
        <w:widowControl w:val="0"/>
        <w:kinsoku/>
        <w:wordWrap/>
        <w:overflowPunct/>
        <w:topLinePunct w:val="0"/>
        <w:bidi w:val="0"/>
        <w:spacing w:beforeAutospacing="0" w:afterAutospacing="0" w:line="312" w:lineRule="auto"/>
        <w:textAlignment w:val="baseline"/>
        <w:rPr>
          <w:b/>
          <w:bCs/>
          <w:sz w:val="21"/>
          <w:szCs w:val="21"/>
        </w:rPr>
      </w:pPr>
      <w:r>
        <w:rPr>
          <w:rFonts w:hint="eastAsia"/>
          <w:b/>
          <w:bCs/>
          <w:sz w:val="21"/>
          <w:szCs w:val="21"/>
        </w:rPr>
        <w:t>四、交货时间及地点：</w:t>
      </w:r>
    </w:p>
    <w:p>
      <w:pPr>
        <w:pageBreakBefore w:val="0"/>
        <w:widowControl w:val="0"/>
        <w:kinsoku/>
        <w:wordWrap/>
        <w:overflowPunct/>
        <w:topLinePunct w:val="0"/>
        <w:autoSpaceDE w:val="0"/>
        <w:autoSpaceDN w:val="0"/>
        <w:bidi w:val="0"/>
        <w:adjustRightInd w:val="0"/>
        <w:snapToGrid w:val="0"/>
        <w:spacing w:line="312" w:lineRule="auto"/>
        <w:ind w:right="32" w:firstLine="420" w:firstLineChars="200"/>
        <w:rPr>
          <w:rFonts w:ascii="宋体" w:hAnsi="宋体"/>
          <w:color w:val="FF0000"/>
          <w:kern w:val="0"/>
          <w:szCs w:val="21"/>
        </w:rPr>
      </w:pPr>
      <w:r>
        <w:rPr>
          <w:rFonts w:hint="eastAsia" w:ascii="宋体" w:hAnsi="宋体"/>
          <w:kern w:val="0"/>
          <w:szCs w:val="21"/>
        </w:rPr>
        <w:t>签订正式合同后，根据现场土建施工进度，甲方将提前通知供货的具体时间，乙方必须按甲方规定的时间将设备运到现场，保证在接到甲方通知供货之日起的45天内完成所有电梯的供货、安装、调试。</w:t>
      </w:r>
    </w:p>
    <w:p>
      <w:pPr>
        <w:pStyle w:val="24"/>
        <w:pageBreakBefore w:val="0"/>
        <w:widowControl w:val="0"/>
        <w:kinsoku/>
        <w:wordWrap/>
        <w:overflowPunct/>
        <w:topLinePunct w:val="0"/>
        <w:bidi w:val="0"/>
        <w:spacing w:beforeAutospacing="0" w:afterAutospacing="0" w:line="312" w:lineRule="auto"/>
        <w:ind w:left="105"/>
        <w:textAlignment w:val="baseline"/>
        <w:rPr>
          <w:b/>
          <w:bCs/>
          <w:sz w:val="21"/>
          <w:szCs w:val="21"/>
        </w:rPr>
      </w:pPr>
      <w:r>
        <w:rPr>
          <w:rFonts w:hint="eastAsia"/>
          <w:b/>
          <w:bCs/>
          <w:sz w:val="21"/>
          <w:szCs w:val="21"/>
        </w:rPr>
        <w:t>五、验收方式：</w:t>
      </w:r>
    </w:p>
    <w:p>
      <w:pPr>
        <w:pageBreakBefore w:val="0"/>
        <w:widowControl w:val="0"/>
        <w:kinsoku/>
        <w:wordWrap/>
        <w:overflowPunct/>
        <w:topLinePunct w:val="0"/>
        <w:autoSpaceDE w:val="0"/>
        <w:autoSpaceDN w:val="0"/>
        <w:bidi w:val="0"/>
        <w:adjustRightInd w:val="0"/>
        <w:snapToGrid w:val="0"/>
        <w:spacing w:line="312" w:lineRule="auto"/>
        <w:ind w:right="32" w:firstLine="420" w:firstLineChars="200"/>
        <w:rPr>
          <w:rFonts w:ascii="宋体" w:hAnsi="宋体"/>
          <w:kern w:val="0"/>
          <w:szCs w:val="21"/>
        </w:rPr>
      </w:pPr>
      <w:r>
        <w:rPr>
          <w:rFonts w:hint="eastAsia" w:ascii="宋体" w:hAnsi="宋体"/>
          <w:kern w:val="0"/>
          <w:szCs w:val="21"/>
        </w:rPr>
        <w:t>（1）甲方在设备制造过程中将派人到生产厂家进行监制，并在设备发货前十天赴生产厂进行预验收，乙方应予以积极配合并对监制、提供凭证或预验收工作提供方便。</w:t>
      </w:r>
    </w:p>
    <w:p>
      <w:pPr>
        <w:pageBreakBefore w:val="0"/>
        <w:widowControl w:val="0"/>
        <w:kinsoku/>
        <w:wordWrap/>
        <w:overflowPunct/>
        <w:topLinePunct w:val="0"/>
        <w:autoSpaceDE w:val="0"/>
        <w:autoSpaceDN w:val="0"/>
        <w:bidi w:val="0"/>
        <w:adjustRightInd w:val="0"/>
        <w:snapToGrid w:val="0"/>
        <w:spacing w:line="312" w:lineRule="auto"/>
        <w:ind w:right="32" w:firstLine="420" w:firstLineChars="200"/>
        <w:rPr>
          <w:rFonts w:ascii="宋体" w:hAnsi="宋体"/>
          <w:kern w:val="0"/>
          <w:szCs w:val="21"/>
        </w:rPr>
      </w:pPr>
      <w:r>
        <w:rPr>
          <w:rFonts w:hint="eastAsia" w:ascii="宋体" w:hAnsi="宋体"/>
          <w:kern w:val="0"/>
          <w:szCs w:val="21"/>
        </w:rPr>
        <w:t>（2）在交货前，乙方应对货物的质量、规格、性能、数量和重量等进行准确而全面的检验，并出具一份证明货物符合合同规定的检验证书。该证书是付款所需文件的组成部分，但不能作为有关质量、规格、性能、数量和重量的最终检验。乙方检验的结果和细节应在质量证书中加以说明。</w:t>
      </w:r>
    </w:p>
    <w:p>
      <w:pPr>
        <w:pageBreakBefore w:val="0"/>
        <w:widowControl w:val="0"/>
        <w:kinsoku/>
        <w:wordWrap/>
        <w:overflowPunct/>
        <w:topLinePunct w:val="0"/>
        <w:autoSpaceDE w:val="0"/>
        <w:autoSpaceDN w:val="0"/>
        <w:bidi w:val="0"/>
        <w:adjustRightInd w:val="0"/>
        <w:snapToGrid w:val="0"/>
        <w:spacing w:line="312" w:lineRule="auto"/>
        <w:ind w:right="32" w:firstLine="420" w:firstLineChars="200"/>
        <w:rPr>
          <w:rFonts w:ascii="宋体" w:hAnsi="宋体"/>
          <w:kern w:val="0"/>
          <w:szCs w:val="21"/>
        </w:rPr>
      </w:pPr>
      <w:r>
        <w:rPr>
          <w:rFonts w:hint="eastAsia" w:ascii="宋体" w:hAnsi="宋体"/>
          <w:kern w:val="0"/>
          <w:szCs w:val="21"/>
        </w:rPr>
        <w:t>（3）如果货物的质量和规格与合同不符，或在规定的质量保证期内证实货物具有缺陷的，包括潜在缺陷或使用不符合要求的材料，甲方应报请本地技术监督部门或有关部门进行检验，并有权凭上述部门出具的质检证书向乙方提出索赔。</w:t>
      </w:r>
    </w:p>
    <w:p>
      <w:pPr>
        <w:pageBreakBefore w:val="0"/>
        <w:widowControl w:val="0"/>
        <w:kinsoku/>
        <w:wordWrap/>
        <w:overflowPunct/>
        <w:topLinePunct w:val="0"/>
        <w:autoSpaceDE w:val="0"/>
        <w:autoSpaceDN w:val="0"/>
        <w:bidi w:val="0"/>
        <w:adjustRightInd w:val="0"/>
        <w:snapToGrid w:val="0"/>
        <w:spacing w:line="312" w:lineRule="auto"/>
        <w:ind w:right="32"/>
        <w:rPr>
          <w:b/>
          <w:bCs/>
          <w:szCs w:val="21"/>
          <w:lang w:val="zh-CN"/>
        </w:rPr>
      </w:pPr>
      <w:r>
        <w:rPr>
          <w:rFonts w:hint="eastAsia"/>
          <w:b/>
          <w:bCs/>
          <w:szCs w:val="21"/>
        </w:rPr>
        <w:t>六、</w:t>
      </w:r>
      <w:r>
        <w:rPr>
          <w:rFonts w:hint="eastAsia"/>
          <w:b/>
          <w:bCs/>
          <w:szCs w:val="21"/>
          <w:lang w:val="zh-CN"/>
        </w:rPr>
        <w:t>履约保证金</w:t>
      </w:r>
    </w:p>
    <w:p>
      <w:pPr>
        <w:pageBreakBefore w:val="0"/>
        <w:widowControl w:val="0"/>
        <w:kinsoku/>
        <w:wordWrap/>
        <w:overflowPunct/>
        <w:topLinePunct w:val="0"/>
        <w:autoSpaceDE w:val="0"/>
        <w:autoSpaceDN w:val="0"/>
        <w:bidi w:val="0"/>
        <w:adjustRightInd w:val="0"/>
        <w:snapToGrid w:val="0"/>
        <w:spacing w:line="312" w:lineRule="auto"/>
        <w:ind w:right="32" w:firstLine="420" w:firstLineChars="200"/>
        <w:rPr>
          <w:rFonts w:ascii="宋体" w:hAnsi="宋体"/>
          <w:color w:val="FF0000"/>
          <w:kern w:val="0"/>
          <w:szCs w:val="21"/>
          <w:lang w:val="zh-CN"/>
        </w:rPr>
      </w:pPr>
      <w:r>
        <w:rPr>
          <w:rFonts w:hint="eastAsia" w:ascii="宋体" w:hAnsi="宋体"/>
          <w:kern w:val="0"/>
          <w:szCs w:val="21"/>
          <w:lang w:val="zh-CN"/>
        </w:rPr>
        <w:t>乙方投标保证金自动转为合同履约保证金，且须在发放中标通知书后</w:t>
      </w:r>
      <w:r>
        <w:rPr>
          <w:rFonts w:hint="eastAsia" w:ascii="宋体" w:hAnsi="宋体"/>
          <w:kern w:val="0"/>
          <w:szCs w:val="21"/>
        </w:rPr>
        <w:t>5</w:t>
      </w:r>
      <w:r>
        <w:rPr>
          <w:rFonts w:hint="eastAsia" w:ascii="宋体" w:hAnsi="宋体"/>
          <w:kern w:val="0"/>
          <w:szCs w:val="21"/>
          <w:lang w:val="zh-CN"/>
        </w:rPr>
        <w:t>日内向甲方缴足中标总价10%的履约保证金，否则甲方将取消其中标资格并将其列入我行采购供应商黑名单，投标保证金不予退还。履约保证金在项目验收后无息退还给乙方，乙方未按合同约定履行义务时，履约保证金不予退还。</w:t>
      </w:r>
    </w:p>
    <w:p>
      <w:pPr>
        <w:pageBreakBefore w:val="0"/>
        <w:widowControl w:val="0"/>
        <w:kinsoku/>
        <w:wordWrap/>
        <w:overflowPunct/>
        <w:topLinePunct w:val="0"/>
        <w:autoSpaceDE w:val="0"/>
        <w:autoSpaceDN w:val="0"/>
        <w:bidi w:val="0"/>
        <w:adjustRightInd w:val="0"/>
        <w:snapToGrid w:val="0"/>
        <w:spacing w:line="312" w:lineRule="auto"/>
        <w:ind w:right="32"/>
        <w:rPr>
          <w:b/>
          <w:bCs/>
          <w:szCs w:val="21"/>
          <w:lang w:val="zh-CN"/>
        </w:rPr>
      </w:pPr>
      <w:r>
        <w:rPr>
          <w:rFonts w:hint="eastAsia"/>
          <w:b/>
          <w:bCs/>
          <w:szCs w:val="21"/>
          <w:lang w:val="zh-CN"/>
        </w:rPr>
        <w:t>七、安全生产与文明施工要求</w:t>
      </w:r>
    </w:p>
    <w:p>
      <w:pPr>
        <w:pStyle w:val="2"/>
        <w:pageBreakBefore w:val="0"/>
        <w:widowControl w:val="0"/>
        <w:kinsoku/>
        <w:wordWrap/>
        <w:overflowPunct/>
        <w:topLinePunct w:val="0"/>
        <w:bidi w:val="0"/>
        <w:spacing w:line="312" w:lineRule="auto"/>
        <w:ind w:left="105" w:firstLine="420" w:firstLineChars="200"/>
        <w:rPr>
          <w:rFonts w:hAnsi="宋体"/>
          <w:kern w:val="0"/>
          <w:szCs w:val="21"/>
          <w:lang w:val="zh-CN"/>
        </w:rPr>
      </w:pPr>
      <w:r>
        <w:rPr>
          <w:rFonts w:hint="eastAsia" w:hAnsi="宋体"/>
          <w:kern w:val="0"/>
          <w:szCs w:val="21"/>
          <w:lang w:val="zh-CN"/>
        </w:rPr>
        <w:t>（1）本工程必须做到安全生产、文明施工，杜绝运输、施工安全事故的发生；乙方在运输、安装、调试、验收阶段若发生一起较大及以上等级施工安全事故，扣除乙方履约保证金的10%，乙方还应承担因此而发生的人身损害及财产损失赔偿责任，甲方不承担任何责任；若发生一起一般生产安全事故，扣除乙方履约保证金的5%，乙方还应承担因此而发生的人身损害及财产损失赔偿责任，甲方不承担任何责任；</w:t>
      </w:r>
    </w:p>
    <w:p>
      <w:pPr>
        <w:pStyle w:val="2"/>
        <w:pageBreakBefore w:val="0"/>
        <w:widowControl w:val="0"/>
        <w:kinsoku/>
        <w:wordWrap/>
        <w:overflowPunct/>
        <w:topLinePunct w:val="0"/>
        <w:bidi w:val="0"/>
        <w:spacing w:line="312" w:lineRule="auto"/>
        <w:ind w:firstLine="420" w:firstLineChars="200"/>
        <w:rPr>
          <w:rFonts w:hAnsi="宋体"/>
          <w:kern w:val="0"/>
          <w:szCs w:val="21"/>
        </w:rPr>
      </w:pPr>
      <w:r>
        <w:rPr>
          <w:rFonts w:hint="eastAsia" w:hAnsi="宋体"/>
          <w:kern w:val="0"/>
          <w:szCs w:val="21"/>
          <w:lang w:val="zh-CN"/>
        </w:rPr>
        <w:t>（2）生产安全事故等级按照中华人民共和国国务院令第493号“生产安全事故报告和调查处理条例”规定的标准划分。</w:t>
      </w:r>
    </w:p>
    <w:p>
      <w:pPr>
        <w:pStyle w:val="24"/>
        <w:pageBreakBefore w:val="0"/>
        <w:widowControl w:val="0"/>
        <w:kinsoku/>
        <w:wordWrap/>
        <w:overflowPunct/>
        <w:topLinePunct w:val="0"/>
        <w:bidi w:val="0"/>
        <w:spacing w:beforeAutospacing="0" w:afterAutospacing="0" w:line="312" w:lineRule="auto"/>
        <w:textAlignment w:val="baseline"/>
        <w:rPr>
          <w:b/>
          <w:bCs/>
          <w:sz w:val="21"/>
          <w:szCs w:val="21"/>
        </w:rPr>
      </w:pPr>
      <w:r>
        <w:rPr>
          <w:rFonts w:hint="eastAsia"/>
          <w:b/>
          <w:bCs/>
          <w:sz w:val="21"/>
          <w:szCs w:val="21"/>
        </w:rPr>
        <w:t>八、付款方式：</w:t>
      </w:r>
    </w:p>
    <w:p>
      <w:pPr>
        <w:pStyle w:val="24"/>
        <w:pageBreakBefore w:val="0"/>
        <w:widowControl w:val="0"/>
        <w:kinsoku/>
        <w:wordWrap/>
        <w:overflowPunct/>
        <w:topLinePunct w:val="0"/>
        <w:bidi w:val="0"/>
        <w:spacing w:beforeAutospacing="0" w:afterAutospacing="0" w:line="312" w:lineRule="auto"/>
        <w:textAlignment w:val="baseline"/>
        <w:rPr>
          <w:sz w:val="21"/>
          <w:szCs w:val="21"/>
        </w:rPr>
      </w:pPr>
      <w:r>
        <w:rPr>
          <w:rFonts w:hint="eastAsia"/>
          <w:sz w:val="21"/>
          <w:szCs w:val="21"/>
        </w:rPr>
        <w:t>（1）以人民币付款；</w:t>
      </w:r>
    </w:p>
    <w:p>
      <w:pPr>
        <w:pStyle w:val="24"/>
        <w:pageBreakBefore w:val="0"/>
        <w:widowControl w:val="0"/>
        <w:kinsoku/>
        <w:wordWrap/>
        <w:overflowPunct/>
        <w:topLinePunct w:val="0"/>
        <w:bidi w:val="0"/>
        <w:spacing w:beforeAutospacing="0" w:afterAutospacing="0" w:line="312" w:lineRule="auto"/>
        <w:textAlignment w:val="baseline"/>
        <w:rPr>
          <w:sz w:val="21"/>
          <w:szCs w:val="21"/>
        </w:rPr>
      </w:pPr>
      <w:r>
        <w:rPr>
          <w:rFonts w:hint="eastAsia"/>
          <w:sz w:val="21"/>
          <w:szCs w:val="21"/>
        </w:rPr>
        <w:t>（2）在合同签订后接甲方供货通知后15天内，向乙方预付电梯设备货款的40％；完成电梯设备安装调试后，支付至电梯设备款与安装费之和的90%；经质量技术检验机构验收合格后15天内支付至电梯设备款与安装费之和的95%,余款电梯设备质量保修期过后15天内一次性付清（不计利息）。</w:t>
      </w:r>
    </w:p>
    <w:p>
      <w:pPr>
        <w:pStyle w:val="24"/>
        <w:pageBreakBefore w:val="0"/>
        <w:widowControl w:val="0"/>
        <w:kinsoku/>
        <w:wordWrap/>
        <w:overflowPunct/>
        <w:topLinePunct w:val="0"/>
        <w:bidi w:val="0"/>
        <w:spacing w:beforeAutospacing="0" w:afterAutospacing="0" w:line="312" w:lineRule="auto"/>
        <w:textAlignment w:val="baseline"/>
        <w:rPr>
          <w:sz w:val="21"/>
          <w:szCs w:val="21"/>
        </w:rPr>
      </w:pPr>
      <w:r>
        <w:rPr>
          <w:rFonts w:hint="eastAsia"/>
          <w:sz w:val="21"/>
          <w:szCs w:val="21"/>
        </w:rPr>
        <w:t>（3）每次向乙方付款，乙方必须提供等额正式发票。</w:t>
      </w:r>
    </w:p>
    <w:p>
      <w:pPr>
        <w:pStyle w:val="24"/>
        <w:pageBreakBefore w:val="0"/>
        <w:widowControl w:val="0"/>
        <w:kinsoku/>
        <w:wordWrap/>
        <w:overflowPunct/>
        <w:topLinePunct w:val="0"/>
        <w:bidi w:val="0"/>
        <w:spacing w:beforeAutospacing="0" w:afterAutospacing="0" w:line="312" w:lineRule="auto"/>
        <w:textAlignment w:val="baseline"/>
        <w:rPr>
          <w:b/>
          <w:bCs/>
          <w:sz w:val="21"/>
          <w:szCs w:val="21"/>
        </w:rPr>
      </w:pPr>
      <w:r>
        <w:rPr>
          <w:rFonts w:hint="eastAsia"/>
          <w:b/>
          <w:bCs/>
          <w:sz w:val="21"/>
          <w:szCs w:val="21"/>
        </w:rPr>
        <w:t>九、违约责任及赔付：</w:t>
      </w:r>
    </w:p>
    <w:p>
      <w:pPr>
        <w:pStyle w:val="24"/>
        <w:pageBreakBefore w:val="0"/>
        <w:widowControl w:val="0"/>
        <w:kinsoku/>
        <w:wordWrap/>
        <w:overflowPunct/>
        <w:topLinePunct w:val="0"/>
        <w:bidi w:val="0"/>
        <w:spacing w:beforeAutospacing="0" w:afterAutospacing="0" w:line="312" w:lineRule="auto"/>
        <w:ind w:firstLine="420" w:firstLineChars="200"/>
        <w:textAlignment w:val="baseline"/>
        <w:rPr>
          <w:sz w:val="21"/>
          <w:szCs w:val="21"/>
        </w:rPr>
      </w:pPr>
      <w:r>
        <w:rPr>
          <w:rFonts w:hint="eastAsia"/>
          <w:sz w:val="21"/>
          <w:szCs w:val="21"/>
        </w:rPr>
        <w:t>（1）乙方应按照合同规定的日期将货物交付</w:t>
      </w:r>
      <w:r>
        <w:rPr>
          <w:rFonts w:hint="eastAsia"/>
          <w:sz w:val="21"/>
          <w:szCs w:val="21"/>
          <w:lang w:eastAsia="zh-CN"/>
        </w:rPr>
        <w:t>甲方</w:t>
      </w:r>
      <w:r>
        <w:rPr>
          <w:rFonts w:hint="eastAsia"/>
          <w:sz w:val="21"/>
          <w:szCs w:val="21"/>
        </w:rPr>
        <w:t>使用，并按期完成安装调试工作，每逾期交货、交付一天罚合同价款的5%。</w:t>
      </w:r>
    </w:p>
    <w:p>
      <w:pPr>
        <w:pStyle w:val="24"/>
        <w:pageBreakBefore w:val="0"/>
        <w:widowControl w:val="0"/>
        <w:kinsoku/>
        <w:wordWrap/>
        <w:overflowPunct/>
        <w:topLinePunct w:val="0"/>
        <w:bidi w:val="0"/>
        <w:spacing w:beforeAutospacing="0" w:afterAutospacing="0" w:line="312" w:lineRule="auto"/>
        <w:ind w:firstLine="420" w:firstLineChars="200"/>
        <w:textAlignment w:val="baseline"/>
        <w:rPr>
          <w:sz w:val="21"/>
          <w:szCs w:val="21"/>
        </w:rPr>
      </w:pPr>
      <w:r>
        <w:rPr>
          <w:rFonts w:hint="eastAsia"/>
          <w:sz w:val="21"/>
          <w:szCs w:val="21"/>
        </w:rPr>
        <w:t>（2）如果乙方毫无理由地拖延交货和完工，将受到以下制裁：没收履约保证金，加收罚款或按违约终止合同。</w:t>
      </w:r>
    </w:p>
    <w:p>
      <w:pPr>
        <w:pStyle w:val="24"/>
        <w:pageBreakBefore w:val="0"/>
        <w:widowControl w:val="0"/>
        <w:kinsoku/>
        <w:wordWrap/>
        <w:overflowPunct/>
        <w:topLinePunct w:val="0"/>
        <w:bidi w:val="0"/>
        <w:spacing w:beforeAutospacing="0" w:afterAutospacing="0" w:line="312" w:lineRule="auto"/>
        <w:ind w:firstLine="420" w:firstLineChars="200"/>
        <w:textAlignment w:val="baseline"/>
        <w:rPr>
          <w:sz w:val="21"/>
          <w:szCs w:val="21"/>
        </w:rPr>
      </w:pPr>
      <w:r>
        <w:rPr>
          <w:rFonts w:hint="eastAsia"/>
          <w:sz w:val="21"/>
          <w:szCs w:val="21"/>
        </w:rPr>
        <w:t>（3）履行合同过程中，如果乙方遇到不能按时交货和按期完工的情况，应及时以书面形式将不能按时交货和完工的理由、延误时间通知甲方。</w:t>
      </w:r>
      <w:r>
        <w:rPr>
          <w:rFonts w:hint="eastAsia"/>
          <w:sz w:val="21"/>
          <w:szCs w:val="21"/>
          <w:lang w:eastAsia="zh-CN"/>
        </w:rPr>
        <w:t>甲方</w:t>
      </w:r>
      <w:r>
        <w:rPr>
          <w:rFonts w:hint="eastAsia"/>
          <w:sz w:val="21"/>
          <w:szCs w:val="21"/>
        </w:rPr>
        <w:t>在收到乙方通知后，应对情况进行分析，决定是否修改合同、酌情延长交货时间或终止合同。</w:t>
      </w:r>
    </w:p>
    <w:p>
      <w:pPr>
        <w:pStyle w:val="24"/>
        <w:pageBreakBefore w:val="0"/>
        <w:widowControl w:val="0"/>
        <w:kinsoku/>
        <w:wordWrap/>
        <w:overflowPunct/>
        <w:topLinePunct w:val="0"/>
        <w:bidi w:val="0"/>
        <w:spacing w:beforeAutospacing="0" w:afterAutospacing="0" w:line="312" w:lineRule="auto"/>
        <w:ind w:firstLine="420" w:firstLineChars="200"/>
        <w:textAlignment w:val="baseline"/>
        <w:rPr>
          <w:sz w:val="21"/>
          <w:szCs w:val="21"/>
        </w:rPr>
      </w:pPr>
      <w:r>
        <w:rPr>
          <w:rFonts w:hint="eastAsia"/>
          <w:sz w:val="21"/>
          <w:szCs w:val="21"/>
        </w:rPr>
        <w:t>（4）</w:t>
      </w:r>
      <w:r>
        <w:rPr>
          <w:rFonts w:hint="eastAsia"/>
          <w:sz w:val="21"/>
          <w:szCs w:val="21"/>
          <w:lang w:eastAsia="zh-CN"/>
        </w:rPr>
        <w:t>乙</w:t>
      </w:r>
      <w:r>
        <w:rPr>
          <w:rFonts w:hint="eastAsia"/>
          <w:sz w:val="21"/>
          <w:szCs w:val="21"/>
        </w:rPr>
        <w:t>方不能交货，应向</w:t>
      </w:r>
      <w:r>
        <w:rPr>
          <w:rFonts w:hint="eastAsia"/>
          <w:sz w:val="21"/>
          <w:szCs w:val="21"/>
          <w:lang w:eastAsia="zh-CN"/>
        </w:rPr>
        <w:t>甲方</w:t>
      </w:r>
      <w:r>
        <w:rPr>
          <w:rFonts w:hint="eastAsia"/>
          <w:sz w:val="21"/>
          <w:szCs w:val="21"/>
        </w:rPr>
        <w:t>退还已付款，没收履约保证金，并赔偿合同总价款的20%的违约金。</w:t>
      </w:r>
    </w:p>
    <w:p>
      <w:pPr>
        <w:pStyle w:val="24"/>
        <w:pageBreakBefore w:val="0"/>
        <w:widowControl w:val="0"/>
        <w:kinsoku/>
        <w:wordWrap/>
        <w:overflowPunct/>
        <w:topLinePunct w:val="0"/>
        <w:bidi w:val="0"/>
        <w:spacing w:beforeAutospacing="0" w:afterAutospacing="0" w:line="312" w:lineRule="auto"/>
        <w:ind w:firstLine="420" w:firstLineChars="200"/>
        <w:textAlignment w:val="baseline"/>
        <w:rPr>
          <w:sz w:val="21"/>
          <w:szCs w:val="21"/>
        </w:rPr>
      </w:pPr>
      <w:r>
        <w:rPr>
          <w:rFonts w:hint="eastAsia"/>
          <w:sz w:val="21"/>
          <w:szCs w:val="21"/>
        </w:rPr>
        <w:t>（5）保修期内如重大部件(曳引机、控制柜、门机及门保护系统、安全设备)故障率超过3次/每年/台，每超过一次由乙方免费为</w:t>
      </w:r>
      <w:r>
        <w:rPr>
          <w:rFonts w:hint="eastAsia"/>
          <w:sz w:val="21"/>
          <w:szCs w:val="21"/>
          <w:lang w:eastAsia="zh-CN"/>
        </w:rPr>
        <w:t>甲方</w:t>
      </w:r>
      <w:r>
        <w:rPr>
          <w:rFonts w:hint="eastAsia"/>
          <w:sz w:val="21"/>
          <w:szCs w:val="21"/>
        </w:rPr>
        <w:t>顺延质保期半年。</w:t>
      </w:r>
    </w:p>
    <w:p>
      <w:pPr>
        <w:pStyle w:val="24"/>
        <w:pageBreakBefore w:val="0"/>
        <w:widowControl w:val="0"/>
        <w:kinsoku/>
        <w:wordWrap/>
        <w:overflowPunct/>
        <w:topLinePunct w:val="0"/>
        <w:bidi w:val="0"/>
        <w:spacing w:beforeAutospacing="0" w:afterAutospacing="0" w:line="312" w:lineRule="auto"/>
        <w:ind w:firstLine="420" w:firstLineChars="200"/>
        <w:textAlignment w:val="baseline"/>
        <w:rPr>
          <w:sz w:val="21"/>
          <w:szCs w:val="21"/>
        </w:rPr>
      </w:pPr>
      <w:r>
        <w:rPr>
          <w:rFonts w:hint="eastAsia"/>
          <w:sz w:val="21"/>
          <w:szCs w:val="21"/>
        </w:rPr>
        <w:t>（6）质保期内电梯发生故障，如乙方在接到</w:t>
      </w:r>
      <w:r>
        <w:rPr>
          <w:rFonts w:hint="eastAsia"/>
          <w:sz w:val="21"/>
          <w:szCs w:val="21"/>
          <w:lang w:eastAsia="zh-CN"/>
        </w:rPr>
        <w:t>甲方</w:t>
      </w:r>
      <w:r>
        <w:rPr>
          <w:rFonts w:hint="eastAsia"/>
          <w:sz w:val="21"/>
          <w:szCs w:val="21"/>
        </w:rPr>
        <w:t>通知后未能及时在</w:t>
      </w:r>
      <w:r>
        <w:rPr>
          <w:rFonts w:hint="eastAsia"/>
          <w:sz w:val="21"/>
          <w:szCs w:val="21"/>
          <w:lang w:val="en-US" w:eastAsia="zh-CN"/>
        </w:rPr>
        <w:t>2</w:t>
      </w:r>
      <w:r>
        <w:rPr>
          <w:rFonts w:hint="eastAsia"/>
          <w:sz w:val="21"/>
          <w:szCs w:val="21"/>
        </w:rPr>
        <w:t>小时内赶到现场维修电梯，每超过一次罚款1000元。</w:t>
      </w:r>
    </w:p>
    <w:p>
      <w:pPr>
        <w:pStyle w:val="24"/>
        <w:pageBreakBefore w:val="0"/>
        <w:widowControl w:val="0"/>
        <w:kinsoku/>
        <w:wordWrap/>
        <w:overflowPunct/>
        <w:topLinePunct w:val="0"/>
        <w:bidi w:val="0"/>
        <w:spacing w:beforeAutospacing="0" w:afterAutospacing="0" w:line="312" w:lineRule="auto"/>
        <w:textAlignment w:val="baseline"/>
        <w:rPr>
          <w:sz w:val="21"/>
          <w:szCs w:val="21"/>
        </w:rPr>
      </w:pPr>
      <w:r>
        <w:rPr>
          <w:rFonts w:hint="eastAsia"/>
          <w:sz w:val="21"/>
          <w:szCs w:val="21"/>
        </w:rPr>
        <w:t>十、其他要求</w:t>
      </w:r>
    </w:p>
    <w:p>
      <w:pPr>
        <w:pStyle w:val="24"/>
        <w:pageBreakBefore w:val="0"/>
        <w:widowControl w:val="0"/>
        <w:kinsoku/>
        <w:wordWrap/>
        <w:overflowPunct/>
        <w:topLinePunct w:val="0"/>
        <w:bidi w:val="0"/>
        <w:spacing w:beforeAutospacing="0" w:afterAutospacing="0" w:line="312" w:lineRule="auto"/>
        <w:ind w:firstLine="420" w:firstLineChars="200"/>
        <w:textAlignment w:val="baseline"/>
        <w:rPr>
          <w:sz w:val="21"/>
          <w:szCs w:val="21"/>
        </w:rPr>
      </w:pPr>
      <w:r>
        <w:rPr>
          <w:rFonts w:hint="eastAsia"/>
          <w:sz w:val="21"/>
          <w:szCs w:val="21"/>
        </w:rPr>
        <w:t>（1）合同签订后，乙方十天内提供机房、井道的土建相关施工图纸；若井道尺寸大于招标文件提供的井道尺寸，乙方应对自身的井道图纸进行调整。</w:t>
      </w:r>
    </w:p>
    <w:p>
      <w:pPr>
        <w:pStyle w:val="24"/>
        <w:pageBreakBefore w:val="0"/>
        <w:widowControl w:val="0"/>
        <w:kinsoku/>
        <w:wordWrap/>
        <w:overflowPunct/>
        <w:topLinePunct w:val="0"/>
        <w:bidi w:val="0"/>
        <w:spacing w:beforeAutospacing="0" w:afterAutospacing="0" w:line="312" w:lineRule="auto"/>
        <w:ind w:firstLine="420" w:firstLineChars="200"/>
        <w:textAlignment w:val="baseline"/>
        <w:rPr>
          <w:sz w:val="21"/>
          <w:szCs w:val="21"/>
        </w:rPr>
      </w:pPr>
      <w:r>
        <w:rPr>
          <w:rFonts w:hint="eastAsia"/>
          <w:sz w:val="21"/>
          <w:szCs w:val="21"/>
        </w:rPr>
        <w:t>（2）在合同签订后十天内，提供井道布置、孔洞土建结构预埋件、留孔图及土建相关施工图纸资料；若井道实际尺寸与招标文件提供的井道尺寸有细微偏差，乙方应自行修整井道细微偏差，费用包含在中标价中不予调整。</w:t>
      </w:r>
    </w:p>
    <w:p>
      <w:pPr>
        <w:pStyle w:val="24"/>
        <w:pageBreakBefore w:val="0"/>
        <w:widowControl w:val="0"/>
        <w:kinsoku/>
        <w:wordWrap/>
        <w:overflowPunct/>
        <w:topLinePunct w:val="0"/>
        <w:bidi w:val="0"/>
        <w:spacing w:beforeAutospacing="0" w:afterAutospacing="0" w:line="312" w:lineRule="auto"/>
        <w:ind w:firstLine="420" w:firstLineChars="200"/>
        <w:textAlignment w:val="baseline"/>
        <w:rPr>
          <w:sz w:val="21"/>
          <w:szCs w:val="21"/>
        </w:rPr>
      </w:pPr>
      <w:r>
        <w:rPr>
          <w:rFonts w:hint="eastAsia"/>
          <w:sz w:val="21"/>
          <w:szCs w:val="21"/>
        </w:rPr>
        <w:t>（3）合同签订后，甲方应及时派安装人员配合土建完成相应的预埋工作，乙方应主动向甲方跟踪供货日期，确保能满足施工进度，乙方必须在甲方要求的工期内完成电梯安装调试工作。乙方精心组织施工，确保工程建设按总进度计划和单体计划进行，并按期或提前竣工。工程施工按设备到场、安装调试、竣工验收的施工阶段实际完成时间与计划时间进行阶段性核对。因乙方原因出现阶段性拖延的，拖延3天以上，</w:t>
      </w:r>
      <w:r>
        <w:rPr>
          <w:rFonts w:hint="eastAsia"/>
          <w:sz w:val="21"/>
          <w:szCs w:val="21"/>
          <w:lang w:eastAsia="zh-CN"/>
        </w:rPr>
        <w:t>甲方</w:t>
      </w:r>
      <w:r>
        <w:rPr>
          <w:rFonts w:hint="eastAsia"/>
          <w:sz w:val="21"/>
          <w:szCs w:val="21"/>
        </w:rPr>
        <w:t>或监理发出书面警告；拖延一周以上的</w:t>
      </w:r>
      <w:r>
        <w:rPr>
          <w:rFonts w:hint="eastAsia"/>
          <w:sz w:val="21"/>
          <w:szCs w:val="21"/>
          <w:lang w:eastAsia="zh-CN"/>
        </w:rPr>
        <w:t>甲方</w:t>
      </w:r>
      <w:r>
        <w:rPr>
          <w:rFonts w:hint="eastAsia"/>
          <w:sz w:val="21"/>
          <w:szCs w:val="21"/>
        </w:rPr>
        <w:t>或监理发出书面警告，并处以5000元罚款；拖延半个月以上的，甲方或监理联合发出书面严重警告，并处以10000元罚款；工期拖延后经乙方采取积极措施，在此后的施工阶段将进度赶上，按原进度计划完成的，此前所罚款项全额退回（不计利息）；拖延半个月以上，乙方不采取措施的，工期处于停工、半停工状态的，甲方有权终止合同。因甲方原因造成工期延误，甲方不承担任何经济赔偿责任，只给予工期顺延。</w:t>
      </w:r>
    </w:p>
    <w:p>
      <w:pPr>
        <w:pStyle w:val="24"/>
        <w:pageBreakBefore w:val="0"/>
        <w:widowControl w:val="0"/>
        <w:kinsoku/>
        <w:wordWrap/>
        <w:overflowPunct/>
        <w:topLinePunct w:val="0"/>
        <w:bidi w:val="0"/>
        <w:spacing w:beforeAutospacing="0" w:afterAutospacing="0" w:line="312" w:lineRule="auto"/>
        <w:ind w:firstLine="420" w:firstLineChars="200"/>
        <w:textAlignment w:val="baseline"/>
        <w:rPr>
          <w:sz w:val="21"/>
          <w:szCs w:val="21"/>
        </w:rPr>
      </w:pPr>
      <w:r>
        <w:rPr>
          <w:rFonts w:hint="eastAsia"/>
          <w:sz w:val="21"/>
          <w:szCs w:val="21"/>
        </w:rPr>
        <w:t>（4）电梯经质检部门检测验收合格后，乙方须负责人员的培训，要将钥匙和原始密码（如果有）移交给甲方。</w:t>
      </w:r>
    </w:p>
    <w:p>
      <w:pPr>
        <w:pStyle w:val="24"/>
        <w:pageBreakBefore w:val="0"/>
        <w:widowControl w:val="0"/>
        <w:kinsoku/>
        <w:wordWrap/>
        <w:overflowPunct/>
        <w:topLinePunct w:val="0"/>
        <w:bidi w:val="0"/>
        <w:spacing w:beforeAutospacing="0" w:afterAutospacing="0" w:line="312" w:lineRule="auto"/>
        <w:ind w:firstLine="420" w:firstLineChars="200"/>
        <w:textAlignment w:val="baseline"/>
        <w:rPr>
          <w:sz w:val="21"/>
          <w:szCs w:val="21"/>
        </w:rPr>
      </w:pPr>
      <w:r>
        <w:rPr>
          <w:rFonts w:hint="eastAsia"/>
          <w:sz w:val="21"/>
          <w:szCs w:val="21"/>
        </w:rPr>
        <w:t>（5）因乙方原因造成质量不符合验收标准，应进行返工直至验收合格为止，并承担返工所发生的一切费用，对甲方造成损害的，应负责全额赔偿。</w:t>
      </w:r>
    </w:p>
    <w:p>
      <w:pPr>
        <w:pStyle w:val="24"/>
        <w:pageBreakBefore w:val="0"/>
        <w:widowControl w:val="0"/>
        <w:kinsoku/>
        <w:wordWrap/>
        <w:overflowPunct/>
        <w:topLinePunct w:val="0"/>
        <w:bidi w:val="0"/>
        <w:spacing w:beforeAutospacing="0" w:afterAutospacing="0" w:line="312" w:lineRule="auto"/>
        <w:ind w:firstLine="420" w:firstLineChars="200"/>
        <w:textAlignment w:val="baseline"/>
        <w:rPr>
          <w:sz w:val="21"/>
          <w:szCs w:val="21"/>
        </w:rPr>
      </w:pPr>
      <w:r>
        <w:rPr>
          <w:rFonts w:hint="eastAsia"/>
          <w:sz w:val="21"/>
          <w:szCs w:val="21"/>
        </w:rPr>
        <w:t>（6）变更的结算办法及方式：数量以实际采购安装量为准，单价执行中标单价，若因甲方原因变更了电梯的型号、主要技术参数及配置要求，由双方共同协商调整单价。</w:t>
      </w:r>
    </w:p>
    <w:p>
      <w:pPr>
        <w:pStyle w:val="24"/>
        <w:pageBreakBefore w:val="0"/>
        <w:widowControl w:val="0"/>
        <w:kinsoku/>
        <w:wordWrap/>
        <w:overflowPunct/>
        <w:topLinePunct w:val="0"/>
        <w:bidi w:val="0"/>
        <w:spacing w:beforeAutospacing="0" w:afterAutospacing="0" w:line="312" w:lineRule="auto"/>
        <w:ind w:firstLine="420" w:firstLineChars="200"/>
        <w:textAlignment w:val="baseline"/>
        <w:rPr>
          <w:sz w:val="21"/>
          <w:szCs w:val="21"/>
        </w:rPr>
      </w:pPr>
      <w:r>
        <w:rPr>
          <w:rFonts w:hint="eastAsia"/>
          <w:sz w:val="21"/>
          <w:szCs w:val="21"/>
        </w:rPr>
        <w:t>（7）本工程不允许挂靠、转包、擅自分包，否则将终止合同，其履约保证金抵作违约金归</w:t>
      </w:r>
      <w:r>
        <w:rPr>
          <w:rFonts w:hint="eastAsia"/>
          <w:sz w:val="21"/>
          <w:szCs w:val="21"/>
          <w:lang w:eastAsia="zh-CN"/>
        </w:rPr>
        <w:t>甲方</w:t>
      </w:r>
      <w:r>
        <w:rPr>
          <w:rFonts w:hint="eastAsia"/>
          <w:sz w:val="21"/>
          <w:szCs w:val="21"/>
        </w:rPr>
        <w:t>所有，另选施工单位，乙方无条件在10天内清退出场。</w:t>
      </w:r>
    </w:p>
    <w:p>
      <w:pPr>
        <w:pStyle w:val="24"/>
        <w:pageBreakBefore w:val="0"/>
        <w:widowControl w:val="0"/>
        <w:kinsoku/>
        <w:wordWrap/>
        <w:overflowPunct/>
        <w:topLinePunct w:val="0"/>
        <w:bidi w:val="0"/>
        <w:spacing w:beforeAutospacing="0" w:afterAutospacing="0" w:line="312" w:lineRule="auto"/>
        <w:ind w:firstLine="420" w:firstLineChars="200"/>
        <w:textAlignment w:val="baseline"/>
        <w:rPr>
          <w:sz w:val="21"/>
          <w:szCs w:val="21"/>
        </w:rPr>
      </w:pPr>
      <w:r>
        <w:rPr>
          <w:rFonts w:hint="eastAsia"/>
          <w:sz w:val="21"/>
          <w:szCs w:val="21"/>
        </w:rPr>
        <w:t>（8）乙方应在投标报价中充分考虑电梯试用过程中的所有施工用水用电费、门孔洞细微修整等费用，施工过程中甲方将不再另行签证。</w:t>
      </w:r>
    </w:p>
    <w:p>
      <w:pPr>
        <w:pStyle w:val="24"/>
        <w:pageBreakBefore w:val="0"/>
        <w:widowControl w:val="0"/>
        <w:kinsoku/>
        <w:wordWrap/>
        <w:overflowPunct/>
        <w:topLinePunct w:val="0"/>
        <w:bidi w:val="0"/>
        <w:spacing w:beforeAutospacing="0" w:afterAutospacing="0" w:line="312" w:lineRule="auto"/>
        <w:ind w:firstLine="420" w:firstLineChars="200"/>
        <w:textAlignment w:val="baseline"/>
        <w:rPr>
          <w:sz w:val="21"/>
          <w:szCs w:val="21"/>
        </w:rPr>
      </w:pPr>
      <w:r>
        <w:rPr>
          <w:rFonts w:hint="eastAsia"/>
          <w:sz w:val="21"/>
          <w:szCs w:val="21"/>
        </w:rPr>
        <w:t>（9）本工程电梯（货梯除外）均参照相关有机房电梯样本。电梯待设备选用后，完成电梯安装施工图。若电梯安装涉及需土建单位配合预留，则乙方应提供相应的图纸并以书面形式提前通知，并派技术人员驻现场进行指导。</w:t>
      </w:r>
    </w:p>
    <w:p>
      <w:pPr>
        <w:pStyle w:val="24"/>
        <w:pageBreakBefore w:val="0"/>
        <w:widowControl w:val="0"/>
        <w:kinsoku/>
        <w:wordWrap/>
        <w:overflowPunct/>
        <w:topLinePunct w:val="0"/>
        <w:bidi w:val="0"/>
        <w:spacing w:beforeAutospacing="0" w:afterAutospacing="0" w:line="312" w:lineRule="auto"/>
        <w:ind w:firstLine="420" w:firstLineChars="200"/>
        <w:textAlignment w:val="baseline"/>
        <w:rPr>
          <w:sz w:val="21"/>
          <w:szCs w:val="21"/>
        </w:rPr>
      </w:pPr>
      <w:r>
        <w:rPr>
          <w:rFonts w:hint="eastAsia"/>
          <w:sz w:val="21"/>
          <w:szCs w:val="21"/>
        </w:rPr>
        <w:t>（10）电梯调试合格后,如整体项目需要电梯配合施工的,甲方应积极派人负责,并不得收取相关费用。</w:t>
      </w:r>
    </w:p>
    <w:p>
      <w:pPr>
        <w:pStyle w:val="24"/>
        <w:pageBreakBefore w:val="0"/>
        <w:widowControl w:val="0"/>
        <w:kinsoku/>
        <w:wordWrap/>
        <w:overflowPunct/>
        <w:topLinePunct w:val="0"/>
        <w:bidi w:val="0"/>
        <w:spacing w:beforeAutospacing="0" w:afterAutospacing="0" w:line="312" w:lineRule="auto"/>
        <w:ind w:firstLine="420" w:firstLineChars="200"/>
        <w:textAlignment w:val="baseline"/>
        <w:rPr>
          <w:sz w:val="21"/>
          <w:szCs w:val="21"/>
        </w:rPr>
      </w:pPr>
      <w:r>
        <w:rPr>
          <w:rFonts w:hint="eastAsia"/>
          <w:sz w:val="21"/>
          <w:szCs w:val="21"/>
        </w:rPr>
        <w:t>（11）本工程的解释权归属甲方。</w:t>
      </w:r>
    </w:p>
    <w:p>
      <w:pPr>
        <w:pStyle w:val="24"/>
        <w:pageBreakBefore w:val="0"/>
        <w:widowControl w:val="0"/>
        <w:kinsoku/>
        <w:wordWrap/>
        <w:overflowPunct/>
        <w:topLinePunct w:val="0"/>
        <w:bidi w:val="0"/>
        <w:spacing w:beforeAutospacing="0" w:afterAutospacing="0" w:line="312" w:lineRule="auto"/>
        <w:ind w:firstLine="420" w:firstLineChars="200"/>
        <w:textAlignment w:val="baseline"/>
        <w:rPr>
          <w:sz w:val="21"/>
          <w:szCs w:val="21"/>
        </w:rPr>
      </w:pPr>
      <w:r>
        <w:rPr>
          <w:rFonts w:hint="eastAsia"/>
          <w:sz w:val="21"/>
          <w:szCs w:val="21"/>
        </w:rPr>
        <w:t>（12）未尽事宜，由双方协商解决，所形成的书面依据视为本合同组成部分。</w:t>
      </w:r>
    </w:p>
    <w:p>
      <w:pPr>
        <w:pStyle w:val="24"/>
        <w:pageBreakBefore w:val="0"/>
        <w:widowControl w:val="0"/>
        <w:kinsoku/>
        <w:wordWrap/>
        <w:overflowPunct/>
        <w:topLinePunct w:val="0"/>
        <w:bidi w:val="0"/>
        <w:spacing w:beforeAutospacing="0" w:afterAutospacing="0" w:line="312" w:lineRule="auto"/>
        <w:textAlignment w:val="baseline"/>
        <w:rPr>
          <w:sz w:val="21"/>
          <w:szCs w:val="21"/>
        </w:rPr>
      </w:pPr>
      <w:r>
        <w:rPr>
          <w:rFonts w:hint="eastAsia"/>
          <w:b/>
          <w:bCs/>
          <w:sz w:val="21"/>
          <w:szCs w:val="21"/>
        </w:rPr>
        <w:t>十一、</w:t>
      </w:r>
      <w:r>
        <w:rPr>
          <w:rFonts w:hint="eastAsia"/>
          <w:sz w:val="21"/>
          <w:szCs w:val="21"/>
        </w:rPr>
        <w:t>未尽事宜由甲、乙双方协商并签订相关的补充协议，签订的补充协议与本合同具有同等法律效力。</w:t>
      </w:r>
    </w:p>
    <w:p>
      <w:pPr>
        <w:pStyle w:val="24"/>
        <w:pageBreakBefore w:val="0"/>
        <w:widowControl w:val="0"/>
        <w:kinsoku/>
        <w:wordWrap/>
        <w:overflowPunct/>
        <w:topLinePunct w:val="0"/>
        <w:bidi w:val="0"/>
        <w:spacing w:beforeAutospacing="0" w:afterAutospacing="0" w:line="312" w:lineRule="auto"/>
        <w:textAlignment w:val="baseline"/>
        <w:rPr>
          <w:sz w:val="21"/>
          <w:szCs w:val="21"/>
        </w:rPr>
      </w:pPr>
      <w:r>
        <w:rPr>
          <w:rFonts w:hint="eastAsia"/>
          <w:b/>
          <w:bCs/>
          <w:sz w:val="21"/>
          <w:szCs w:val="21"/>
        </w:rPr>
        <w:t>十二、</w:t>
      </w:r>
      <w:r>
        <w:rPr>
          <w:rFonts w:hint="eastAsia"/>
          <w:sz w:val="21"/>
          <w:szCs w:val="21"/>
        </w:rPr>
        <w:t>甲、乙双方发生诉讼时，由合同签订地人民法院管辖。</w:t>
      </w:r>
    </w:p>
    <w:p>
      <w:pPr>
        <w:pStyle w:val="24"/>
        <w:pageBreakBefore w:val="0"/>
        <w:widowControl w:val="0"/>
        <w:kinsoku/>
        <w:wordWrap/>
        <w:overflowPunct/>
        <w:topLinePunct w:val="0"/>
        <w:bidi w:val="0"/>
        <w:spacing w:beforeAutospacing="0" w:afterAutospacing="0" w:line="312" w:lineRule="auto"/>
        <w:textAlignment w:val="baseline"/>
        <w:rPr>
          <w:szCs w:val="21"/>
        </w:rPr>
      </w:pPr>
      <w:r>
        <w:rPr>
          <w:rFonts w:hint="eastAsia"/>
          <w:b/>
          <w:bCs/>
          <w:sz w:val="21"/>
          <w:szCs w:val="21"/>
        </w:rPr>
        <w:t>十三、</w:t>
      </w:r>
      <w:r>
        <w:rPr>
          <w:rFonts w:hint="eastAsia"/>
          <w:sz w:val="21"/>
          <w:szCs w:val="21"/>
        </w:rPr>
        <w:t>本合同一式5份，由甲、乙双方各执2份，招标代理机构1份，具有相同的法律效力。</w:t>
      </w:r>
    </w:p>
    <w:p>
      <w:pPr>
        <w:pStyle w:val="2"/>
        <w:pageBreakBefore w:val="0"/>
        <w:widowControl w:val="0"/>
        <w:kinsoku/>
        <w:wordWrap/>
        <w:overflowPunct/>
        <w:topLinePunct w:val="0"/>
        <w:bidi w:val="0"/>
        <w:spacing w:line="312" w:lineRule="auto"/>
        <w:ind w:firstLine="235" w:firstLineChars="112"/>
        <w:rPr>
          <w:rFonts w:hAnsi="宋体"/>
          <w:szCs w:val="21"/>
        </w:rPr>
      </w:pPr>
    </w:p>
    <w:p>
      <w:pPr>
        <w:pStyle w:val="2"/>
        <w:pageBreakBefore w:val="0"/>
        <w:widowControl w:val="0"/>
        <w:kinsoku/>
        <w:wordWrap/>
        <w:overflowPunct/>
        <w:topLinePunct w:val="0"/>
        <w:bidi w:val="0"/>
        <w:spacing w:line="312" w:lineRule="auto"/>
        <w:ind w:firstLine="235" w:firstLineChars="112"/>
        <w:rPr>
          <w:rFonts w:hAnsi="宋体"/>
          <w:szCs w:val="21"/>
        </w:rPr>
      </w:pPr>
      <w:r>
        <w:rPr>
          <w:rFonts w:hint="eastAsia" w:hAnsi="宋体"/>
          <w:szCs w:val="21"/>
        </w:rPr>
        <w:t xml:space="preserve">甲方：赣州银行股份有限公司                  乙方：              </w:t>
      </w:r>
    </w:p>
    <w:p>
      <w:pPr>
        <w:pStyle w:val="2"/>
        <w:pageBreakBefore w:val="0"/>
        <w:widowControl w:val="0"/>
        <w:kinsoku/>
        <w:wordWrap/>
        <w:overflowPunct/>
        <w:topLinePunct w:val="0"/>
        <w:bidi w:val="0"/>
        <w:spacing w:line="312" w:lineRule="auto"/>
        <w:ind w:firstLine="235" w:firstLineChars="112"/>
        <w:rPr>
          <w:rFonts w:hAnsi="宋体"/>
          <w:szCs w:val="21"/>
        </w:rPr>
      </w:pPr>
      <w:r>
        <w:rPr>
          <w:rFonts w:hint="eastAsia" w:hAnsi="宋体"/>
          <w:szCs w:val="21"/>
        </w:rPr>
        <w:t>开户名：赣州银行股份有限公司                开户名：</w:t>
      </w:r>
    </w:p>
    <w:p>
      <w:pPr>
        <w:pStyle w:val="2"/>
        <w:pageBreakBefore w:val="0"/>
        <w:widowControl w:val="0"/>
        <w:kinsoku/>
        <w:wordWrap/>
        <w:overflowPunct/>
        <w:topLinePunct w:val="0"/>
        <w:bidi w:val="0"/>
        <w:spacing w:line="312" w:lineRule="auto"/>
        <w:ind w:firstLine="235" w:firstLineChars="112"/>
        <w:rPr>
          <w:rFonts w:hAnsi="宋体"/>
          <w:szCs w:val="21"/>
        </w:rPr>
      </w:pPr>
      <w:r>
        <w:rPr>
          <w:rFonts w:hint="eastAsia" w:hAnsi="宋体"/>
          <w:szCs w:val="21"/>
        </w:rPr>
        <w:t>开户行： 赣州银行营业部                     开户行：</w:t>
      </w:r>
    </w:p>
    <w:p>
      <w:pPr>
        <w:pStyle w:val="2"/>
        <w:pageBreakBefore w:val="0"/>
        <w:widowControl w:val="0"/>
        <w:kinsoku/>
        <w:wordWrap/>
        <w:overflowPunct/>
        <w:topLinePunct w:val="0"/>
        <w:bidi w:val="0"/>
        <w:spacing w:line="312" w:lineRule="auto"/>
        <w:ind w:firstLine="235" w:firstLineChars="112"/>
        <w:rPr>
          <w:rFonts w:hAnsi="宋体"/>
          <w:szCs w:val="21"/>
        </w:rPr>
      </w:pPr>
      <w:r>
        <w:rPr>
          <w:rFonts w:hint="eastAsia" w:hAnsi="宋体"/>
          <w:szCs w:val="21"/>
        </w:rPr>
        <w:t>开户账号：2886000103080000628               开户账号：</w:t>
      </w:r>
    </w:p>
    <w:p>
      <w:pPr>
        <w:pStyle w:val="2"/>
        <w:pageBreakBefore w:val="0"/>
        <w:widowControl w:val="0"/>
        <w:kinsoku/>
        <w:wordWrap/>
        <w:overflowPunct/>
        <w:topLinePunct w:val="0"/>
        <w:bidi w:val="0"/>
        <w:spacing w:line="312" w:lineRule="auto"/>
        <w:ind w:firstLine="235" w:firstLineChars="112"/>
        <w:rPr>
          <w:rFonts w:hAnsi="宋体"/>
          <w:szCs w:val="21"/>
        </w:rPr>
      </w:pPr>
      <w:r>
        <w:rPr>
          <w:rFonts w:hint="eastAsia" w:hAnsi="宋体"/>
          <w:szCs w:val="21"/>
        </w:rPr>
        <w:t xml:space="preserve">法定代表人或委托代理人签字：                法定代表人或委托代理人签字： </w:t>
      </w:r>
    </w:p>
    <w:p>
      <w:pPr>
        <w:pStyle w:val="2"/>
        <w:pageBreakBefore w:val="0"/>
        <w:widowControl w:val="0"/>
        <w:kinsoku/>
        <w:wordWrap/>
        <w:overflowPunct/>
        <w:topLinePunct w:val="0"/>
        <w:bidi w:val="0"/>
        <w:spacing w:line="312" w:lineRule="auto"/>
        <w:ind w:firstLine="235" w:firstLineChars="112"/>
        <w:rPr>
          <w:rFonts w:hAnsi="宋体"/>
          <w:szCs w:val="21"/>
        </w:rPr>
      </w:pPr>
      <w:r>
        <w:rPr>
          <w:rFonts w:hint="eastAsia" w:hAnsi="宋体"/>
          <w:szCs w:val="21"/>
        </w:rPr>
        <w:t xml:space="preserve">电    话：  0797-8100953                    电    话：     </w:t>
      </w:r>
    </w:p>
    <w:p>
      <w:pPr>
        <w:pStyle w:val="2"/>
        <w:pageBreakBefore w:val="0"/>
        <w:widowControl w:val="0"/>
        <w:kinsoku/>
        <w:wordWrap/>
        <w:overflowPunct/>
        <w:topLinePunct w:val="0"/>
        <w:bidi w:val="0"/>
        <w:spacing w:line="312" w:lineRule="auto"/>
        <w:ind w:firstLine="235" w:firstLineChars="112"/>
        <w:rPr>
          <w:rFonts w:hAnsi="宋体"/>
          <w:szCs w:val="21"/>
        </w:rPr>
      </w:pPr>
      <w:r>
        <w:rPr>
          <w:rFonts w:hint="eastAsia" w:hAnsi="宋体"/>
          <w:szCs w:val="21"/>
        </w:rPr>
        <w:t xml:space="preserve">                       　                 </w:t>
      </w:r>
    </w:p>
    <w:p>
      <w:pPr>
        <w:pStyle w:val="2"/>
        <w:pageBreakBefore w:val="0"/>
        <w:widowControl w:val="0"/>
        <w:kinsoku/>
        <w:wordWrap/>
        <w:overflowPunct/>
        <w:topLinePunct w:val="0"/>
        <w:bidi w:val="0"/>
        <w:spacing w:line="312" w:lineRule="auto"/>
        <w:ind w:firstLine="235" w:firstLineChars="112"/>
        <w:rPr>
          <w:rFonts w:hAnsi="宋体"/>
          <w:szCs w:val="21"/>
        </w:rPr>
      </w:pPr>
      <w:r>
        <w:rPr>
          <w:rFonts w:hint="eastAsia" w:hAnsi="宋体"/>
          <w:szCs w:val="21"/>
        </w:rPr>
        <w:t xml:space="preserve">丙方：江西久和招标服务有限公司                                      </w:t>
      </w:r>
    </w:p>
    <w:p>
      <w:pPr>
        <w:pStyle w:val="2"/>
        <w:pageBreakBefore w:val="0"/>
        <w:widowControl w:val="0"/>
        <w:kinsoku/>
        <w:wordWrap/>
        <w:overflowPunct/>
        <w:topLinePunct w:val="0"/>
        <w:bidi w:val="0"/>
        <w:spacing w:line="312" w:lineRule="auto"/>
        <w:ind w:firstLine="235" w:firstLineChars="112"/>
        <w:rPr>
          <w:rFonts w:hAnsi="宋体"/>
          <w:szCs w:val="21"/>
        </w:rPr>
      </w:pPr>
      <w:r>
        <w:rPr>
          <w:rFonts w:hint="eastAsia" w:hAnsi="宋体"/>
          <w:szCs w:val="21"/>
        </w:rPr>
        <w:t>法定代表人签字或盖章：</w:t>
      </w:r>
    </w:p>
    <w:p>
      <w:pPr>
        <w:pStyle w:val="2"/>
        <w:pageBreakBefore w:val="0"/>
        <w:widowControl w:val="0"/>
        <w:kinsoku/>
        <w:wordWrap/>
        <w:overflowPunct/>
        <w:topLinePunct w:val="0"/>
        <w:bidi w:val="0"/>
        <w:spacing w:line="312" w:lineRule="auto"/>
        <w:ind w:firstLine="235" w:firstLineChars="112"/>
        <w:rPr>
          <w:rFonts w:hAnsi="宋体"/>
          <w:szCs w:val="21"/>
        </w:rPr>
      </w:pPr>
      <w:r>
        <w:rPr>
          <w:rFonts w:hint="eastAsia" w:hAnsi="宋体"/>
          <w:szCs w:val="21"/>
        </w:rPr>
        <w:t>电    话：0797-8089611</w:t>
      </w:r>
    </w:p>
    <w:p>
      <w:pPr>
        <w:pStyle w:val="3"/>
        <w:pageBreakBefore w:val="0"/>
        <w:widowControl w:val="0"/>
        <w:kinsoku/>
        <w:wordWrap/>
        <w:overflowPunct/>
        <w:topLinePunct w:val="0"/>
        <w:bidi w:val="0"/>
        <w:spacing w:line="312" w:lineRule="auto"/>
        <w:rPr>
          <w:rFonts w:hAnsi="宋体" w:eastAsia="宋体"/>
          <w:szCs w:val="21"/>
        </w:rPr>
      </w:pPr>
    </w:p>
    <w:p>
      <w:pPr>
        <w:pageBreakBefore w:val="0"/>
        <w:widowControl w:val="0"/>
        <w:kinsoku/>
        <w:wordWrap/>
        <w:overflowPunct/>
        <w:topLinePunct w:val="0"/>
        <w:bidi w:val="0"/>
        <w:spacing w:line="312" w:lineRule="auto"/>
        <w:sectPr>
          <w:pgSz w:w="11906" w:h="16838"/>
          <w:pgMar w:top="1440" w:right="1080" w:bottom="1440" w:left="1080" w:header="851" w:footer="421" w:gutter="0"/>
          <w:cols w:space="720" w:num="1"/>
          <w:titlePg/>
          <w:docGrid w:type="lines" w:linePitch="331" w:charSpace="0"/>
        </w:sectPr>
      </w:pPr>
      <w:r>
        <w:rPr>
          <w:rFonts w:hint="eastAsia" w:hAnsi="宋体"/>
          <w:szCs w:val="21"/>
        </w:rPr>
        <w:t xml:space="preserve">                                                                       年   月   日</w:t>
      </w:r>
    </w:p>
    <w:p>
      <w:pPr>
        <w:pStyle w:val="2"/>
        <w:jc w:val="center"/>
        <w:rPr>
          <w:rFonts w:hAnsi="宋体" w:cs="宋体"/>
          <w:b/>
          <w:sz w:val="32"/>
          <w:szCs w:val="32"/>
        </w:rPr>
      </w:pPr>
      <w:r>
        <w:rPr>
          <w:rFonts w:hint="eastAsia"/>
          <w:b/>
          <w:bCs/>
          <w:sz w:val="32"/>
          <w:szCs w:val="32"/>
        </w:rPr>
        <w:t xml:space="preserve">第五章 </w:t>
      </w:r>
      <w:r>
        <w:rPr>
          <w:rFonts w:hint="eastAsia" w:hAnsi="宋体" w:cs="宋体"/>
          <w:b/>
          <w:sz w:val="32"/>
          <w:szCs w:val="32"/>
        </w:rPr>
        <w:t>采购需求、技术规格及商务要求</w:t>
      </w:r>
    </w:p>
    <w:p>
      <w:pPr>
        <w:pStyle w:val="24"/>
        <w:widowControl w:val="0"/>
        <w:spacing w:beforeAutospacing="0" w:afterAutospacing="0" w:line="360" w:lineRule="auto"/>
        <w:ind w:firstLine="482" w:firstLineChars="200"/>
        <w:textAlignment w:val="baseline"/>
        <w:rPr>
          <w:b/>
          <w:bCs/>
        </w:rPr>
      </w:pPr>
      <w:r>
        <w:rPr>
          <w:rFonts w:hint="eastAsia"/>
          <w:b/>
          <w:bCs/>
        </w:rPr>
        <w:t>一、采购需求、技术规格</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（一）总体要求</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1、所投电梯应是按现行国家制造标准，制造生产全新未使用过的，是厂家按规定要求用一流的工艺和优质材料生产制造的，并确保产品经安装使用和正常保养后，在其使用寿命内应具有满意性能。投标人应对因产品设计、工艺或材料的缺陷而发生的任何不足或故障负责。</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2、交货时成交供应商应提供合同产品的原产地证书和合格证。进口件（如有）应提供中华人民共和国海关进口货物报关单及商检证明。</w:t>
      </w:r>
      <w:r>
        <w:rPr>
          <w:rFonts w:hint="eastAsia"/>
          <w:color w:val="000000" w:themeColor="text1"/>
          <w:sz w:val="21"/>
          <w:szCs w:val="21"/>
          <w14:textFill>
            <w14:solidFill>
              <w14:schemeClr w14:val="tx1"/>
            </w14:solidFill>
          </w14:textFill>
        </w:rPr>
        <w:t>采购人</w:t>
      </w:r>
      <w:r>
        <w:rPr>
          <w:rFonts w:hint="eastAsia"/>
          <w:sz w:val="21"/>
          <w:szCs w:val="21"/>
        </w:rPr>
        <w:t>在电梯组装前进行检查，如发现提供虚假材料，（含不符合投标品牌型号的产品）由此产生的一切后果均由中标方承担。</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3、本招标规定的电梯设备，由成交供应商负责运至建设工地现场，负责与有关电梯土建的配合，进行整机的安装、调试及试运行，负责与当地具有相应资质的特种设备监督检验机构联系电梯检测工作，合格后交付采购人使用。通过当地具有相应资质的特种设备监督检验机构验收合格后且移交使用单位使用之日起进入质保期。其费用全部包括在合同总价内，由成交供应商承担。</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4、成交供应商在运输、安装、调试、验收等发生的一切安全事故均由成交供应商负责，采购人不承担任何责任。</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5、提供生产商的生产许可证(复印件加盖生产商的公章）。</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（二）服务要求</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1、安装、调试、试验、验收</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（1）交货时成交供应商应提供合同产品的原厂质量证明书和合格证；</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（2）在成交供应商工程技术人员确认井道等满足安装条件后，由成交供应商负责按招标文件规定安装现场进行设备的吊装、搬运、安装、调试运行。</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（3）电梯安装及安装材料由成交供应商包干解决，其费用计入投标总价中。</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4）安装调试完毕后，由成交供应商、采购人和设备使用当地具有相应资质的特种设备监督检验机构按相应的国际标准和中国政府标准及设备使用当地质检部门有关要求进行检测、验收，通过当地具有相应资质的特种设备监督检验机构验收合格后且移交使用单位使用之日起进入质量保证期。出具检验合格报告后方为验收合格，进入保修期。</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（5）当地具有相应资质的特种设备监督检验机构的验收鉴定费由成交供应商负责。</w:t>
      </w:r>
    </w:p>
    <w:p>
      <w:pPr>
        <w:pStyle w:val="24"/>
        <w:widowControl w:val="0"/>
        <w:spacing w:beforeAutospacing="0" w:afterAutospacing="0" w:line="360" w:lineRule="auto"/>
        <w:ind w:firstLine="420" w:firstLineChars="200"/>
        <w:textAlignment w:val="baseline"/>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（6）设备到货安装前，先行组织对设备的品牌型号等组织验收，符合采购人的要求方能进行安装调试。</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（7）电梯到货后应在规定时间内完成电梯的安装、调试、验收工作。</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（8）电梯的制造、安装、试验与验收应符合相应的中华人民共和国国家标准。</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 GB7588-2003《电梯制造与安装安全规范》；</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 GB16899－1997《扶梯制造与安装安全规范》；</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 GB10058－97《电梯技术条件》；</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 GB10059-97《电梯试验方法》；</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 GB10060－93《电梯安装验收规范》；</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●GB26465-2011《消防电梯制造与安装安全规范》</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 GB50182-93《电气装置安装工程、电梯电气装置施工及验收规范》；</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 GB50310-2002《电梯工程施工质量验收规范》；</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 JGJ50-2001《城市道路和建筑物无障碍设计规范》。</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●《中华人民共和国特种设备安全法》。</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注：上述标准若有更新,则以更新后的国家和部门标准执行。</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（9）在正式交付运行前七天，成交供应商需提交包括竣工图、控制、操作和维护手册，以便采购人和相关人员能预先对将要运行的设备和系统有所了解。</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2、技术资料：成交供应商应向采购人提供以下技术资料，其费用已包括在投标价内：</w:t>
      </w:r>
    </w:p>
    <w:p>
      <w:pPr>
        <w:pStyle w:val="24"/>
        <w:widowControl w:val="0"/>
        <w:spacing w:beforeAutospacing="0" w:afterAutospacing="0" w:line="360" w:lineRule="auto"/>
        <w:ind w:firstLine="420" w:firstLineChars="200"/>
        <w:textAlignment w:val="baseline"/>
        <w:rPr>
          <w:rFonts w:hint="eastAsia" w:eastAsia="宋体"/>
          <w:sz w:val="21"/>
          <w:szCs w:val="21"/>
          <w:lang w:eastAsia="zh-CN"/>
        </w:rPr>
      </w:pPr>
      <w:r>
        <w:rPr>
          <w:rFonts w:hint="eastAsia"/>
          <w:sz w:val="21"/>
          <w:szCs w:val="21"/>
        </w:rPr>
        <w:t>（1）电梯安装图</w:t>
      </w:r>
      <w:r>
        <w:rPr>
          <w:rFonts w:hint="eastAsia"/>
          <w:sz w:val="21"/>
          <w:szCs w:val="21"/>
          <w:lang w:eastAsia="zh-CN"/>
        </w:rPr>
        <w:t>；</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（2）构件、机械安装图；</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（3）安装手册；</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（4）维修手册；</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（5）安装和检测验收报告；</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（6）零部件和易损件目录；</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3、备品备件和专用工具</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（1）提供专用工具及其清单一套。</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（2）随机提供质保期内足够数量的易损易耗备品、备件，并在备品、备件和易损件停止生产的情况下，成交供应商应在停产日 60 日前将拟停止生产的计划通知采购人，使采购人有足够的时间采购所需的备件。</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（3）成交供应商应向采购人提供安装、维修所需的特殊专用工具及其清单，其费包括在投标总价内。</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（4）提供维修保养材料的价格清单。</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4、人员培训：成交供应商负责免费提供中文培训材料为采购人提供技术培训，负责免费在设备的安装现场对采购人3名以上使用、维修人员进行为期一周的操作、维修及日常维护的培训。</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5、其他技术服务及售后要求</w:t>
      </w:r>
    </w:p>
    <w:p>
      <w:pPr>
        <w:pStyle w:val="24"/>
        <w:widowControl w:val="0"/>
        <w:spacing w:beforeAutospacing="0" w:afterAutospacing="0" w:line="360" w:lineRule="auto"/>
        <w:ind w:firstLine="420" w:firstLineChars="200"/>
        <w:textAlignment w:val="baseline"/>
        <w:rPr>
          <w:color w:val="FF0000"/>
          <w:sz w:val="21"/>
          <w:szCs w:val="21"/>
        </w:rPr>
      </w:pPr>
      <w:r>
        <w:rPr>
          <w:rFonts w:hint="eastAsia"/>
          <w:sz w:val="21"/>
          <w:szCs w:val="21"/>
        </w:rPr>
        <w:t>（1）合同签订之日起 10 天内，成交供应商必须根据预留的井道及机房等条件，提供机房布置、井道布置及洞孔土建结构预埋件、留孔图及土建相关资料给采购人。采购人收到图纸之日起 10 天内予以确认，经确</w:t>
      </w:r>
      <w:r>
        <w:rPr>
          <w:rFonts w:hint="eastAsia"/>
          <w:color w:val="000000" w:themeColor="text1"/>
          <w:sz w:val="21"/>
          <w:szCs w:val="21"/>
          <w14:textFill>
            <w14:solidFill>
              <w14:schemeClr w14:val="tx1"/>
            </w14:solidFill>
          </w14:textFill>
        </w:rPr>
        <w:t>认无误和符合要求后返还给成交供应商，成交供应商方能进场施工。</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（2）成交供应商应按招标文件的约定完成由自己负担的、与安装电梯相关的土建工作，同时还应协同指导土建施工单位完成与电梯安装相关的其他土建工作。</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3）成交供应商（为代理商的）在赣州市中心城区（章贡区或赣州经济技术开发区或南康区或蓉江新区或赣县区）应设有专业维修服务机构（经有关部门认证具有资质），成交供应商（为制造商的）应在赣州市中心城区（章贡区或赣州经济技术开发区或南康区或蓉江新区或赣县区）应设有专业维修服务机构（经有关部门认证具有资质）或委托赣州市中心城区（章贡区或赣州经济技术开发区或南康区或蓉江新区或赣县区）有资质的维保机构（工作站）和维修人员进行维保，成交供应商应对电梯进行定期保养。在使用过程中如果设备出现故障，</w:t>
      </w:r>
      <w:r>
        <w:rPr>
          <w:rFonts w:hint="eastAsia"/>
          <w:color w:val="181717" w:themeColor="background2" w:themeShade="1A"/>
          <w:sz w:val="21"/>
          <w:szCs w:val="21"/>
        </w:rPr>
        <w:t>维修人员应在接到采购人正式通知后</w:t>
      </w:r>
      <w:r>
        <w:rPr>
          <w:rFonts w:hint="eastAsia"/>
          <w:color w:val="181717" w:themeColor="background2" w:themeShade="1A"/>
          <w:sz w:val="21"/>
          <w:szCs w:val="21"/>
          <w:lang w:val="en-US" w:eastAsia="zh-CN"/>
        </w:rPr>
        <w:t>2</w:t>
      </w:r>
      <w:r>
        <w:rPr>
          <w:rFonts w:hint="eastAsia"/>
          <w:color w:val="181717" w:themeColor="background2" w:themeShade="1A"/>
          <w:sz w:val="21"/>
          <w:szCs w:val="21"/>
        </w:rPr>
        <w:t>小时内赶到现场，</w:t>
      </w:r>
      <w:r>
        <w:rPr>
          <w:rFonts w:hint="eastAsia"/>
          <w:sz w:val="21"/>
          <w:szCs w:val="21"/>
        </w:rPr>
        <w:t>2 小时内排除故障；如果设备出现大故障，维修人员应在接到采购人正式通知后 24 小时内排除故障。</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4）成交供应商须对合同中规定的所有整套电梯提供不少于两年的质保期（具体以成交供应商承诺的期限为准），时间从通过当地具有相应资质的特种设备监督检验机构验收合格后且移交使用单位使用之日起算。在质保期内的工作应包括对所有电梯常规检查、调整和润滑，以及电梯的年检费用。具体的操作程序和内容必须在投标时说明。</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（5）电梯生产厂家不得设置电梯维修密码。</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（6）投标人应在投标文件中详细阐明服务的承诺及其质保期后的维修收费标准。</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（7）投标人提供的电梯维修服务必须按照 GB/T18775-2009《电梯、自动扶梯和自动人行道维修规范》进行。</w:t>
      </w:r>
    </w:p>
    <w:p>
      <w:pPr>
        <w:pStyle w:val="24"/>
        <w:widowControl w:val="0"/>
        <w:spacing w:beforeAutospacing="0" w:afterAutospacing="0" w:line="360" w:lineRule="auto"/>
        <w:ind w:firstLine="420" w:firstLineChars="200"/>
        <w:textAlignment w:val="baseline"/>
        <w:rPr>
          <w:sz w:val="21"/>
          <w:szCs w:val="21"/>
        </w:rPr>
      </w:pPr>
    </w:p>
    <w:p>
      <w:pPr>
        <w:pStyle w:val="24"/>
        <w:widowControl w:val="0"/>
        <w:spacing w:beforeAutospacing="0" w:afterAutospacing="0" w:line="360" w:lineRule="auto"/>
        <w:ind w:firstLine="420" w:firstLineChars="200"/>
        <w:textAlignment w:val="baseline"/>
        <w:rPr>
          <w:sz w:val="21"/>
          <w:szCs w:val="21"/>
        </w:rPr>
      </w:pPr>
    </w:p>
    <w:p>
      <w:pPr>
        <w:pStyle w:val="24"/>
        <w:widowControl w:val="0"/>
        <w:spacing w:beforeAutospacing="0" w:afterAutospacing="0" w:line="360" w:lineRule="auto"/>
        <w:textAlignment w:val="baseline"/>
        <w:rPr>
          <w:sz w:val="21"/>
          <w:szCs w:val="21"/>
        </w:rPr>
        <w:sectPr>
          <w:headerReference r:id="rId5" w:type="default"/>
          <w:footerReference r:id="rId6" w:type="default"/>
          <w:pgSz w:w="11906" w:h="16838"/>
          <w:pgMar w:top="567" w:right="709" w:bottom="1151" w:left="1179" w:header="851" w:footer="992" w:gutter="0"/>
          <w:cols w:space="720" w:num="1"/>
          <w:docGrid w:type="lines" w:linePitch="313" w:charSpace="0"/>
        </w:sectPr>
      </w:pP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（三）电梯名称、数量、主要技术参数：</w:t>
      </w:r>
    </w:p>
    <w:tbl>
      <w:tblPr>
        <w:tblStyle w:val="28"/>
        <w:tblW w:w="14582" w:type="dxa"/>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1"/>
        <w:gridCol w:w="903"/>
        <w:gridCol w:w="1341"/>
        <w:gridCol w:w="1268"/>
        <w:gridCol w:w="1220"/>
        <w:gridCol w:w="1432"/>
        <w:gridCol w:w="1130"/>
        <w:gridCol w:w="1012"/>
        <w:gridCol w:w="1021"/>
        <w:gridCol w:w="1135"/>
        <w:gridCol w:w="1126"/>
        <w:gridCol w:w="1247"/>
        <w:gridCol w:w="1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7" w:hRule="atLeast"/>
        </w:trPr>
        <w:tc>
          <w:tcPr>
            <w:tcW w:w="641" w:type="dxa"/>
            <w:vMerge w:val="restart"/>
            <w:vAlign w:val="center"/>
          </w:tcPr>
          <w:p>
            <w:pPr>
              <w:pStyle w:val="24"/>
              <w:widowControl w:val="0"/>
              <w:spacing w:beforeAutospacing="0" w:afterAutospacing="0" w:line="360" w:lineRule="auto"/>
              <w:jc w:val="center"/>
              <w:textAlignment w:val="baseline"/>
              <w:rPr>
                <w:sz w:val="21"/>
                <w:szCs w:val="21"/>
              </w:rPr>
            </w:pPr>
            <w:r>
              <w:rPr>
                <w:rFonts w:hint="eastAsia"/>
                <w:sz w:val="21"/>
                <w:szCs w:val="21"/>
              </w:rPr>
              <w:t>序号</w:t>
            </w:r>
          </w:p>
        </w:tc>
        <w:tc>
          <w:tcPr>
            <w:tcW w:w="903" w:type="dxa"/>
            <w:vMerge w:val="restart"/>
            <w:vAlign w:val="center"/>
          </w:tcPr>
          <w:p>
            <w:pPr>
              <w:pStyle w:val="24"/>
              <w:widowControl w:val="0"/>
              <w:spacing w:beforeAutospacing="0" w:afterAutospacing="0" w:line="360" w:lineRule="auto"/>
              <w:jc w:val="center"/>
              <w:textAlignment w:val="baseline"/>
              <w:rPr>
                <w:sz w:val="21"/>
                <w:szCs w:val="21"/>
              </w:rPr>
            </w:pPr>
            <w:r>
              <w:rPr>
                <w:rFonts w:hint="eastAsia"/>
                <w:sz w:val="21"/>
                <w:szCs w:val="21"/>
              </w:rPr>
              <w:t>层/站/门</w:t>
            </w:r>
          </w:p>
        </w:tc>
        <w:tc>
          <w:tcPr>
            <w:tcW w:w="1341" w:type="dxa"/>
            <w:vAlign w:val="center"/>
          </w:tcPr>
          <w:p>
            <w:pPr>
              <w:pStyle w:val="24"/>
              <w:widowControl w:val="0"/>
              <w:spacing w:beforeAutospacing="0" w:afterAutospacing="0" w:line="360" w:lineRule="auto"/>
              <w:jc w:val="center"/>
              <w:textAlignment w:val="baseline"/>
              <w:rPr>
                <w:sz w:val="21"/>
                <w:szCs w:val="21"/>
              </w:rPr>
            </w:pPr>
            <w:r>
              <w:rPr>
                <w:rFonts w:hint="eastAsia"/>
                <w:sz w:val="21"/>
                <w:szCs w:val="21"/>
              </w:rPr>
              <w:t>井道净宽</w:t>
            </w:r>
          </w:p>
        </w:tc>
        <w:tc>
          <w:tcPr>
            <w:tcW w:w="1268" w:type="dxa"/>
            <w:vAlign w:val="center"/>
          </w:tcPr>
          <w:p>
            <w:pPr>
              <w:pStyle w:val="24"/>
              <w:widowControl w:val="0"/>
              <w:spacing w:beforeAutospacing="0" w:afterAutospacing="0" w:line="360" w:lineRule="auto"/>
              <w:jc w:val="center"/>
              <w:textAlignment w:val="baseline"/>
              <w:rPr>
                <w:sz w:val="21"/>
                <w:szCs w:val="21"/>
              </w:rPr>
            </w:pPr>
            <w:r>
              <w:rPr>
                <w:rFonts w:hint="eastAsia"/>
                <w:sz w:val="21"/>
                <w:szCs w:val="21"/>
              </w:rPr>
              <w:t>门洞尺寸</w:t>
            </w:r>
          </w:p>
        </w:tc>
        <w:tc>
          <w:tcPr>
            <w:tcW w:w="1220" w:type="dxa"/>
            <w:vAlign w:val="center"/>
          </w:tcPr>
          <w:p>
            <w:pPr>
              <w:pStyle w:val="24"/>
              <w:widowControl w:val="0"/>
              <w:spacing w:beforeAutospacing="0" w:afterAutospacing="0" w:line="360" w:lineRule="auto"/>
              <w:jc w:val="center"/>
              <w:textAlignment w:val="baseline"/>
              <w:rPr>
                <w:sz w:val="21"/>
                <w:szCs w:val="21"/>
              </w:rPr>
            </w:pPr>
            <w:r>
              <w:rPr>
                <w:rFonts w:hint="eastAsia"/>
                <w:sz w:val="21"/>
                <w:szCs w:val="21"/>
              </w:rPr>
              <w:t>开门尺寸</w:t>
            </w:r>
          </w:p>
        </w:tc>
        <w:tc>
          <w:tcPr>
            <w:tcW w:w="1432" w:type="dxa"/>
            <w:vAlign w:val="center"/>
          </w:tcPr>
          <w:p>
            <w:pPr>
              <w:pStyle w:val="24"/>
              <w:widowControl w:val="0"/>
              <w:spacing w:beforeAutospacing="0" w:afterAutospacing="0" w:line="360" w:lineRule="auto"/>
              <w:jc w:val="center"/>
              <w:textAlignment w:val="baseline"/>
              <w:rPr>
                <w:sz w:val="21"/>
                <w:szCs w:val="21"/>
              </w:rPr>
            </w:pPr>
            <w:r>
              <w:rPr>
                <w:rFonts w:hint="eastAsia"/>
                <w:sz w:val="21"/>
                <w:szCs w:val="21"/>
              </w:rPr>
              <w:t>楼层分层高度</w:t>
            </w:r>
          </w:p>
        </w:tc>
        <w:tc>
          <w:tcPr>
            <w:tcW w:w="1130" w:type="dxa"/>
            <w:vAlign w:val="center"/>
          </w:tcPr>
          <w:p>
            <w:pPr>
              <w:pStyle w:val="24"/>
              <w:widowControl w:val="0"/>
              <w:spacing w:beforeAutospacing="0" w:afterAutospacing="0" w:line="360" w:lineRule="auto"/>
              <w:jc w:val="center"/>
              <w:textAlignment w:val="baseline"/>
              <w:rPr>
                <w:sz w:val="21"/>
                <w:szCs w:val="21"/>
              </w:rPr>
            </w:pPr>
            <w:r>
              <w:rPr>
                <w:rFonts w:hint="eastAsia"/>
                <w:sz w:val="21"/>
                <w:szCs w:val="21"/>
              </w:rPr>
              <w:t>数量</w:t>
            </w:r>
          </w:p>
        </w:tc>
        <w:tc>
          <w:tcPr>
            <w:tcW w:w="1012" w:type="dxa"/>
            <w:vAlign w:val="center"/>
          </w:tcPr>
          <w:p>
            <w:pPr>
              <w:pStyle w:val="24"/>
              <w:widowControl w:val="0"/>
              <w:spacing w:beforeAutospacing="0" w:afterAutospacing="0" w:line="360" w:lineRule="auto"/>
              <w:jc w:val="center"/>
              <w:textAlignment w:val="baseline"/>
              <w:rPr>
                <w:sz w:val="21"/>
                <w:szCs w:val="21"/>
              </w:rPr>
            </w:pPr>
            <w:r>
              <w:rPr>
                <w:rFonts w:hint="eastAsia"/>
                <w:sz w:val="21"/>
                <w:szCs w:val="21"/>
              </w:rPr>
              <w:t>载重量</w:t>
            </w:r>
          </w:p>
        </w:tc>
        <w:tc>
          <w:tcPr>
            <w:tcW w:w="1021" w:type="dxa"/>
            <w:vAlign w:val="center"/>
          </w:tcPr>
          <w:p>
            <w:pPr>
              <w:pStyle w:val="24"/>
              <w:widowControl w:val="0"/>
              <w:spacing w:beforeAutospacing="0" w:afterAutospacing="0" w:line="360" w:lineRule="auto"/>
              <w:jc w:val="center"/>
              <w:textAlignment w:val="baseline"/>
              <w:rPr>
                <w:sz w:val="21"/>
                <w:szCs w:val="21"/>
              </w:rPr>
            </w:pPr>
            <w:r>
              <w:rPr>
                <w:rFonts w:hint="eastAsia"/>
                <w:sz w:val="21"/>
                <w:szCs w:val="21"/>
              </w:rPr>
              <w:t>速度</w:t>
            </w:r>
          </w:p>
        </w:tc>
        <w:tc>
          <w:tcPr>
            <w:tcW w:w="1135" w:type="dxa"/>
            <w:vAlign w:val="center"/>
          </w:tcPr>
          <w:p>
            <w:pPr>
              <w:pStyle w:val="24"/>
              <w:widowControl w:val="0"/>
              <w:spacing w:beforeAutospacing="0" w:afterAutospacing="0" w:line="360" w:lineRule="auto"/>
              <w:jc w:val="center"/>
              <w:textAlignment w:val="baseline"/>
              <w:rPr>
                <w:sz w:val="21"/>
                <w:szCs w:val="21"/>
              </w:rPr>
            </w:pPr>
            <w:r>
              <w:rPr>
                <w:rFonts w:hint="eastAsia"/>
                <w:sz w:val="21"/>
                <w:szCs w:val="21"/>
              </w:rPr>
              <w:t>顶层高度</w:t>
            </w:r>
          </w:p>
        </w:tc>
        <w:tc>
          <w:tcPr>
            <w:tcW w:w="1126" w:type="dxa"/>
            <w:vAlign w:val="center"/>
          </w:tcPr>
          <w:p>
            <w:pPr>
              <w:pStyle w:val="24"/>
              <w:widowControl w:val="0"/>
              <w:spacing w:beforeAutospacing="0" w:afterAutospacing="0" w:line="360" w:lineRule="auto"/>
              <w:ind w:firstLine="420" w:firstLineChars="200"/>
              <w:jc w:val="center"/>
              <w:textAlignment w:val="baseline"/>
              <w:rPr>
                <w:sz w:val="21"/>
                <w:szCs w:val="21"/>
              </w:rPr>
            </w:pPr>
            <w:r>
              <w:rPr>
                <w:rFonts w:hint="eastAsia"/>
                <w:sz w:val="21"/>
                <w:szCs w:val="21"/>
              </w:rPr>
              <w:t>基坑深度</w:t>
            </w:r>
          </w:p>
        </w:tc>
        <w:tc>
          <w:tcPr>
            <w:tcW w:w="1247" w:type="dxa"/>
            <w:vMerge w:val="restart"/>
            <w:vAlign w:val="center"/>
          </w:tcPr>
          <w:p>
            <w:pPr>
              <w:pStyle w:val="24"/>
              <w:widowControl w:val="0"/>
              <w:spacing w:beforeAutospacing="0" w:afterAutospacing="0" w:line="360" w:lineRule="auto"/>
              <w:ind w:firstLine="420" w:firstLineChars="200"/>
              <w:jc w:val="center"/>
              <w:textAlignment w:val="baseline"/>
              <w:rPr>
                <w:sz w:val="21"/>
                <w:szCs w:val="21"/>
              </w:rPr>
            </w:pPr>
            <w:r>
              <w:rPr>
                <w:rFonts w:hint="eastAsia"/>
                <w:sz w:val="21"/>
                <w:szCs w:val="21"/>
              </w:rPr>
              <w:t>备注</w:t>
            </w:r>
          </w:p>
        </w:tc>
        <w:tc>
          <w:tcPr>
            <w:tcW w:w="1106" w:type="dxa"/>
            <w:vMerge w:val="restart"/>
            <w:vAlign w:val="center"/>
          </w:tcPr>
          <w:p>
            <w:pPr>
              <w:pStyle w:val="24"/>
              <w:widowControl w:val="0"/>
              <w:spacing w:beforeAutospacing="0" w:afterAutospacing="0" w:line="360" w:lineRule="auto"/>
              <w:jc w:val="center"/>
              <w:textAlignment w:val="baseline"/>
              <w:rPr>
                <w:sz w:val="21"/>
                <w:szCs w:val="21"/>
              </w:rPr>
            </w:pPr>
            <w:r>
              <w:rPr>
                <w:rFonts w:hint="eastAsia"/>
                <w:sz w:val="21"/>
                <w:szCs w:val="21"/>
              </w:rPr>
              <w:t>机房类型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0" w:hRule="atLeast"/>
        </w:trPr>
        <w:tc>
          <w:tcPr>
            <w:tcW w:w="641" w:type="dxa"/>
            <w:vMerge w:val="continue"/>
            <w:vAlign w:val="center"/>
          </w:tcPr>
          <w:p>
            <w:pPr>
              <w:pStyle w:val="24"/>
              <w:widowControl w:val="0"/>
              <w:spacing w:beforeAutospacing="0" w:afterAutospacing="0" w:line="360" w:lineRule="auto"/>
              <w:ind w:firstLine="420" w:firstLineChars="200"/>
              <w:jc w:val="center"/>
              <w:textAlignment w:val="baseline"/>
              <w:rPr>
                <w:sz w:val="21"/>
                <w:szCs w:val="21"/>
              </w:rPr>
            </w:pPr>
          </w:p>
        </w:tc>
        <w:tc>
          <w:tcPr>
            <w:tcW w:w="903" w:type="dxa"/>
            <w:vMerge w:val="continue"/>
            <w:vAlign w:val="center"/>
          </w:tcPr>
          <w:p>
            <w:pPr>
              <w:pStyle w:val="24"/>
              <w:widowControl w:val="0"/>
              <w:spacing w:beforeAutospacing="0" w:afterAutospacing="0" w:line="360" w:lineRule="auto"/>
              <w:ind w:firstLine="420" w:firstLineChars="200"/>
              <w:jc w:val="center"/>
              <w:textAlignment w:val="baseline"/>
              <w:rPr>
                <w:sz w:val="21"/>
                <w:szCs w:val="21"/>
              </w:rPr>
            </w:pPr>
          </w:p>
        </w:tc>
        <w:tc>
          <w:tcPr>
            <w:tcW w:w="1341" w:type="dxa"/>
            <w:vAlign w:val="center"/>
          </w:tcPr>
          <w:p>
            <w:pPr>
              <w:pStyle w:val="24"/>
              <w:widowControl w:val="0"/>
              <w:spacing w:beforeAutospacing="0" w:afterAutospacing="0" w:line="360" w:lineRule="auto"/>
              <w:ind w:firstLine="420" w:firstLineChars="200"/>
              <w:jc w:val="center"/>
              <w:textAlignment w:val="baseline"/>
              <w:rPr>
                <w:sz w:val="21"/>
                <w:szCs w:val="21"/>
              </w:rPr>
            </w:pPr>
            <w:r>
              <w:rPr>
                <w:rFonts w:hint="eastAsia"/>
                <w:sz w:val="21"/>
                <w:szCs w:val="21"/>
              </w:rPr>
              <w:t>（长*宽*深</w:t>
            </w:r>
          </w:p>
          <w:p>
            <w:pPr>
              <w:pStyle w:val="24"/>
              <w:widowControl w:val="0"/>
              <w:spacing w:beforeAutospacing="0" w:afterAutospacing="0" w:line="360" w:lineRule="auto"/>
              <w:ind w:firstLine="420" w:firstLineChars="200"/>
              <w:jc w:val="center"/>
              <w:textAlignment w:val="baseline"/>
              <w:rPr>
                <w:sz w:val="21"/>
                <w:szCs w:val="21"/>
              </w:rPr>
            </w:pPr>
            <w:r>
              <w:rPr>
                <w:rFonts w:hint="eastAsia"/>
                <w:sz w:val="21"/>
                <w:szCs w:val="21"/>
              </w:rPr>
              <w:t>/mm）</w:t>
            </w:r>
          </w:p>
        </w:tc>
        <w:tc>
          <w:tcPr>
            <w:tcW w:w="1268" w:type="dxa"/>
            <w:vAlign w:val="center"/>
          </w:tcPr>
          <w:p>
            <w:pPr>
              <w:pStyle w:val="24"/>
              <w:widowControl w:val="0"/>
              <w:spacing w:beforeAutospacing="0" w:afterAutospacing="0" w:line="360" w:lineRule="auto"/>
              <w:ind w:firstLine="420" w:firstLineChars="200"/>
              <w:jc w:val="center"/>
              <w:textAlignment w:val="baseline"/>
              <w:rPr>
                <w:sz w:val="21"/>
                <w:szCs w:val="21"/>
              </w:rPr>
            </w:pPr>
            <w:r>
              <w:rPr>
                <w:rFonts w:hint="eastAsia"/>
                <w:sz w:val="21"/>
                <w:szCs w:val="21"/>
              </w:rPr>
              <w:t>（宽*高/mm）</w:t>
            </w:r>
          </w:p>
        </w:tc>
        <w:tc>
          <w:tcPr>
            <w:tcW w:w="1220" w:type="dxa"/>
            <w:vAlign w:val="center"/>
          </w:tcPr>
          <w:p>
            <w:pPr>
              <w:pStyle w:val="24"/>
              <w:widowControl w:val="0"/>
              <w:spacing w:beforeAutospacing="0" w:afterAutospacing="0" w:line="360" w:lineRule="auto"/>
              <w:ind w:firstLine="420" w:firstLineChars="200"/>
              <w:jc w:val="center"/>
              <w:textAlignment w:val="baseline"/>
              <w:rPr>
                <w:sz w:val="21"/>
                <w:szCs w:val="21"/>
              </w:rPr>
            </w:pPr>
            <w:r>
              <w:rPr>
                <w:rFonts w:hint="eastAsia"/>
                <w:sz w:val="21"/>
                <w:szCs w:val="21"/>
              </w:rPr>
              <w:t>（宽*高/mm）</w:t>
            </w:r>
          </w:p>
        </w:tc>
        <w:tc>
          <w:tcPr>
            <w:tcW w:w="1432" w:type="dxa"/>
            <w:vAlign w:val="center"/>
          </w:tcPr>
          <w:p>
            <w:pPr>
              <w:pStyle w:val="24"/>
              <w:widowControl w:val="0"/>
              <w:spacing w:beforeAutospacing="0" w:afterAutospacing="0" w:line="360" w:lineRule="auto"/>
              <w:ind w:firstLine="420" w:firstLineChars="200"/>
              <w:jc w:val="both"/>
              <w:textAlignment w:val="baseline"/>
              <w:rPr>
                <w:sz w:val="21"/>
                <w:szCs w:val="21"/>
              </w:rPr>
            </w:pPr>
            <w:r>
              <w:rPr>
                <w:rFonts w:hint="eastAsia"/>
                <w:sz w:val="21"/>
                <w:szCs w:val="21"/>
              </w:rPr>
              <w:t>（m）</w:t>
            </w:r>
          </w:p>
        </w:tc>
        <w:tc>
          <w:tcPr>
            <w:tcW w:w="1130" w:type="dxa"/>
            <w:vAlign w:val="center"/>
          </w:tcPr>
          <w:p>
            <w:pPr>
              <w:pStyle w:val="24"/>
              <w:widowControl w:val="0"/>
              <w:spacing w:beforeAutospacing="0" w:afterAutospacing="0" w:line="360" w:lineRule="auto"/>
              <w:ind w:firstLine="210" w:firstLineChars="100"/>
              <w:jc w:val="both"/>
              <w:textAlignment w:val="baseline"/>
              <w:rPr>
                <w:sz w:val="21"/>
                <w:szCs w:val="21"/>
              </w:rPr>
            </w:pPr>
            <w:r>
              <w:rPr>
                <w:rFonts w:hint="eastAsia"/>
                <w:sz w:val="21"/>
                <w:szCs w:val="21"/>
              </w:rPr>
              <w:t>（台）</w:t>
            </w:r>
          </w:p>
        </w:tc>
        <w:tc>
          <w:tcPr>
            <w:tcW w:w="1012" w:type="dxa"/>
            <w:vAlign w:val="center"/>
          </w:tcPr>
          <w:p>
            <w:pPr>
              <w:pStyle w:val="24"/>
              <w:widowControl w:val="0"/>
              <w:spacing w:beforeAutospacing="0" w:afterAutospacing="0" w:line="360" w:lineRule="auto"/>
              <w:ind w:firstLine="210" w:firstLineChars="100"/>
              <w:jc w:val="both"/>
              <w:textAlignment w:val="baseline"/>
              <w:rPr>
                <w:sz w:val="21"/>
                <w:szCs w:val="21"/>
              </w:rPr>
            </w:pPr>
            <w:r>
              <w:rPr>
                <w:rFonts w:hint="eastAsia"/>
                <w:sz w:val="21"/>
                <w:szCs w:val="21"/>
              </w:rPr>
              <w:t>（KG）</w:t>
            </w:r>
          </w:p>
        </w:tc>
        <w:tc>
          <w:tcPr>
            <w:tcW w:w="1021" w:type="dxa"/>
            <w:vAlign w:val="center"/>
          </w:tcPr>
          <w:p>
            <w:pPr>
              <w:pStyle w:val="24"/>
              <w:widowControl w:val="0"/>
              <w:spacing w:beforeAutospacing="0" w:afterAutospacing="0" w:line="360" w:lineRule="auto"/>
              <w:jc w:val="both"/>
              <w:textAlignment w:val="baseline"/>
              <w:rPr>
                <w:sz w:val="21"/>
                <w:szCs w:val="21"/>
              </w:rPr>
            </w:pPr>
            <w:r>
              <w:rPr>
                <w:rFonts w:hint="eastAsia"/>
                <w:sz w:val="21"/>
                <w:szCs w:val="21"/>
              </w:rPr>
              <w:t>（m/s）</w:t>
            </w:r>
          </w:p>
        </w:tc>
        <w:tc>
          <w:tcPr>
            <w:tcW w:w="1135" w:type="dxa"/>
            <w:vAlign w:val="center"/>
          </w:tcPr>
          <w:p>
            <w:pPr>
              <w:pStyle w:val="24"/>
              <w:widowControl w:val="0"/>
              <w:spacing w:beforeAutospacing="0" w:afterAutospacing="0" w:line="360" w:lineRule="auto"/>
              <w:ind w:firstLine="210" w:firstLineChars="100"/>
              <w:jc w:val="both"/>
              <w:textAlignment w:val="baseline"/>
              <w:rPr>
                <w:sz w:val="21"/>
                <w:szCs w:val="21"/>
              </w:rPr>
            </w:pPr>
            <w:r>
              <w:rPr>
                <w:rFonts w:hint="eastAsia"/>
                <w:sz w:val="21"/>
                <w:szCs w:val="21"/>
              </w:rPr>
              <w:t>（m）</w:t>
            </w:r>
          </w:p>
        </w:tc>
        <w:tc>
          <w:tcPr>
            <w:tcW w:w="1126" w:type="dxa"/>
            <w:vAlign w:val="center"/>
          </w:tcPr>
          <w:p>
            <w:pPr>
              <w:pStyle w:val="24"/>
              <w:widowControl w:val="0"/>
              <w:spacing w:beforeAutospacing="0" w:afterAutospacing="0" w:line="360" w:lineRule="auto"/>
              <w:ind w:firstLine="210" w:firstLineChars="100"/>
              <w:jc w:val="both"/>
              <w:textAlignment w:val="baseline"/>
              <w:rPr>
                <w:sz w:val="21"/>
                <w:szCs w:val="21"/>
              </w:rPr>
            </w:pPr>
            <w:r>
              <w:rPr>
                <w:rFonts w:hint="eastAsia"/>
                <w:sz w:val="21"/>
                <w:szCs w:val="21"/>
              </w:rPr>
              <w:t>（m）</w:t>
            </w:r>
          </w:p>
        </w:tc>
        <w:tc>
          <w:tcPr>
            <w:tcW w:w="1247" w:type="dxa"/>
            <w:vMerge w:val="continue"/>
            <w:vAlign w:val="center"/>
          </w:tcPr>
          <w:p>
            <w:pPr>
              <w:pStyle w:val="24"/>
              <w:widowControl w:val="0"/>
              <w:spacing w:beforeAutospacing="0" w:afterAutospacing="0" w:line="360" w:lineRule="auto"/>
              <w:ind w:firstLine="420" w:firstLineChars="200"/>
              <w:jc w:val="center"/>
              <w:textAlignment w:val="baseline"/>
              <w:rPr>
                <w:sz w:val="21"/>
                <w:szCs w:val="21"/>
              </w:rPr>
            </w:pPr>
          </w:p>
        </w:tc>
        <w:tc>
          <w:tcPr>
            <w:tcW w:w="1106" w:type="dxa"/>
            <w:vMerge w:val="continue"/>
            <w:vAlign w:val="center"/>
          </w:tcPr>
          <w:p>
            <w:pPr>
              <w:pStyle w:val="24"/>
              <w:widowControl w:val="0"/>
              <w:spacing w:beforeAutospacing="0" w:afterAutospacing="0" w:line="360" w:lineRule="auto"/>
              <w:ind w:firstLine="420" w:firstLineChars="200"/>
              <w:jc w:val="center"/>
              <w:textAlignment w:val="baseline"/>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4" w:hRule="atLeast"/>
        </w:trPr>
        <w:tc>
          <w:tcPr>
            <w:tcW w:w="641" w:type="dxa"/>
            <w:vAlign w:val="center"/>
          </w:tcPr>
          <w:p>
            <w:pPr>
              <w:pStyle w:val="24"/>
              <w:widowControl w:val="0"/>
              <w:spacing w:beforeAutospacing="0" w:afterAutospacing="0" w:line="360" w:lineRule="auto"/>
              <w:jc w:val="both"/>
              <w:textAlignment w:val="baseline"/>
              <w:rPr>
                <w:sz w:val="21"/>
                <w:szCs w:val="21"/>
              </w:rPr>
            </w:pPr>
            <w:r>
              <w:rPr>
                <w:rFonts w:hint="eastAsia"/>
                <w:sz w:val="21"/>
                <w:szCs w:val="21"/>
              </w:rPr>
              <w:t>1</w:t>
            </w:r>
          </w:p>
        </w:tc>
        <w:tc>
          <w:tcPr>
            <w:tcW w:w="903" w:type="dxa"/>
            <w:vAlign w:val="center"/>
          </w:tcPr>
          <w:p>
            <w:pPr>
              <w:pStyle w:val="24"/>
              <w:widowControl w:val="0"/>
              <w:spacing w:beforeAutospacing="0" w:afterAutospacing="0" w:line="360" w:lineRule="auto"/>
              <w:jc w:val="both"/>
              <w:textAlignment w:val="baseline"/>
              <w:rPr>
                <w:sz w:val="21"/>
                <w:szCs w:val="21"/>
              </w:rPr>
            </w:pPr>
            <w:r>
              <w:rPr>
                <w:rFonts w:hint="eastAsia"/>
                <w:sz w:val="21"/>
                <w:szCs w:val="21"/>
              </w:rPr>
              <w:t>13/13/13</w:t>
            </w:r>
          </w:p>
        </w:tc>
        <w:tc>
          <w:tcPr>
            <w:tcW w:w="1341" w:type="dxa"/>
            <w:vAlign w:val="center"/>
          </w:tcPr>
          <w:p>
            <w:pPr>
              <w:pStyle w:val="24"/>
              <w:widowControl w:val="0"/>
              <w:spacing w:beforeAutospacing="0" w:afterAutospacing="0" w:line="360" w:lineRule="auto"/>
              <w:jc w:val="both"/>
              <w:textAlignment w:val="baseline"/>
              <w:rPr>
                <w:sz w:val="21"/>
                <w:szCs w:val="21"/>
              </w:rPr>
            </w:pPr>
            <w:r>
              <w:rPr>
                <w:rFonts w:hint="eastAsia"/>
                <w:sz w:val="21"/>
                <w:szCs w:val="21"/>
              </w:rPr>
              <w:t>2100×2200×57000</w:t>
            </w:r>
          </w:p>
        </w:tc>
        <w:tc>
          <w:tcPr>
            <w:tcW w:w="1268" w:type="dxa"/>
            <w:vAlign w:val="center"/>
          </w:tcPr>
          <w:p>
            <w:pPr>
              <w:pStyle w:val="24"/>
              <w:widowControl w:val="0"/>
              <w:spacing w:beforeAutospacing="0" w:afterAutospacing="0" w:line="360" w:lineRule="auto"/>
              <w:ind w:firstLine="420" w:firstLineChars="200"/>
              <w:jc w:val="center"/>
              <w:textAlignment w:val="baseline"/>
              <w:rPr>
                <w:sz w:val="21"/>
                <w:szCs w:val="21"/>
              </w:rPr>
            </w:pPr>
            <w:r>
              <w:rPr>
                <w:rFonts w:hint="eastAsia"/>
                <w:sz w:val="21"/>
                <w:szCs w:val="21"/>
              </w:rPr>
              <w:t>1100×2200</w:t>
            </w:r>
          </w:p>
        </w:tc>
        <w:tc>
          <w:tcPr>
            <w:tcW w:w="1220" w:type="dxa"/>
            <w:vAlign w:val="center"/>
          </w:tcPr>
          <w:p>
            <w:pPr>
              <w:pStyle w:val="24"/>
              <w:widowControl w:val="0"/>
              <w:spacing w:beforeAutospacing="0" w:afterAutospacing="0" w:line="360" w:lineRule="auto"/>
              <w:jc w:val="both"/>
              <w:textAlignment w:val="baseline"/>
              <w:rPr>
                <w:sz w:val="21"/>
                <w:szCs w:val="21"/>
              </w:rPr>
            </w:pPr>
            <w:r>
              <w:rPr>
                <w:rFonts w:hint="eastAsia"/>
                <w:sz w:val="21"/>
                <w:szCs w:val="21"/>
              </w:rPr>
              <w:t>厂家匹配</w:t>
            </w:r>
          </w:p>
        </w:tc>
        <w:tc>
          <w:tcPr>
            <w:tcW w:w="1432" w:type="dxa"/>
            <w:vAlign w:val="center"/>
          </w:tcPr>
          <w:p>
            <w:pPr>
              <w:pStyle w:val="24"/>
              <w:widowControl w:val="0"/>
              <w:spacing w:beforeAutospacing="0" w:afterAutospacing="0" w:line="360" w:lineRule="auto"/>
              <w:ind w:firstLine="210" w:firstLineChars="100"/>
              <w:jc w:val="both"/>
              <w:textAlignment w:val="baseline"/>
              <w:rPr>
                <w:sz w:val="21"/>
                <w:szCs w:val="21"/>
              </w:rPr>
            </w:pPr>
            <w:r>
              <w:rPr>
                <w:rFonts w:hint="eastAsia"/>
                <w:sz w:val="21"/>
                <w:szCs w:val="21"/>
              </w:rPr>
              <w:t>现场确认</w:t>
            </w:r>
          </w:p>
        </w:tc>
        <w:tc>
          <w:tcPr>
            <w:tcW w:w="1130" w:type="dxa"/>
            <w:vAlign w:val="center"/>
          </w:tcPr>
          <w:p>
            <w:pPr>
              <w:pStyle w:val="24"/>
              <w:widowControl w:val="0"/>
              <w:spacing w:beforeAutospacing="0" w:afterAutospacing="0" w:line="360" w:lineRule="auto"/>
              <w:ind w:firstLine="420" w:firstLineChars="200"/>
              <w:jc w:val="center"/>
              <w:textAlignment w:val="baseline"/>
              <w:rPr>
                <w:sz w:val="21"/>
                <w:szCs w:val="21"/>
              </w:rPr>
            </w:pPr>
            <w:r>
              <w:rPr>
                <w:rFonts w:hint="eastAsia"/>
                <w:sz w:val="21"/>
                <w:szCs w:val="21"/>
              </w:rPr>
              <w:t>2</w:t>
            </w:r>
          </w:p>
        </w:tc>
        <w:tc>
          <w:tcPr>
            <w:tcW w:w="1012" w:type="dxa"/>
            <w:vAlign w:val="center"/>
          </w:tcPr>
          <w:p>
            <w:pPr>
              <w:pStyle w:val="24"/>
              <w:widowControl w:val="0"/>
              <w:spacing w:beforeAutospacing="0" w:afterAutospacing="0" w:line="360" w:lineRule="auto"/>
              <w:ind w:firstLine="210" w:firstLineChars="100"/>
              <w:jc w:val="both"/>
              <w:textAlignment w:val="baseline"/>
              <w:rPr>
                <w:sz w:val="21"/>
                <w:szCs w:val="21"/>
              </w:rPr>
            </w:pPr>
            <w:r>
              <w:rPr>
                <w:rFonts w:hint="eastAsia"/>
                <w:sz w:val="21"/>
                <w:szCs w:val="21"/>
              </w:rPr>
              <w:t>1000</w:t>
            </w:r>
          </w:p>
        </w:tc>
        <w:tc>
          <w:tcPr>
            <w:tcW w:w="1021" w:type="dxa"/>
            <w:vAlign w:val="center"/>
          </w:tcPr>
          <w:p>
            <w:pPr>
              <w:pStyle w:val="24"/>
              <w:widowControl w:val="0"/>
              <w:spacing w:beforeAutospacing="0" w:afterAutospacing="0" w:line="360" w:lineRule="auto"/>
              <w:ind w:firstLine="420" w:firstLineChars="200"/>
              <w:jc w:val="center"/>
              <w:textAlignment w:val="baseline"/>
              <w:rPr>
                <w:sz w:val="21"/>
                <w:szCs w:val="21"/>
              </w:rPr>
            </w:pPr>
            <w:r>
              <w:rPr>
                <w:rFonts w:hint="eastAsia"/>
                <w:sz w:val="21"/>
                <w:szCs w:val="21"/>
              </w:rPr>
              <w:t>≧1.75</w:t>
            </w:r>
          </w:p>
        </w:tc>
        <w:tc>
          <w:tcPr>
            <w:tcW w:w="1135" w:type="dxa"/>
            <w:vAlign w:val="center"/>
          </w:tcPr>
          <w:p>
            <w:pPr>
              <w:pStyle w:val="24"/>
              <w:widowControl w:val="0"/>
              <w:spacing w:beforeAutospacing="0" w:afterAutospacing="0" w:line="360" w:lineRule="auto"/>
              <w:jc w:val="both"/>
              <w:textAlignment w:val="baseline"/>
              <w:rPr>
                <w:sz w:val="21"/>
                <w:szCs w:val="21"/>
              </w:rPr>
            </w:pPr>
            <w:r>
              <w:rPr>
                <w:rFonts w:hint="eastAsia"/>
                <w:sz w:val="21"/>
                <w:szCs w:val="21"/>
              </w:rPr>
              <w:t>现场确认</w:t>
            </w:r>
          </w:p>
        </w:tc>
        <w:tc>
          <w:tcPr>
            <w:tcW w:w="1126" w:type="dxa"/>
            <w:vAlign w:val="center"/>
          </w:tcPr>
          <w:p>
            <w:pPr>
              <w:pStyle w:val="24"/>
              <w:widowControl w:val="0"/>
              <w:spacing w:beforeAutospacing="0" w:afterAutospacing="0" w:line="360" w:lineRule="auto"/>
              <w:jc w:val="both"/>
              <w:textAlignment w:val="baseline"/>
              <w:rPr>
                <w:sz w:val="21"/>
                <w:szCs w:val="21"/>
              </w:rPr>
            </w:pPr>
            <w:r>
              <w:rPr>
                <w:rFonts w:hint="eastAsia"/>
                <w:sz w:val="21"/>
                <w:szCs w:val="21"/>
              </w:rPr>
              <w:t>现场确认</w:t>
            </w:r>
          </w:p>
        </w:tc>
        <w:tc>
          <w:tcPr>
            <w:tcW w:w="1247" w:type="dxa"/>
            <w:vAlign w:val="center"/>
          </w:tcPr>
          <w:p>
            <w:pPr>
              <w:pStyle w:val="24"/>
              <w:widowControl w:val="0"/>
              <w:spacing w:beforeAutospacing="0" w:afterAutospacing="0" w:line="360" w:lineRule="auto"/>
              <w:jc w:val="center"/>
              <w:textAlignment w:val="baseline"/>
              <w:rPr>
                <w:sz w:val="21"/>
                <w:szCs w:val="21"/>
              </w:rPr>
            </w:pPr>
            <w:r>
              <w:rPr>
                <w:rFonts w:hint="eastAsia"/>
                <w:sz w:val="21"/>
                <w:szCs w:val="21"/>
              </w:rPr>
              <w:t>曳引式客梯</w:t>
            </w:r>
          </w:p>
        </w:tc>
        <w:tc>
          <w:tcPr>
            <w:tcW w:w="1106" w:type="dxa"/>
            <w:vAlign w:val="center"/>
          </w:tcPr>
          <w:p>
            <w:pPr>
              <w:pStyle w:val="24"/>
              <w:widowControl w:val="0"/>
              <w:spacing w:beforeAutospacing="0" w:afterAutospacing="0" w:line="360" w:lineRule="auto"/>
              <w:jc w:val="center"/>
              <w:textAlignment w:val="baseline"/>
              <w:rPr>
                <w:sz w:val="21"/>
                <w:szCs w:val="21"/>
              </w:rPr>
            </w:pPr>
            <w:r>
              <w:rPr>
                <w:rFonts w:hint="eastAsia"/>
                <w:sz w:val="21"/>
                <w:szCs w:val="21"/>
              </w:rPr>
              <w:t>有机房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4" w:hRule="atLeast"/>
        </w:trPr>
        <w:tc>
          <w:tcPr>
            <w:tcW w:w="641" w:type="dxa"/>
            <w:vAlign w:val="center"/>
          </w:tcPr>
          <w:p>
            <w:pPr>
              <w:pStyle w:val="24"/>
              <w:widowControl w:val="0"/>
              <w:spacing w:beforeAutospacing="0" w:afterAutospacing="0" w:line="360" w:lineRule="auto"/>
              <w:jc w:val="both"/>
              <w:textAlignment w:val="baseline"/>
              <w:rPr>
                <w:sz w:val="21"/>
                <w:szCs w:val="21"/>
              </w:rPr>
            </w:pPr>
            <w:r>
              <w:rPr>
                <w:rFonts w:hint="eastAsia"/>
                <w:sz w:val="21"/>
                <w:szCs w:val="21"/>
              </w:rPr>
              <w:t>2</w:t>
            </w:r>
          </w:p>
        </w:tc>
        <w:tc>
          <w:tcPr>
            <w:tcW w:w="903" w:type="dxa"/>
            <w:vAlign w:val="center"/>
          </w:tcPr>
          <w:p>
            <w:pPr>
              <w:pStyle w:val="24"/>
              <w:widowControl w:val="0"/>
              <w:spacing w:beforeAutospacing="0" w:afterAutospacing="0" w:line="360" w:lineRule="auto"/>
              <w:jc w:val="both"/>
              <w:textAlignment w:val="baseline"/>
              <w:rPr>
                <w:sz w:val="21"/>
                <w:szCs w:val="21"/>
              </w:rPr>
            </w:pPr>
            <w:r>
              <w:rPr>
                <w:rFonts w:hint="eastAsia"/>
                <w:sz w:val="21"/>
                <w:szCs w:val="21"/>
              </w:rPr>
              <w:t>13/13/13</w:t>
            </w:r>
          </w:p>
        </w:tc>
        <w:tc>
          <w:tcPr>
            <w:tcW w:w="1341" w:type="dxa"/>
            <w:vAlign w:val="center"/>
          </w:tcPr>
          <w:p>
            <w:pPr>
              <w:pStyle w:val="24"/>
              <w:widowControl w:val="0"/>
              <w:spacing w:beforeAutospacing="0" w:afterAutospacing="0" w:line="360" w:lineRule="auto"/>
              <w:jc w:val="both"/>
              <w:textAlignment w:val="baseline"/>
              <w:rPr>
                <w:sz w:val="21"/>
                <w:szCs w:val="21"/>
              </w:rPr>
            </w:pPr>
            <w:r>
              <w:rPr>
                <w:rFonts w:hint="eastAsia"/>
                <w:sz w:val="21"/>
                <w:szCs w:val="21"/>
              </w:rPr>
              <w:t>2200×2100×57000</w:t>
            </w:r>
          </w:p>
        </w:tc>
        <w:tc>
          <w:tcPr>
            <w:tcW w:w="1268" w:type="dxa"/>
            <w:vAlign w:val="center"/>
          </w:tcPr>
          <w:p>
            <w:pPr>
              <w:pStyle w:val="24"/>
              <w:widowControl w:val="0"/>
              <w:spacing w:beforeAutospacing="0" w:afterAutospacing="0" w:line="360" w:lineRule="auto"/>
              <w:ind w:firstLine="420" w:firstLineChars="200"/>
              <w:jc w:val="center"/>
              <w:textAlignment w:val="baseline"/>
              <w:rPr>
                <w:sz w:val="21"/>
                <w:szCs w:val="21"/>
              </w:rPr>
            </w:pPr>
            <w:r>
              <w:rPr>
                <w:rFonts w:hint="eastAsia"/>
                <w:sz w:val="21"/>
                <w:szCs w:val="21"/>
              </w:rPr>
              <w:t>1100×2200</w:t>
            </w:r>
          </w:p>
        </w:tc>
        <w:tc>
          <w:tcPr>
            <w:tcW w:w="1220" w:type="dxa"/>
            <w:vAlign w:val="center"/>
          </w:tcPr>
          <w:p>
            <w:pPr>
              <w:pStyle w:val="24"/>
              <w:widowControl w:val="0"/>
              <w:spacing w:beforeAutospacing="0" w:afterAutospacing="0" w:line="360" w:lineRule="auto"/>
              <w:jc w:val="both"/>
              <w:textAlignment w:val="baseline"/>
              <w:rPr>
                <w:sz w:val="21"/>
                <w:szCs w:val="21"/>
              </w:rPr>
            </w:pPr>
            <w:r>
              <w:rPr>
                <w:rFonts w:hint="eastAsia"/>
                <w:sz w:val="21"/>
                <w:szCs w:val="21"/>
              </w:rPr>
              <w:t>厂家匹配</w:t>
            </w:r>
          </w:p>
        </w:tc>
        <w:tc>
          <w:tcPr>
            <w:tcW w:w="1432" w:type="dxa"/>
            <w:vAlign w:val="center"/>
          </w:tcPr>
          <w:p>
            <w:pPr>
              <w:pStyle w:val="24"/>
              <w:widowControl w:val="0"/>
              <w:spacing w:beforeAutospacing="0" w:afterAutospacing="0" w:line="360" w:lineRule="auto"/>
              <w:ind w:firstLine="210" w:firstLineChars="100"/>
              <w:jc w:val="both"/>
              <w:textAlignment w:val="baseline"/>
              <w:rPr>
                <w:sz w:val="21"/>
                <w:szCs w:val="21"/>
              </w:rPr>
            </w:pPr>
            <w:r>
              <w:rPr>
                <w:rFonts w:hint="eastAsia"/>
                <w:sz w:val="21"/>
                <w:szCs w:val="21"/>
              </w:rPr>
              <w:t>现场确认</w:t>
            </w:r>
          </w:p>
        </w:tc>
        <w:tc>
          <w:tcPr>
            <w:tcW w:w="1130" w:type="dxa"/>
            <w:vAlign w:val="center"/>
          </w:tcPr>
          <w:p>
            <w:pPr>
              <w:pStyle w:val="24"/>
              <w:widowControl w:val="0"/>
              <w:spacing w:beforeAutospacing="0" w:afterAutospacing="0" w:line="360" w:lineRule="auto"/>
              <w:ind w:firstLine="420" w:firstLineChars="200"/>
              <w:jc w:val="center"/>
              <w:textAlignment w:val="baseline"/>
              <w:rPr>
                <w:sz w:val="21"/>
                <w:szCs w:val="21"/>
              </w:rPr>
            </w:pPr>
            <w:r>
              <w:rPr>
                <w:rFonts w:hint="eastAsia"/>
                <w:sz w:val="21"/>
                <w:szCs w:val="21"/>
              </w:rPr>
              <w:t>1</w:t>
            </w:r>
          </w:p>
        </w:tc>
        <w:tc>
          <w:tcPr>
            <w:tcW w:w="1012" w:type="dxa"/>
            <w:vAlign w:val="center"/>
          </w:tcPr>
          <w:p>
            <w:pPr>
              <w:pStyle w:val="24"/>
              <w:widowControl w:val="0"/>
              <w:spacing w:beforeAutospacing="0" w:afterAutospacing="0" w:line="360" w:lineRule="auto"/>
              <w:ind w:firstLine="210" w:firstLineChars="100"/>
              <w:jc w:val="both"/>
              <w:textAlignment w:val="baseline"/>
              <w:rPr>
                <w:sz w:val="21"/>
                <w:szCs w:val="21"/>
              </w:rPr>
            </w:pPr>
            <w:r>
              <w:rPr>
                <w:rFonts w:hint="eastAsia"/>
                <w:sz w:val="21"/>
                <w:szCs w:val="21"/>
              </w:rPr>
              <w:t>1000</w:t>
            </w:r>
          </w:p>
        </w:tc>
        <w:tc>
          <w:tcPr>
            <w:tcW w:w="1021" w:type="dxa"/>
            <w:vAlign w:val="center"/>
          </w:tcPr>
          <w:p>
            <w:pPr>
              <w:pStyle w:val="24"/>
              <w:widowControl w:val="0"/>
              <w:spacing w:beforeAutospacing="0" w:afterAutospacing="0" w:line="360" w:lineRule="auto"/>
              <w:ind w:firstLine="420" w:firstLineChars="200"/>
              <w:jc w:val="center"/>
              <w:textAlignment w:val="baseline"/>
              <w:rPr>
                <w:sz w:val="21"/>
                <w:szCs w:val="21"/>
              </w:rPr>
            </w:pPr>
            <w:r>
              <w:rPr>
                <w:rFonts w:hint="eastAsia"/>
                <w:sz w:val="21"/>
                <w:szCs w:val="21"/>
              </w:rPr>
              <w:t>≧1.75</w:t>
            </w:r>
          </w:p>
        </w:tc>
        <w:tc>
          <w:tcPr>
            <w:tcW w:w="1135" w:type="dxa"/>
            <w:vAlign w:val="center"/>
          </w:tcPr>
          <w:p>
            <w:pPr>
              <w:pStyle w:val="24"/>
              <w:widowControl w:val="0"/>
              <w:spacing w:beforeAutospacing="0" w:afterAutospacing="0" w:line="360" w:lineRule="auto"/>
              <w:jc w:val="both"/>
              <w:textAlignment w:val="baseline"/>
              <w:rPr>
                <w:sz w:val="21"/>
                <w:szCs w:val="21"/>
              </w:rPr>
            </w:pPr>
            <w:r>
              <w:rPr>
                <w:rFonts w:hint="eastAsia"/>
                <w:sz w:val="21"/>
                <w:szCs w:val="21"/>
              </w:rPr>
              <w:t>现场确认</w:t>
            </w:r>
          </w:p>
        </w:tc>
        <w:tc>
          <w:tcPr>
            <w:tcW w:w="1126" w:type="dxa"/>
            <w:vAlign w:val="center"/>
          </w:tcPr>
          <w:p>
            <w:pPr>
              <w:pStyle w:val="24"/>
              <w:widowControl w:val="0"/>
              <w:spacing w:beforeAutospacing="0" w:afterAutospacing="0" w:line="360" w:lineRule="auto"/>
              <w:jc w:val="both"/>
              <w:textAlignment w:val="baseline"/>
              <w:rPr>
                <w:sz w:val="21"/>
                <w:szCs w:val="21"/>
              </w:rPr>
            </w:pPr>
            <w:r>
              <w:rPr>
                <w:rFonts w:hint="eastAsia"/>
                <w:sz w:val="21"/>
                <w:szCs w:val="21"/>
              </w:rPr>
              <w:t>现场确认</w:t>
            </w:r>
          </w:p>
        </w:tc>
        <w:tc>
          <w:tcPr>
            <w:tcW w:w="1247" w:type="dxa"/>
            <w:vAlign w:val="center"/>
          </w:tcPr>
          <w:p>
            <w:pPr>
              <w:pStyle w:val="24"/>
              <w:widowControl w:val="0"/>
              <w:spacing w:beforeAutospacing="0" w:afterAutospacing="0" w:line="360" w:lineRule="auto"/>
              <w:jc w:val="center"/>
              <w:textAlignment w:val="baseline"/>
              <w:rPr>
                <w:sz w:val="21"/>
                <w:szCs w:val="21"/>
              </w:rPr>
            </w:pPr>
            <w:r>
              <w:rPr>
                <w:rFonts w:hint="eastAsia"/>
                <w:sz w:val="21"/>
                <w:szCs w:val="21"/>
              </w:rPr>
              <w:t>消防电梯</w:t>
            </w:r>
          </w:p>
        </w:tc>
        <w:tc>
          <w:tcPr>
            <w:tcW w:w="1106" w:type="dxa"/>
            <w:vAlign w:val="center"/>
          </w:tcPr>
          <w:p>
            <w:pPr>
              <w:pStyle w:val="24"/>
              <w:widowControl w:val="0"/>
              <w:spacing w:beforeAutospacing="0" w:afterAutospacing="0" w:line="360" w:lineRule="auto"/>
              <w:jc w:val="center"/>
              <w:textAlignment w:val="baseline"/>
              <w:rPr>
                <w:sz w:val="21"/>
                <w:szCs w:val="21"/>
              </w:rPr>
            </w:pPr>
            <w:r>
              <w:rPr>
                <w:rFonts w:hint="eastAsia"/>
                <w:sz w:val="21"/>
                <w:szCs w:val="21"/>
              </w:rPr>
              <w:t>有机房</w:t>
            </w:r>
          </w:p>
        </w:tc>
      </w:tr>
    </w:tbl>
    <w:p>
      <w:pPr>
        <w:pStyle w:val="24"/>
        <w:widowControl w:val="0"/>
        <w:spacing w:beforeAutospacing="0" w:afterAutospacing="0" w:line="360" w:lineRule="auto"/>
        <w:textAlignment w:val="baseline"/>
        <w:rPr>
          <w:sz w:val="21"/>
          <w:szCs w:val="21"/>
        </w:rPr>
      </w:pPr>
    </w:p>
    <w:p>
      <w:pPr>
        <w:pStyle w:val="24"/>
        <w:widowControl w:val="0"/>
        <w:spacing w:beforeAutospacing="0" w:afterAutospacing="0" w:line="360" w:lineRule="auto"/>
        <w:textAlignment w:val="baseline"/>
        <w:rPr>
          <w:sz w:val="21"/>
          <w:szCs w:val="21"/>
        </w:rPr>
      </w:pPr>
      <w:r>
        <w:rPr>
          <w:rFonts w:hint="eastAsia"/>
          <w:sz w:val="21"/>
          <w:szCs w:val="21"/>
        </w:rPr>
        <w:t>注： 1 、以上井道尺寸、门洞尺寸、楼层分层高度等与土建有关的参数仅供投标人参考,  投标人应到现场实地勘察。如实际数据与本表不一致, , 以实际数据为准，投标人在中标后不得以此为由要求采购人增加任何费用；</w:t>
      </w:r>
    </w:p>
    <w:p>
      <w:pPr>
        <w:pStyle w:val="24"/>
        <w:widowControl w:val="0"/>
        <w:spacing w:beforeAutospacing="0" w:afterAutospacing="0" w:line="360" w:lineRule="auto"/>
        <w:ind w:firstLine="420" w:firstLineChars="200"/>
        <w:textAlignment w:val="baseline"/>
        <w:rPr>
          <w:rFonts w:hint="eastAsia"/>
          <w:sz w:val="21"/>
          <w:szCs w:val="21"/>
        </w:rPr>
      </w:pPr>
      <w:r>
        <w:rPr>
          <w:rFonts w:hint="eastAsia"/>
          <w:sz w:val="21"/>
          <w:szCs w:val="21"/>
        </w:rPr>
        <w:t xml:space="preserve">2 、中标后，采购人有可能会根据实际情况适当调整井道尺寸，成交供应商必须在符合国家有关强制性要求的前提下，依据实际井道尺寸相应调整轿厢内的净空尺寸（若实际井道尺寸不影响轿厢内净空尺寸，则不进行调整），其调整后应最大程度地满足采购人的使用要求。经采购人最终确认后，成交供应商方可进行供货， </w:t>
      </w:r>
    </w:p>
    <w:p>
      <w:pPr>
        <w:rPr>
          <w:rFonts w:hint="eastAsia"/>
          <w:sz w:val="21"/>
          <w:szCs w:val="21"/>
        </w:rPr>
        <w:sectPr>
          <w:pgSz w:w="16838" w:h="11906" w:orient="landscape"/>
          <w:pgMar w:top="1179" w:right="567" w:bottom="709" w:left="1151" w:header="851" w:footer="992" w:gutter="0"/>
          <w:cols w:space="720" w:num="1"/>
          <w:docGrid w:type="lines" w:linePitch="313" w:charSpace="0"/>
        </w:sectPr>
      </w:pPr>
      <w:r>
        <w:rPr>
          <w:rFonts w:hint="eastAsia"/>
          <w:sz w:val="21"/>
          <w:szCs w:val="21"/>
        </w:rPr>
        <w:br w:type="page"/>
      </w:r>
    </w:p>
    <w:p>
      <w:pPr>
        <w:pStyle w:val="24"/>
        <w:widowControl w:val="0"/>
        <w:spacing w:beforeAutospacing="0" w:afterAutospacing="0" w:line="360" w:lineRule="auto"/>
        <w:textAlignment w:val="baseline"/>
        <w:rPr>
          <w:sz w:val="21"/>
          <w:szCs w:val="21"/>
        </w:rPr>
      </w:pPr>
      <w:r>
        <w:rPr>
          <w:rFonts w:hint="eastAsia"/>
          <w:sz w:val="21"/>
          <w:szCs w:val="21"/>
        </w:rPr>
        <w:t>投标人应充分考虑此因素进行报价，投标人中标后不得以井道尺寸调整等问题要求调整中标价。</w:t>
      </w:r>
    </w:p>
    <w:p>
      <w:pPr>
        <w:pStyle w:val="24"/>
        <w:widowControl w:val="0"/>
        <w:numPr>
          <w:ilvl w:val="0"/>
          <w:numId w:val="4"/>
        </w:numPr>
        <w:spacing w:beforeAutospacing="0" w:afterAutospacing="0" w:line="360" w:lineRule="auto"/>
        <w:ind w:left="0" w:leftChars="0" w:firstLine="0" w:firstLineChars="0"/>
        <w:textAlignment w:val="baseline"/>
        <w:rPr>
          <w:rFonts w:hint="eastAsia"/>
          <w:sz w:val="21"/>
          <w:szCs w:val="21"/>
        </w:rPr>
      </w:pPr>
      <w:r>
        <w:rPr>
          <w:rFonts w:hint="eastAsia"/>
          <w:sz w:val="21"/>
          <w:szCs w:val="21"/>
        </w:rPr>
        <w:t>因采购人设备安装地点未确定原因，其中曳引式客梯中5层/站/门在投标人中标后需得到采购人书面通知确认后才能供货。</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w:t>
      </w:r>
      <w:r>
        <w:rPr>
          <w:rFonts w:hint="eastAsia"/>
          <w:sz w:val="21"/>
          <w:szCs w:val="21"/>
          <w:lang w:eastAsia="zh-CN"/>
        </w:rPr>
        <w:t>四</w:t>
      </w:r>
      <w:r>
        <w:rPr>
          <w:rFonts w:hint="eastAsia"/>
          <w:sz w:val="21"/>
          <w:szCs w:val="21"/>
        </w:rPr>
        <w:t>）电梯的工作条件：</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1、工作电源：动力电源：交流三相 380V/50HZ；照明电源：交流单相220V/50HZ；</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2、工作环境：能够适应高湿、高温环境，连续 24 小时工作要求（温度 0~40℃，湿度 30%~85%）。</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w:t>
      </w:r>
      <w:r>
        <w:rPr>
          <w:rFonts w:hint="eastAsia"/>
          <w:sz w:val="21"/>
          <w:szCs w:val="21"/>
          <w:lang w:eastAsia="zh-CN"/>
        </w:rPr>
        <w:t>五</w:t>
      </w:r>
      <w:r>
        <w:rPr>
          <w:rFonts w:hint="eastAsia"/>
          <w:sz w:val="21"/>
          <w:szCs w:val="21"/>
        </w:rPr>
        <w:t>）电梯（所有梯型）的技术性能指标：</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(1)速度偏差：≤±5%；</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(2)平层偏差：≤±7mm；</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(3)电梯起制动及额定运行时应舒适、无抖动冲击感觉，运行平稳。起、制动平均加、减速度应能在 0.5m/s2 ～1 m/s 2 之间可调，电梯运行时，垂直方向和水平方向的振动平均加速度分别≤10cm/s2 ；</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(4)开关门时间：可调；</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(5)噪音：运行中轿厢内噪声≤55db(A)；开关门噪声≤65db(A)；机房噪声≤80db(A)。</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w:t>
      </w:r>
      <w:r>
        <w:rPr>
          <w:rFonts w:hint="eastAsia"/>
          <w:sz w:val="21"/>
          <w:szCs w:val="21"/>
          <w:lang w:eastAsia="zh-CN"/>
        </w:rPr>
        <w:t>六</w:t>
      </w:r>
      <w:r>
        <w:rPr>
          <w:rFonts w:hint="eastAsia"/>
          <w:sz w:val="21"/>
          <w:szCs w:val="21"/>
        </w:rPr>
        <w:t>）电梯（所有梯型）的配置要求：</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以下配置须注明所投设备及其设备关键部件或系统的型号、规格、产地及生产厂家，并需投标人盖章确认：</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（1）所投电梯（所有梯型）的曳引机整机、门机系统整机、控制系统整机必须为所投电梯制造商的原厂原品牌产品。</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2）所投电梯（所有梯型）的关键部件或系统，即曳引机及曳引机的主机旋转编码器、控制柜整柜、控制柜中的主计算机板及变频器、门机整机（含光幕）、安全部件（限速器、缓冲器、安全钳）、轿厢（含操纵箱、装潢）、井道信息及电缆、曳引绳及厅外召唤等主要电梯配件必须说明其型号、规格、产地及生产厂家，并于设备交货时提供原产地清单，配置表必须由投标人盖章确认。</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（3）主机（曳引机）：永磁同步电动机。</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（4） 控制系统 ：电梯采用 32 位微机处理器 VVVF 控制；电梯采用 32 位微机全计算机智能化控制系统，串行集选操作；采用专用模块化变频器；采用现场总线的数据网络控制技术。监测电梯的运行启停状态、向下/向上运行状态、事故报警状态；发生火灾时由消防报警系统控制电梯降至首层，并显示状态；记录各种参数、状态、报警时间、启停时间、累计运行时间等。</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 xml:space="preserve">（5）门机系统：永磁同步门机，变频变压系统，门机系统采用自适应微机处理器 VVVF 控制。 </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（6）安全装置</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a、门保护：光幕保护，光幕≥120 束光幕保护</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b、限速器：制造商本厂制造或制造商本厂外购</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c、安全钳：制造商本厂制造或制造商本厂外购</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d、缓冲器：制造商本厂制造或制造商本厂外购</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e、拥有安全保障，具备手动盘车救援</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f、电梯主导轨为实心轨道、超速保护装置（制动器）制造商本厂制造或制造商本厂外购</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g、电梯需配置滚轮导靴或滑动导靴（制造商本厂生产或制造商本厂外购）</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（7）井道、坑道要求</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a、具有强迫限位开关、终端限位开关、终端极限限位开关等上下终端保护功能。</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b、底坑检修照明、底坑检修电梯电源开关。</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c、电磁兼容：符合国家最新标准。</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（8） 具备电梯变频节能装置。</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（9） 曳引媒介客梯和货梯采用钢带传动或钢丝绳传动方式均可。</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w:t>
      </w:r>
      <w:r>
        <w:rPr>
          <w:rFonts w:hint="eastAsia"/>
          <w:sz w:val="21"/>
          <w:szCs w:val="21"/>
          <w:lang w:eastAsia="zh-CN"/>
        </w:rPr>
        <w:t>七</w:t>
      </w:r>
      <w:r>
        <w:rPr>
          <w:rFonts w:hint="eastAsia"/>
          <w:sz w:val="21"/>
          <w:szCs w:val="21"/>
        </w:rPr>
        <w:t>）电梯的装饰要求：</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（1）层门形式为中分门。</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（2）所有轿门均采用 304发纹不锈钢（厚度不小于 1.2 mm）装修，带光幕保护装置。所有厅门均为304发纹不锈钢厅门（厚度不小于 1.2 mm），首层及其余各层门套均为 304 发纹不锈钢小门套（厚度不小于 1.2 mm）。</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w:t>
      </w:r>
      <w:r>
        <w:rPr>
          <w:rFonts w:hint="eastAsia"/>
          <w:sz w:val="21"/>
          <w:szCs w:val="21"/>
          <w:lang w:val="en-US" w:eastAsia="zh-CN"/>
        </w:rPr>
        <w:t>3</w:t>
      </w:r>
      <w:r>
        <w:rPr>
          <w:rFonts w:hint="eastAsia"/>
          <w:sz w:val="21"/>
          <w:szCs w:val="21"/>
        </w:rPr>
        <w:t>）电梯轿厢操纵箱为单操纵箱,配 1 个厂家标配的液晶显示屏，圆形发纹不锈钢按钮。设有数字式楼层指示器和上下行箭头，显示电梯位置及运行方向。</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还应设有其他必要的装置如：楼层登记及显示按钮，三位状态（自动、司机、检修）钥匙，及开关门、对讲机、紧急呼叫等按钮。控制按钮为微动式（右侧设置），所有面板均采用发纹不锈钢板。</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w:t>
      </w:r>
      <w:r>
        <w:rPr>
          <w:rFonts w:hint="eastAsia"/>
          <w:sz w:val="21"/>
          <w:szCs w:val="21"/>
          <w:lang w:val="en-US" w:eastAsia="zh-CN"/>
        </w:rPr>
        <w:t>4</w:t>
      </w:r>
      <w:r>
        <w:rPr>
          <w:rFonts w:hint="eastAsia"/>
          <w:sz w:val="21"/>
          <w:szCs w:val="21"/>
        </w:rPr>
        <w:t>）层门信号装置：所有电梯各层均配楼层数字显示、运行方向、层站显示和维修状态提示符号装置。每层层门装有触摸式／微动式上／下召呼按钮。所有面板均采用发纹不锈钢板。</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w:t>
      </w:r>
      <w:r>
        <w:rPr>
          <w:rFonts w:hint="eastAsia"/>
          <w:sz w:val="21"/>
          <w:szCs w:val="21"/>
          <w:lang w:val="en-US" w:eastAsia="zh-CN"/>
        </w:rPr>
        <w:t>5</w:t>
      </w:r>
      <w:r>
        <w:rPr>
          <w:rFonts w:hint="eastAsia"/>
          <w:sz w:val="21"/>
          <w:szCs w:val="21"/>
        </w:rPr>
        <w:t>）信号指示装置的布置方式及具体的式样在投标文件中具体说明。</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w:t>
      </w:r>
      <w:r>
        <w:rPr>
          <w:rFonts w:hint="eastAsia"/>
          <w:sz w:val="21"/>
          <w:szCs w:val="21"/>
          <w:lang w:val="en-US" w:eastAsia="zh-CN"/>
        </w:rPr>
        <w:t>6</w:t>
      </w:r>
      <w:r>
        <w:rPr>
          <w:rFonts w:hint="eastAsia"/>
          <w:sz w:val="21"/>
          <w:szCs w:val="21"/>
        </w:rPr>
        <w:t>）操作盘、按钮、候梯厅内招呼盒、轿厢内及候梯厅内数字楼层显示器、门框、天花（提供三个以上不同款式供采购人选择，价格不变）、地板等乘梯人可见部件必须在投标文件中附有相应的型号（或编号）、图片及采用的材料等资料。</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w:t>
      </w:r>
      <w:r>
        <w:rPr>
          <w:rFonts w:hint="eastAsia"/>
          <w:sz w:val="21"/>
          <w:szCs w:val="21"/>
          <w:lang w:val="en-US" w:eastAsia="zh-CN"/>
        </w:rPr>
        <w:t>7</w:t>
      </w:r>
      <w:r>
        <w:rPr>
          <w:rFonts w:hint="eastAsia"/>
          <w:sz w:val="21"/>
          <w:szCs w:val="21"/>
        </w:rPr>
        <w:t>）所有电梯轿厢地板均采用 PVC 地板(预留 200 公斤的装修重量)；地坎为冲压硬铝；踢脚板为铝合金；</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w:t>
      </w:r>
      <w:r>
        <w:rPr>
          <w:rFonts w:hint="eastAsia"/>
          <w:sz w:val="21"/>
          <w:szCs w:val="21"/>
          <w:lang w:val="en-US" w:eastAsia="zh-CN"/>
        </w:rPr>
        <w:t>8</w:t>
      </w:r>
      <w:r>
        <w:rPr>
          <w:rFonts w:hint="eastAsia"/>
          <w:sz w:val="21"/>
          <w:szCs w:val="21"/>
        </w:rPr>
        <w:t>）所有乘客电梯均配备低噪音轴流风机；</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w:t>
      </w:r>
      <w:r>
        <w:rPr>
          <w:rFonts w:hint="eastAsia"/>
          <w:sz w:val="21"/>
          <w:szCs w:val="21"/>
          <w:lang w:val="en-US" w:eastAsia="zh-CN"/>
        </w:rPr>
        <w:t>9</w:t>
      </w:r>
      <w:r>
        <w:rPr>
          <w:rFonts w:hint="eastAsia"/>
          <w:sz w:val="21"/>
          <w:szCs w:val="21"/>
        </w:rPr>
        <w:t>）投标人投标时应提供以上要求的产品样本及详细资料。</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w:t>
      </w:r>
      <w:r>
        <w:rPr>
          <w:rFonts w:hint="eastAsia"/>
          <w:sz w:val="21"/>
          <w:szCs w:val="21"/>
          <w:lang w:eastAsia="zh-CN"/>
        </w:rPr>
        <w:t>八</w:t>
      </w:r>
      <w:r>
        <w:rPr>
          <w:rFonts w:hint="eastAsia"/>
          <w:sz w:val="21"/>
          <w:szCs w:val="21"/>
        </w:rPr>
        <w:t>）电梯的功能要求：</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（1） 所投乘客电梯必须满足国家有关强制性要求以及下列功能 （ 包括但不限于）：</w:t>
      </w:r>
    </w:p>
    <w:tbl>
      <w:tblPr>
        <w:tblStyle w:val="28"/>
        <w:tblW w:w="95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2835"/>
        <w:gridCol w:w="52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序号</w:t>
            </w:r>
          </w:p>
        </w:tc>
        <w:tc>
          <w:tcPr>
            <w:tcW w:w="2835"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功能中文名称</w:t>
            </w:r>
          </w:p>
        </w:tc>
        <w:tc>
          <w:tcPr>
            <w:tcW w:w="5209"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功能描述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1</w:t>
            </w:r>
          </w:p>
        </w:tc>
        <w:tc>
          <w:tcPr>
            <w:tcW w:w="2835"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集选运行</w:t>
            </w:r>
          </w:p>
        </w:tc>
        <w:tc>
          <w:tcPr>
            <w:tcW w:w="5209" w:type="dxa"/>
            <w:vAlign w:val="center"/>
          </w:tcPr>
          <w:p>
            <w:pPr>
              <w:pStyle w:val="24"/>
              <w:widowControl w:val="0"/>
              <w:spacing w:beforeAutospacing="0" w:afterAutospacing="0" w:line="360" w:lineRule="auto"/>
              <w:ind w:firstLine="420" w:firstLineChars="200"/>
              <w:jc w:val="left"/>
              <w:textAlignment w:val="baseline"/>
              <w:rPr>
                <w:sz w:val="21"/>
                <w:szCs w:val="21"/>
              </w:rPr>
            </w:pPr>
            <w:r>
              <w:rPr>
                <w:rFonts w:hint="eastAsia"/>
                <w:sz w:val="21"/>
                <w:szCs w:val="21"/>
              </w:rPr>
              <w:t>轿厢内选层指令和厅外楼层召唤指令，自动优选与电梯运行方向一致信号，并顺向依次应答的自助控制功能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2</w:t>
            </w:r>
          </w:p>
        </w:tc>
        <w:tc>
          <w:tcPr>
            <w:tcW w:w="2835"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层高自测定</w:t>
            </w:r>
          </w:p>
        </w:tc>
        <w:tc>
          <w:tcPr>
            <w:tcW w:w="5209" w:type="dxa"/>
            <w:vAlign w:val="center"/>
          </w:tcPr>
          <w:p>
            <w:pPr>
              <w:pStyle w:val="24"/>
              <w:widowControl w:val="0"/>
              <w:spacing w:beforeAutospacing="0" w:afterAutospacing="0" w:line="360" w:lineRule="auto"/>
              <w:ind w:firstLine="420" w:firstLineChars="200"/>
              <w:jc w:val="left"/>
              <w:textAlignment w:val="baseline"/>
              <w:rPr>
                <w:sz w:val="21"/>
                <w:szCs w:val="21"/>
              </w:rPr>
            </w:pPr>
            <w:r>
              <w:rPr>
                <w:rFonts w:hint="eastAsia"/>
                <w:sz w:val="21"/>
                <w:szCs w:val="21"/>
              </w:rPr>
              <w:t>自动测量并记录层高数据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3</w:t>
            </w:r>
          </w:p>
        </w:tc>
        <w:tc>
          <w:tcPr>
            <w:tcW w:w="2835"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电气安全回路</w:t>
            </w:r>
          </w:p>
        </w:tc>
        <w:tc>
          <w:tcPr>
            <w:tcW w:w="5209" w:type="dxa"/>
            <w:vAlign w:val="center"/>
          </w:tcPr>
          <w:p>
            <w:pPr>
              <w:pStyle w:val="24"/>
              <w:widowControl w:val="0"/>
              <w:spacing w:beforeAutospacing="0" w:afterAutospacing="0" w:line="360" w:lineRule="auto"/>
              <w:ind w:firstLine="420" w:firstLineChars="200"/>
              <w:jc w:val="left"/>
              <w:textAlignment w:val="baseline"/>
              <w:rPr>
                <w:sz w:val="21"/>
                <w:szCs w:val="21"/>
              </w:rPr>
            </w:pPr>
            <w:r>
              <w:rPr>
                <w:rFonts w:hint="eastAsia"/>
                <w:sz w:val="21"/>
                <w:szCs w:val="21"/>
              </w:rPr>
              <w:t>串联在一起的电气安全装置一旦动作，则阻止电梯运行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4</w:t>
            </w:r>
          </w:p>
        </w:tc>
        <w:tc>
          <w:tcPr>
            <w:tcW w:w="2835"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逆行运行保护</w:t>
            </w:r>
          </w:p>
        </w:tc>
        <w:tc>
          <w:tcPr>
            <w:tcW w:w="5209" w:type="dxa"/>
            <w:vAlign w:val="center"/>
          </w:tcPr>
          <w:p>
            <w:pPr>
              <w:pStyle w:val="24"/>
              <w:widowControl w:val="0"/>
              <w:spacing w:beforeAutospacing="0" w:afterAutospacing="0" w:line="360" w:lineRule="auto"/>
              <w:ind w:firstLine="420" w:firstLineChars="200"/>
              <w:jc w:val="left"/>
              <w:textAlignment w:val="baseline"/>
              <w:rPr>
                <w:sz w:val="21"/>
                <w:szCs w:val="21"/>
              </w:rPr>
            </w:pPr>
            <w:r>
              <w:rPr>
                <w:rFonts w:hint="eastAsia"/>
                <w:sz w:val="21"/>
                <w:szCs w:val="21"/>
              </w:rPr>
              <w:t>检测到电梯连续 2 秒内运行方向不一致时，则</w:t>
            </w:r>
          </w:p>
          <w:p>
            <w:pPr>
              <w:pStyle w:val="24"/>
              <w:widowControl w:val="0"/>
              <w:spacing w:beforeAutospacing="0" w:afterAutospacing="0" w:line="360" w:lineRule="auto"/>
              <w:ind w:firstLine="420" w:firstLineChars="200"/>
              <w:jc w:val="left"/>
              <w:textAlignment w:val="baseline"/>
              <w:rPr>
                <w:sz w:val="21"/>
                <w:szCs w:val="21"/>
              </w:rPr>
            </w:pPr>
            <w:r>
              <w:rPr>
                <w:rFonts w:hint="eastAsia"/>
                <w:sz w:val="21"/>
                <w:szCs w:val="21"/>
              </w:rPr>
              <w:t>紧急停止电梯运行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5</w:t>
            </w:r>
          </w:p>
        </w:tc>
        <w:tc>
          <w:tcPr>
            <w:tcW w:w="2835"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超速保护</w:t>
            </w:r>
          </w:p>
        </w:tc>
        <w:tc>
          <w:tcPr>
            <w:tcW w:w="5209" w:type="dxa"/>
            <w:vAlign w:val="center"/>
          </w:tcPr>
          <w:p>
            <w:pPr>
              <w:pStyle w:val="24"/>
              <w:widowControl w:val="0"/>
              <w:spacing w:beforeAutospacing="0" w:afterAutospacing="0" w:line="360" w:lineRule="auto"/>
              <w:ind w:firstLine="420" w:firstLineChars="200"/>
              <w:jc w:val="left"/>
              <w:textAlignment w:val="baseline"/>
              <w:rPr>
                <w:sz w:val="21"/>
                <w:szCs w:val="21"/>
              </w:rPr>
            </w:pPr>
            <w:r>
              <w:rPr>
                <w:rFonts w:hint="eastAsia"/>
                <w:sz w:val="21"/>
                <w:szCs w:val="21"/>
              </w:rPr>
              <w:t>检测到电梯速度超出允许值时，则电梯停止运</w:t>
            </w:r>
          </w:p>
          <w:p>
            <w:pPr>
              <w:pStyle w:val="24"/>
              <w:widowControl w:val="0"/>
              <w:spacing w:beforeAutospacing="0" w:afterAutospacing="0" w:line="360" w:lineRule="auto"/>
              <w:ind w:firstLine="420" w:firstLineChars="200"/>
              <w:jc w:val="left"/>
              <w:textAlignment w:val="baseline"/>
              <w:rPr>
                <w:sz w:val="21"/>
                <w:szCs w:val="21"/>
              </w:rPr>
            </w:pPr>
            <w:r>
              <w:rPr>
                <w:rFonts w:hint="eastAsia"/>
                <w:sz w:val="21"/>
                <w:szCs w:val="21"/>
              </w:rPr>
              <w:t>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6</w:t>
            </w:r>
          </w:p>
        </w:tc>
        <w:tc>
          <w:tcPr>
            <w:tcW w:w="2835"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称量启动</w:t>
            </w:r>
          </w:p>
        </w:tc>
        <w:tc>
          <w:tcPr>
            <w:tcW w:w="5209" w:type="dxa"/>
            <w:vAlign w:val="center"/>
          </w:tcPr>
          <w:p>
            <w:pPr>
              <w:pStyle w:val="24"/>
              <w:widowControl w:val="0"/>
              <w:spacing w:beforeAutospacing="0" w:afterAutospacing="0" w:line="360" w:lineRule="auto"/>
              <w:ind w:firstLine="420" w:firstLineChars="200"/>
              <w:jc w:val="left"/>
              <w:textAlignment w:val="baseline"/>
              <w:rPr>
                <w:sz w:val="21"/>
                <w:szCs w:val="21"/>
              </w:rPr>
            </w:pPr>
            <w:r>
              <w:rPr>
                <w:rFonts w:hint="eastAsia"/>
                <w:sz w:val="21"/>
                <w:szCs w:val="21"/>
              </w:rPr>
              <w:t>电梯根据轿厢内的载重自动调整力矩,以使电</w:t>
            </w:r>
          </w:p>
          <w:p>
            <w:pPr>
              <w:pStyle w:val="24"/>
              <w:widowControl w:val="0"/>
              <w:spacing w:beforeAutospacing="0" w:afterAutospacing="0" w:line="360" w:lineRule="auto"/>
              <w:ind w:firstLine="420" w:firstLineChars="200"/>
              <w:jc w:val="left"/>
              <w:textAlignment w:val="baseline"/>
              <w:rPr>
                <w:sz w:val="21"/>
                <w:szCs w:val="21"/>
              </w:rPr>
            </w:pPr>
            <w:r>
              <w:rPr>
                <w:rFonts w:hint="eastAsia"/>
                <w:sz w:val="21"/>
                <w:szCs w:val="21"/>
              </w:rPr>
              <w:t>梯启动平稳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7</w:t>
            </w:r>
          </w:p>
        </w:tc>
        <w:tc>
          <w:tcPr>
            <w:tcW w:w="2835"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电机过热保护</w:t>
            </w:r>
          </w:p>
        </w:tc>
        <w:tc>
          <w:tcPr>
            <w:tcW w:w="5209" w:type="dxa"/>
            <w:vAlign w:val="center"/>
          </w:tcPr>
          <w:p>
            <w:pPr>
              <w:pStyle w:val="24"/>
              <w:widowControl w:val="0"/>
              <w:spacing w:beforeAutospacing="0" w:afterAutospacing="0" w:line="360" w:lineRule="auto"/>
              <w:ind w:firstLine="420" w:firstLineChars="200"/>
              <w:jc w:val="left"/>
              <w:textAlignment w:val="baseline"/>
              <w:rPr>
                <w:sz w:val="21"/>
                <w:szCs w:val="21"/>
              </w:rPr>
            </w:pPr>
            <w:r>
              <w:rPr>
                <w:rFonts w:hint="eastAsia"/>
                <w:sz w:val="21"/>
                <w:szCs w:val="21"/>
              </w:rPr>
              <w:t>检测到电机过热，则停止电梯运行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8</w:t>
            </w:r>
          </w:p>
        </w:tc>
        <w:tc>
          <w:tcPr>
            <w:tcW w:w="2835"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过电压保护</w:t>
            </w:r>
          </w:p>
        </w:tc>
        <w:tc>
          <w:tcPr>
            <w:tcW w:w="5209" w:type="dxa"/>
            <w:vAlign w:val="center"/>
          </w:tcPr>
          <w:p>
            <w:pPr>
              <w:pStyle w:val="24"/>
              <w:widowControl w:val="0"/>
              <w:spacing w:beforeAutospacing="0" w:afterAutospacing="0" w:line="360" w:lineRule="auto"/>
              <w:ind w:firstLine="420" w:firstLineChars="200"/>
              <w:jc w:val="left"/>
              <w:textAlignment w:val="baseline"/>
              <w:rPr>
                <w:sz w:val="21"/>
                <w:szCs w:val="21"/>
              </w:rPr>
            </w:pPr>
            <w:r>
              <w:rPr>
                <w:rFonts w:hint="eastAsia"/>
                <w:sz w:val="21"/>
                <w:szCs w:val="21"/>
              </w:rPr>
              <w:t>检测到整流或逆变装置电压过高，则停止电梯</w:t>
            </w:r>
          </w:p>
          <w:p>
            <w:pPr>
              <w:pStyle w:val="24"/>
              <w:widowControl w:val="0"/>
              <w:spacing w:beforeAutospacing="0" w:afterAutospacing="0" w:line="360" w:lineRule="auto"/>
              <w:ind w:firstLine="420" w:firstLineChars="200"/>
              <w:jc w:val="left"/>
              <w:textAlignment w:val="baseline"/>
              <w:rPr>
                <w:sz w:val="21"/>
                <w:szCs w:val="21"/>
              </w:rPr>
            </w:pPr>
            <w:r>
              <w:rPr>
                <w:rFonts w:hint="eastAsia"/>
                <w:sz w:val="21"/>
                <w:szCs w:val="21"/>
              </w:rPr>
              <w:t>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9</w:t>
            </w:r>
          </w:p>
        </w:tc>
        <w:tc>
          <w:tcPr>
            <w:tcW w:w="2835"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电源故障保护</w:t>
            </w:r>
          </w:p>
        </w:tc>
        <w:tc>
          <w:tcPr>
            <w:tcW w:w="5209"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电源发生短缺相，欠压等故障时，则停止电梯</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10</w:t>
            </w:r>
          </w:p>
        </w:tc>
        <w:tc>
          <w:tcPr>
            <w:tcW w:w="2835"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逆变装置高温检测</w:t>
            </w:r>
          </w:p>
        </w:tc>
        <w:tc>
          <w:tcPr>
            <w:tcW w:w="5209"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检测到逆变装置过热，则停止电梯运行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11</w:t>
            </w:r>
          </w:p>
        </w:tc>
        <w:tc>
          <w:tcPr>
            <w:tcW w:w="2835"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终端强制减速</w:t>
            </w:r>
          </w:p>
        </w:tc>
        <w:tc>
          <w:tcPr>
            <w:tcW w:w="5209"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若轿厢运行到终端而速度还未减到预定值时，</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系统强制减速，使轿厢平层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12</w:t>
            </w:r>
          </w:p>
        </w:tc>
        <w:tc>
          <w:tcPr>
            <w:tcW w:w="2835"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过低速保护</w:t>
            </w:r>
          </w:p>
        </w:tc>
        <w:tc>
          <w:tcPr>
            <w:tcW w:w="5209"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检测到电梯速度低于预定值，电梯停止运行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13</w:t>
            </w:r>
          </w:p>
        </w:tc>
        <w:tc>
          <w:tcPr>
            <w:tcW w:w="2835"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操纵箱微机处理</w:t>
            </w:r>
          </w:p>
        </w:tc>
        <w:tc>
          <w:tcPr>
            <w:tcW w:w="5209"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当操纵箱微机发生异常时，就近停靠后，电梯</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不能运行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14</w:t>
            </w:r>
          </w:p>
        </w:tc>
        <w:tc>
          <w:tcPr>
            <w:tcW w:w="2835"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故障自诊断</w:t>
            </w:r>
          </w:p>
        </w:tc>
        <w:tc>
          <w:tcPr>
            <w:tcW w:w="5209"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对电梯运行过程中的故障机问题进行诊断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15</w:t>
            </w:r>
          </w:p>
        </w:tc>
        <w:tc>
          <w:tcPr>
            <w:tcW w:w="2835"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层站微机异常处理</w:t>
            </w:r>
          </w:p>
        </w:tc>
        <w:tc>
          <w:tcPr>
            <w:tcW w:w="5209"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当层站微机发生异常时，就近停靠后，电梯不</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能运行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16</w:t>
            </w:r>
          </w:p>
        </w:tc>
        <w:tc>
          <w:tcPr>
            <w:tcW w:w="2835"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关门保护</w:t>
            </w:r>
          </w:p>
        </w:tc>
        <w:tc>
          <w:tcPr>
            <w:tcW w:w="5209"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当轿厢们不能完全开启时，门反向开启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17</w:t>
            </w:r>
          </w:p>
        </w:tc>
        <w:tc>
          <w:tcPr>
            <w:tcW w:w="2835"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关门力矩保护</w:t>
            </w:r>
          </w:p>
        </w:tc>
        <w:tc>
          <w:tcPr>
            <w:tcW w:w="5209"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电梯关门遇到额外阻力时，自动增大力矩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18</w:t>
            </w:r>
          </w:p>
        </w:tc>
        <w:tc>
          <w:tcPr>
            <w:tcW w:w="2835"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电梯不启动报警</w:t>
            </w:r>
          </w:p>
        </w:tc>
        <w:tc>
          <w:tcPr>
            <w:tcW w:w="5209"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当层站召唤，矫内指令已登记，但电梯在预定</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时间内未能启动，则清除已分配的层站召唤吗，</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保留矫内召唤，点亮异常灯，异常警铃鸣响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19</w:t>
            </w:r>
          </w:p>
        </w:tc>
        <w:tc>
          <w:tcPr>
            <w:tcW w:w="2835"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层站召唤自动登记</w:t>
            </w:r>
          </w:p>
        </w:tc>
        <w:tc>
          <w:tcPr>
            <w:tcW w:w="5209"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当一台电梯不能带走所有乘客时，该层站按钮</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自动登记等待分配另一台电梯来服务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20</w:t>
            </w:r>
          </w:p>
        </w:tc>
        <w:tc>
          <w:tcPr>
            <w:tcW w:w="2835"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逆行保护</w:t>
            </w:r>
          </w:p>
        </w:tc>
        <w:tc>
          <w:tcPr>
            <w:tcW w:w="5209"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检测到电梯逆行，则停止电梯运行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21</w:t>
            </w:r>
          </w:p>
        </w:tc>
        <w:tc>
          <w:tcPr>
            <w:tcW w:w="2835"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选层器修正</w:t>
            </w:r>
          </w:p>
        </w:tc>
        <w:tc>
          <w:tcPr>
            <w:tcW w:w="5209"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电梯在运行过程中，对选层器进行修正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22</w:t>
            </w:r>
          </w:p>
        </w:tc>
        <w:tc>
          <w:tcPr>
            <w:tcW w:w="2835"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自动再平层</w:t>
            </w:r>
          </w:p>
        </w:tc>
        <w:tc>
          <w:tcPr>
            <w:tcW w:w="5209"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轿厢到站停靠后，轿厢地坎上平面与层门地坎</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上平面之间的垂直方向超过预定值时，电梯自</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动平层（提升高度&lt;60m 时选配）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23</w:t>
            </w:r>
          </w:p>
        </w:tc>
        <w:tc>
          <w:tcPr>
            <w:tcW w:w="2835"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电梯受阻失速保护</w:t>
            </w:r>
          </w:p>
        </w:tc>
        <w:tc>
          <w:tcPr>
            <w:tcW w:w="5209"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当曳引钢丝绳打滑达到预定时间时，电梯停止</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24</w:t>
            </w:r>
          </w:p>
        </w:tc>
        <w:tc>
          <w:tcPr>
            <w:tcW w:w="2835"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轿内反向指令消除</w:t>
            </w:r>
          </w:p>
        </w:tc>
        <w:tc>
          <w:tcPr>
            <w:tcW w:w="5209"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电梯自动运行时，当电梯沿途响应完最后一个</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轿内指令或层站召唤后，系统自动检查并消除</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余下的轿内指令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25</w:t>
            </w:r>
          </w:p>
        </w:tc>
        <w:tc>
          <w:tcPr>
            <w:tcW w:w="2835"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轿内运行方向指示</w:t>
            </w:r>
          </w:p>
        </w:tc>
        <w:tc>
          <w:tcPr>
            <w:tcW w:w="5209"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在轿厢内用箭头表示电梯的运行方向。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26</w:t>
            </w:r>
          </w:p>
        </w:tc>
        <w:tc>
          <w:tcPr>
            <w:tcW w:w="2835"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层站运行方向指示</w:t>
            </w:r>
          </w:p>
        </w:tc>
        <w:tc>
          <w:tcPr>
            <w:tcW w:w="5209"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在层站用箭头表示电梯的运行方向。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27</w:t>
            </w:r>
          </w:p>
        </w:tc>
        <w:tc>
          <w:tcPr>
            <w:tcW w:w="2835"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关门按钮响应指示</w:t>
            </w:r>
          </w:p>
        </w:tc>
        <w:tc>
          <w:tcPr>
            <w:tcW w:w="5209"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按下关门按钮时关门按钮灯同时点亮。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28</w:t>
            </w:r>
          </w:p>
        </w:tc>
        <w:tc>
          <w:tcPr>
            <w:tcW w:w="2835"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换向重开门</w:t>
            </w:r>
          </w:p>
        </w:tc>
        <w:tc>
          <w:tcPr>
            <w:tcW w:w="5209"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电梯门开状态，前行方向上没有轿内指令和层</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站召唤，且该层站的相反方向的层站召唤已被</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登记，电梯关门后立即重开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29</w:t>
            </w:r>
          </w:p>
        </w:tc>
        <w:tc>
          <w:tcPr>
            <w:tcW w:w="2835"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门负载检测</w:t>
            </w:r>
          </w:p>
        </w:tc>
        <w:tc>
          <w:tcPr>
            <w:tcW w:w="5209"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如果门由于超载导致不能完全打开或关闭，电</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梯门将会反方向动作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30</w:t>
            </w:r>
          </w:p>
        </w:tc>
        <w:tc>
          <w:tcPr>
            <w:tcW w:w="2835"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开门按钮响应指示</w:t>
            </w:r>
          </w:p>
        </w:tc>
        <w:tc>
          <w:tcPr>
            <w:tcW w:w="5209"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按下开门按钮时开门按钮灯同时点亮。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31</w:t>
            </w:r>
          </w:p>
        </w:tc>
        <w:tc>
          <w:tcPr>
            <w:tcW w:w="2835"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开门受阻控制</w:t>
            </w:r>
          </w:p>
        </w:tc>
        <w:tc>
          <w:tcPr>
            <w:tcW w:w="5209"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如果电梯开门受阻，立即关门。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32</w:t>
            </w:r>
          </w:p>
        </w:tc>
        <w:tc>
          <w:tcPr>
            <w:tcW w:w="2835"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开门保持时间自动</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调整</w:t>
            </w:r>
          </w:p>
        </w:tc>
        <w:tc>
          <w:tcPr>
            <w:tcW w:w="5209"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根据层站召唤或轿内指令自动调整开门保持时</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33</w:t>
            </w:r>
          </w:p>
        </w:tc>
        <w:tc>
          <w:tcPr>
            <w:tcW w:w="2835"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轿厢应急照明</w:t>
            </w:r>
          </w:p>
        </w:tc>
        <w:tc>
          <w:tcPr>
            <w:tcW w:w="5209"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当正常照明电源断电时，立即提供轿厢照明。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34</w:t>
            </w:r>
          </w:p>
        </w:tc>
        <w:tc>
          <w:tcPr>
            <w:tcW w:w="2835"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实时关门</w:t>
            </w:r>
          </w:p>
        </w:tc>
        <w:tc>
          <w:tcPr>
            <w:tcW w:w="5209"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电梯停站开门后，按下关门按钮，门立即关闭。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35</w:t>
            </w:r>
          </w:p>
        </w:tc>
        <w:tc>
          <w:tcPr>
            <w:tcW w:w="2835"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警铃</w:t>
            </w:r>
          </w:p>
        </w:tc>
        <w:tc>
          <w:tcPr>
            <w:tcW w:w="5209"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紧急时按下该警铃,警铃和通话装置鸣响。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36</w:t>
            </w:r>
          </w:p>
        </w:tc>
        <w:tc>
          <w:tcPr>
            <w:tcW w:w="2835"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检修操作</w:t>
            </w:r>
          </w:p>
        </w:tc>
        <w:tc>
          <w:tcPr>
            <w:tcW w:w="5209"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供维修人员使用的检修运行模式。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37</w:t>
            </w:r>
          </w:p>
        </w:tc>
        <w:tc>
          <w:tcPr>
            <w:tcW w:w="2835"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层站运行控制开关</w:t>
            </w:r>
          </w:p>
        </w:tc>
        <w:tc>
          <w:tcPr>
            <w:tcW w:w="5209"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通过操作指定层站上安装的"运行/停止"钥匙</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开关，开启或关闭电梯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38</w:t>
            </w:r>
          </w:p>
        </w:tc>
        <w:tc>
          <w:tcPr>
            <w:tcW w:w="2835"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多方通话装置</w:t>
            </w:r>
          </w:p>
        </w:tc>
        <w:tc>
          <w:tcPr>
            <w:tcW w:w="5209"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紧急时，轿内或轿顶或底坑的人可以通过该装</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置与机房或监控室的人通话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39</w:t>
            </w:r>
          </w:p>
        </w:tc>
        <w:tc>
          <w:tcPr>
            <w:tcW w:w="2835"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强制关门</w:t>
            </w:r>
          </w:p>
        </w:tc>
        <w:tc>
          <w:tcPr>
            <w:tcW w:w="5209"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如果电梯开门保持时间超过预定值，电梯暂时</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忽略非接触式门传感器的作用，强制关门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40</w:t>
            </w:r>
          </w:p>
        </w:tc>
        <w:tc>
          <w:tcPr>
            <w:tcW w:w="2835"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次层停靠</w:t>
            </w:r>
          </w:p>
        </w:tc>
        <w:tc>
          <w:tcPr>
            <w:tcW w:w="5209"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电梯到达目的层后，若轿厢门不能完全开启，</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则关门前行到下一层，直到门能完全开启后，</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恢复正常运行。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41</w:t>
            </w:r>
          </w:p>
        </w:tc>
        <w:tc>
          <w:tcPr>
            <w:tcW w:w="2835"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超载报警</w:t>
            </w:r>
          </w:p>
        </w:tc>
        <w:tc>
          <w:tcPr>
            <w:tcW w:w="5209"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轿厢超载时，电梯保持开门并且轿内蜂鸣器鸣</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42</w:t>
            </w:r>
          </w:p>
        </w:tc>
        <w:tc>
          <w:tcPr>
            <w:tcW w:w="2835"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上电再平层</w:t>
            </w:r>
          </w:p>
        </w:tc>
        <w:tc>
          <w:tcPr>
            <w:tcW w:w="5209"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由于断电引起轿厢停在门区范围内，当电源恢</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复后轿厢将再平层到平层位置。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43</w:t>
            </w:r>
          </w:p>
        </w:tc>
        <w:tc>
          <w:tcPr>
            <w:tcW w:w="2835"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重复关门</w:t>
            </w:r>
          </w:p>
        </w:tc>
        <w:tc>
          <w:tcPr>
            <w:tcW w:w="5209"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如果关门受阻，电梯就会重复关门动作，直到</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杂物被清除。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44</w:t>
            </w:r>
          </w:p>
        </w:tc>
        <w:tc>
          <w:tcPr>
            <w:tcW w:w="2835"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本层再开门</w:t>
            </w:r>
          </w:p>
        </w:tc>
        <w:tc>
          <w:tcPr>
            <w:tcW w:w="5209"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关门过程中，按同方向层站召唤按钮，电梯重</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新开门。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45</w:t>
            </w:r>
          </w:p>
        </w:tc>
        <w:tc>
          <w:tcPr>
            <w:tcW w:w="2835"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安全停靠</w:t>
            </w:r>
          </w:p>
        </w:tc>
        <w:tc>
          <w:tcPr>
            <w:tcW w:w="5209"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电梯因故停在门区外时，控制器进行安全检测，</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若符合启动要求，则电梯就近停层开门。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46</w:t>
            </w:r>
          </w:p>
        </w:tc>
        <w:tc>
          <w:tcPr>
            <w:tcW w:w="2835"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停层开门</w:t>
            </w:r>
          </w:p>
        </w:tc>
        <w:tc>
          <w:tcPr>
            <w:tcW w:w="5209"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电梯停层后自动开门。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47</w:t>
            </w:r>
          </w:p>
        </w:tc>
        <w:tc>
          <w:tcPr>
            <w:tcW w:w="2835"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独立运行</w:t>
            </w:r>
          </w:p>
        </w:tc>
        <w:tc>
          <w:tcPr>
            <w:tcW w:w="5209"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使用操纵箱内“独立”开关，可以在不中断运</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行的情况下，只响应轿内指令而不响应层站召</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48</w:t>
            </w:r>
          </w:p>
        </w:tc>
        <w:tc>
          <w:tcPr>
            <w:tcW w:w="2835"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消防运行返回</w:t>
            </w:r>
          </w:p>
        </w:tc>
        <w:tc>
          <w:tcPr>
            <w:tcW w:w="5209"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当该开关动作时，取消所有层站和轿内指令，</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返回预定层站开门并停机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49</w:t>
            </w:r>
          </w:p>
        </w:tc>
        <w:tc>
          <w:tcPr>
            <w:tcW w:w="2835"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光幕</w:t>
            </w:r>
          </w:p>
        </w:tc>
        <w:tc>
          <w:tcPr>
            <w:tcW w:w="5209"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利用光幕保护，在关门期间，检测到乘客或物</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体时，重新开门。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50</w:t>
            </w:r>
          </w:p>
        </w:tc>
        <w:tc>
          <w:tcPr>
            <w:tcW w:w="2835"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消防服务</w:t>
            </w:r>
          </w:p>
        </w:tc>
        <w:tc>
          <w:tcPr>
            <w:tcW w:w="5209"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非消防电梯的自动消防迫降功能；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51</w:t>
            </w:r>
          </w:p>
        </w:tc>
        <w:tc>
          <w:tcPr>
            <w:tcW w:w="8044" w:type="dxa"/>
            <w:gridSpan w:val="2"/>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火灾管制运行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52</w:t>
            </w:r>
          </w:p>
        </w:tc>
        <w:tc>
          <w:tcPr>
            <w:tcW w:w="8044" w:type="dxa"/>
            <w:gridSpan w:val="2"/>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双击取消功能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53</w:t>
            </w:r>
          </w:p>
        </w:tc>
        <w:tc>
          <w:tcPr>
            <w:tcW w:w="8044" w:type="dxa"/>
            <w:gridSpan w:val="2"/>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司机操作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54</w:t>
            </w:r>
          </w:p>
        </w:tc>
        <w:tc>
          <w:tcPr>
            <w:tcW w:w="8044" w:type="dxa"/>
            <w:gridSpan w:val="2"/>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关门等待取消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55</w:t>
            </w:r>
          </w:p>
        </w:tc>
        <w:tc>
          <w:tcPr>
            <w:tcW w:w="8044" w:type="dxa"/>
            <w:gridSpan w:val="2"/>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轿厢关门延时保护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56</w:t>
            </w:r>
          </w:p>
        </w:tc>
        <w:tc>
          <w:tcPr>
            <w:tcW w:w="8044" w:type="dxa"/>
            <w:gridSpan w:val="2"/>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机房紧急电动运行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57</w:t>
            </w:r>
          </w:p>
        </w:tc>
        <w:tc>
          <w:tcPr>
            <w:tcW w:w="8044" w:type="dxa"/>
            <w:gridSpan w:val="2"/>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厅、轿门分别控制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58</w:t>
            </w:r>
          </w:p>
        </w:tc>
        <w:tc>
          <w:tcPr>
            <w:tcW w:w="8044" w:type="dxa"/>
            <w:gridSpan w:val="2"/>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轿内语音报站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59</w:t>
            </w:r>
          </w:p>
        </w:tc>
        <w:tc>
          <w:tcPr>
            <w:tcW w:w="8044" w:type="dxa"/>
            <w:gridSpan w:val="2"/>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大厅呼梯指令取消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60</w:t>
            </w:r>
          </w:p>
        </w:tc>
        <w:tc>
          <w:tcPr>
            <w:tcW w:w="8044" w:type="dxa"/>
            <w:gridSpan w:val="2"/>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重新初始化运行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61</w:t>
            </w:r>
          </w:p>
        </w:tc>
        <w:tc>
          <w:tcPr>
            <w:tcW w:w="8044" w:type="dxa"/>
            <w:gridSpan w:val="2"/>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终端楼层保护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62</w:t>
            </w:r>
          </w:p>
        </w:tc>
        <w:tc>
          <w:tcPr>
            <w:tcW w:w="8044" w:type="dxa"/>
            <w:gridSpan w:val="2"/>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满载直驶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63</w:t>
            </w:r>
          </w:p>
        </w:tc>
        <w:tc>
          <w:tcPr>
            <w:tcW w:w="8044" w:type="dxa"/>
            <w:gridSpan w:val="2"/>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自动泊梯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64</w:t>
            </w:r>
          </w:p>
        </w:tc>
        <w:tc>
          <w:tcPr>
            <w:tcW w:w="8044" w:type="dxa"/>
            <w:gridSpan w:val="2"/>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自动返回基站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65</w:t>
            </w:r>
          </w:p>
        </w:tc>
        <w:tc>
          <w:tcPr>
            <w:tcW w:w="8044" w:type="dxa"/>
            <w:gridSpan w:val="2"/>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提前开门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66</w:t>
            </w:r>
          </w:p>
        </w:tc>
        <w:tc>
          <w:tcPr>
            <w:tcW w:w="8044" w:type="dxa"/>
            <w:gridSpan w:val="2"/>
            <w:vAlign w:val="center"/>
          </w:tcPr>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能体现其性能价格比优势的其他功能配置等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pStyle w:val="24"/>
              <w:widowControl w:val="0"/>
              <w:spacing w:beforeAutospacing="0" w:afterAutospacing="0" w:line="360" w:lineRule="auto"/>
              <w:ind w:firstLine="420" w:firstLineChars="200"/>
              <w:textAlignment w:val="baseline"/>
              <w:rPr>
                <w:rFonts w:hint="default" w:eastAsia="宋体"/>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67</w:t>
            </w:r>
          </w:p>
        </w:tc>
        <w:tc>
          <w:tcPr>
            <w:tcW w:w="8044" w:type="dxa"/>
            <w:gridSpan w:val="2"/>
            <w:vAlign w:val="center"/>
          </w:tcPr>
          <w:p>
            <w:pPr>
              <w:pStyle w:val="24"/>
              <w:widowControl w:val="0"/>
              <w:spacing w:beforeAutospacing="0" w:afterAutospacing="0" w:line="360" w:lineRule="auto"/>
              <w:ind w:firstLine="420" w:firstLineChars="200"/>
              <w:textAlignment w:val="baseline"/>
              <w:rPr>
                <w:rFonts w:hint="eastAsia" w:eastAsia="宋体"/>
                <w:color w:val="000000" w:themeColor="text1"/>
                <w:sz w:val="21"/>
                <w:szCs w:val="21"/>
                <w:lang w:eastAsia="zh-CN"/>
                <w14:textFill>
                  <w14:solidFill>
                    <w14:schemeClr w14:val="tx1"/>
                  </w14:solidFill>
                </w14:textFill>
              </w:rPr>
            </w:pPr>
            <w:r>
              <w:rPr>
                <w:rFonts w:hint="eastAsia"/>
                <w:color w:val="000000" w:themeColor="text1"/>
                <w:sz w:val="21"/>
                <w:szCs w:val="21"/>
                <w:lang w:eastAsia="zh-CN"/>
                <w14:textFill>
                  <w14:solidFill>
                    <w14:schemeClr w14:val="tx1"/>
                  </w14:solidFill>
                </w14:textFill>
              </w:rPr>
              <w:t>电梯专用空调（冷暖两用）</w:t>
            </w:r>
          </w:p>
        </w:tc>
      </w:tr>
    </w:tbl>
    <w:p>
      <w:pPr>
        <w:pStyle w:val="24"/>
        <w:widowControl w:val="0"/>
        <w:spacing w:beforeAutospacing="0" w:afterAutospacing="0" w:line="360" w:lineRule="auto"/>
        <w:textAlignment w:val="baseline"/>
        <w:rPr>
          <w:sz w:val="21"/>
          <w:szCs w:val="21"/>
        </w:rPr>
      </w:pP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（2）所投的消防员电梯必须增加以下功能：</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①消防电源（ 含采购人的配电柜到电梯控制柜的电缆线）：</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消防员电梯应有两路电源。除日常线路所提供的电源外，供给消防员电梯的专用应急电源应采用专用供电回路，并设有明显标志，使之不受火灾断电影响。</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②专用按钮：</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在首层电梯门口的适当位置设有供消防队员专用的操作按钮。操作按钮一般用玻璃片保护，并在适当位置设有红色的“消防专用”等字样。</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③当正常电源断电时，其他电梯内的照明无电，而该电梯内仍有照明。</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④专用电话及操纵按钮：</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消防员电梯轿厢操纵箱与所投电梯同品牌，且必须满足国标要求电气开关防护等级。轿厢内应设有专用电话和操纵按钮（指消防队员自己操纵电梯的装置），以便消防队员在灭火救援中保持与外界的联系，也可以与消防控制中心直接联络。</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⑤功能转换：</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平时，消防员电梯可以作为工作电梯使用，火灾时转为消防员电梯。其控制系统中应设置转换装置，以便火灾时能迅速改变使用条件，适应消防员电梯的特殊要求。</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⑥国家规定的消防员电梯应有的其他强制性功能要求及该品牌消防员电梯的厂家标配功能。</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（3）投标人所投的曳引式客梯中的无障碍功能包括但不限于以下功能：</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lang w:val="en-US" w:eastAsia="zh-CN"/>
        </w:rPr>
        <w:t>1、</w:t>
      </w:r>
      <w:r>
        <w:rPr>
          <w:rFonts w:hint="eastAsia"/>
          <w:sz w:val="21"/>
          <w:szCs w:val="21"/>
        </w:rPr>
        <w:t>副操纵箱，开门正对面配置半身镜，盲文按钮。</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2、投标人所投所有电梯必须满足或优于上述的功能要求；优于上述功能要求的则视为投标人所投型号自带功能，若成交供应商因此提出追加合同价款，采购人将概不接受。</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w:t>
      </w:r>
      <w:r>
        <w:rPr>
          <w:rFonts w:hint="eastAsia"/>
          <w:sz w:val="21"/>
          <w:szCs w:val="21"/>
          <w:lang w:eastAsia="zh-CN"/>
        </w:rPr>
        <w:t>九</w:t>
      </w:r>
      <w:r>
        <w:rPr>
          <w:rFonts w:hint="eastAsia"/>
          <w:sz w:val="21"/>
          <w:szCs w:val="21"/>
        </w:rPr>
        <w:t>）投标文件请注明以下各项</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1、整机性能达到中国质量验收标准；</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2、提供主要部件清单；</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3、电梯的其他功能各投标人应在投标书中详细列出；</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4、投标人必须提供关键部件如曳引机、变频器的使用年限，以及控制计算机模块、主钢绳、随行电缆、门机等的使用寿命指标。</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w:t>
      </w:r>
      <w:r>
        <w:rPr>
          <w:rFonts w:hint="eastAsia"/>
          <w:sz w:val="21"/>
          <w:szCs w:val="21"/>
          <w:lang w:eastAsia="zh-CN"/>
        </w:rPr>
        <w:t>十</w:t>
      </w:r>
      <w:r>
        <w:rPr>
          <w:rFonts w:hint="eastAsia"/>
          <w:sz w:val="21"/>
          <w:szCs w:val="21"/>
        </w:rPr>
        <w:t>）承包方式 ：</w:t>
      </w:r>
    </w:p>
    <w:p>
      <w:pPr>
        <w:pStyle w:val="24"/>
        <w:widowControl w:val="0"/>
        <w:spacing w:beforeAutospacing="0" w:afterAutospacing="0" w:line="360" w:lineRule="auto"/>
        <w:ind w:firstLine="420" w:firstLineChars="200"/>
        <w:textAlignment w:val="baseline"/>
        <w:rPr>
          <w:rFonts w:hint="eastAsia"/>
          <w:b/>
          <w:color w:val="FF0000"/>
          <w:lang w:val="en-US" w:eastAsia="zh-CN"/>
        </w:rPr>
      </w:pPr>
      <w:r>
        <w:rPr>
          <w:rFonts w:hint="eastAsia"/>
          <w:sz w:val="21"/>
          <w:szCs w:val="21"/>
        </w:rPr>
        <w:t>包设计、生产、包供应（含主机、附件、辅材、备品备件、专用工具等）、包运输、保险、包安装（含施工）、包工期、包质量、包调试、包通过检测验收、包培训、包售后服务等交钥匙承包方式。</w:t>
      </w:r>
    </w:p>
    <w:p>
      <w:pPr>
        <w:pStyle w:val="24"/>
        <w:widowControl w:val="0"/>
        <w:spacing w:beforeAutospacing="0" w:afterAutospacing="0" w:line="360" w:lineRule="auto"/>
        <w:textAlignment w:val="baseline"/>
        <w:rPr>
          <w:b/>
        </w:rPr>
      </w:pPr>
      <w:r>
        <w:rPr>
          <w:rFonts w:hint="eastAsia"/>
          <w:b/>
        </w:rPr>
        <w:t>二、商务要求：</w:t>
      </w:r>
    </w:p>
    <w:p>
      <w:pPr>
        <w:pStyle w:val="24"/>
        <w:widowControl w:val="0"/>
        <w:spacing w:beforeAutospacing="0" w:afterAutospacing="0" w:line="360" w:lineRule="auto"/>
        <w:ind w:firstLine="211" w:firstLineChars="100"/>
        <w:textAlignment w:val="baseline"/>
        <w:rPr>
          <w:b/>
          <w:bCs/>
          <w:sz w:val="21"/>
          <w:szCs w:val="21"/>
        </w:rPr>
      </w:pPr>
      <w:r>
        <w:rPr>
          <w:rFonts w:hint="eastAsia"/>
          <w:b/>
          <w:bCs/>
          <w:sz w:val="21"/>
          <w:szCs w:val="21"/>
        </w:rPr>
        <w:t>（一）商品质量要求及供方对质量保证条件和售后服务。</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1、（1） 成交供应商为制造商的，必须在赣州市中心城区（章贡区或赣州市经济技术开发区或南康区或蓉江新区或赣县区）设立或委托维保机构，且在签订合同后15天内提供维保机构的营业执照，其注册地址必须在赣州市中心城区（章贡区或赣州经济技术开发区或南康区或蓉江新区或赣县区）范围内【或者提供质量技术监督局出具的其已经在赣州市中心城区设立常驻维保机构（分公司或工作站）的备案手续材料】；委托维保机构（工作站）的，则应提供委托协议、被委托方的《中华人民共和国特种设备安装改造维修许可证》B级及以上。</w:t>
      </w:r>
    </w:p>
    <w:p>
      <w:pPr>
        <w:pStyle w:val="24"/>
        <w:widowControl w:val="0"/>
        <w:spacing w:beforeAutospacing="0" w:afterAutospacing="0" w:line="360" w:lineRule="auto"/>
        <w:ind w:firstLine="630" w:firstLineChars="300"/>
        <w:textAlignment w:val="baseline"/>
        <w:rPr>
          <w:sz w:val="21"/>
          <w:szCs w:val="21"/>
        </w:rPr>
      </w:pPr>
      <w:r>
        <w:rPr>
          <w:rFonts w:hint="eastAsia"/>
          <w:sz w:val="21"/>
          <w:szCs w:val="21"/>
        </w:rPr>
        <w:t>（2）成交供应商为代理商的，必须在赣州市中心城区（章贡区或赣州市经济技术开发区或南康区或蓉江新区或赣县区）设立维保机构 ，且在签订合同后15天内提供维保机构的营业执照，且营业执照的注册地址必须在赣州市中心城区（章贡区或赣州经济技术开发区或南康区或蓉江新区或赣县区）范围内或者提供质量技术监督局出具的其已经在赣州市中心城区（章贡区或赣州经济技术开发区或南康区或蓉江新区或赣县区）自行设立常驻维保机构（分公司或工作站）的备案手续材料。</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2、确保提供的货物是全新、优质、合格的产品，符合国家的质量标准，并向采购人提供相关设备技术资料（中文资料）。</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3、在质量保证期内，凡因正常使用出现的质量问题，供货商应提供免费维修或更换，在制造商（供货商维修服务点）维修时，供货商应支付设备或组件的包装和运费。对更换或修复的零部件从更换或修复之日起重新计算质量保证期。</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4、严格执行厂家的保修规定，在质量保证期内，如电梯发生故障，成交供应商应免费提供咨询、维修服务（含易损备品备件的免费更换，并无偿提供应急专用工具一套，并在投标文件中详细列明清单），并承诺生产厂商设备故障的维修响应时效。维护保养人员不能排除故障时，成交供应商应负责请电梯生产厂家派技术人员到现场解决故障问题，相关费用由成交供应商负责。质量保证期满后，设备需维修的，厂方应本着微利服务原则，按最低价格收取维修费。</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5、在质量保证期内，成交供应商应按照招标文件和维护保养合同的要求进行维护保养，若成交供应商未尽到维保义务，则采购人有权根据双方签订的维保合同酌情扣除或拒付余款（质量保证期内每月至少两次例行定期上门维保）；质量保证期满后，投标人应承诺为采购人提供长期优惠维护、保养及售后服务。列出质量保证期过后维护及保养服务费用的详细说明。</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6、供应商对合同条款和技术规格中要求的安装、调试、验收、技术培训、售后服务等方面做出详细承诺。</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7、成交供应商在赣州市中心城区（章贡区或赣州经济技术开发区或南康区或蓉江新区或赣县区）具有备品备件库，以备及时维修和更换产品部件。</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8、成交供应商在电梯安装完成，验收合格后，应及时对电梯进行成品保护，轿厢内壁和地面应设置保护板。维护时间不少于 12 个月，到期后（以采购人通知为准）负责拆除。</w:t>
      </w:r>
    </w:p>
    <w:p>
      <w:pPr>
        <w:pStyle w:val="24"/>
        <w:widowControl w:val="0"/>
        <w:spacing w:beforeAutospacing="0" w:afterAutospacing="0" w:line="360" w:lineRule="auto"/>
        <w:ind w:firstLine="211" w:firstLineChars="100"/>
        <w:textAlignment w:val="baseline"/>
        <w:rPr>
          <w:b/>
          <w:bCs/>
          <w:sz w:val="21"/>
          <w:szCs w:val="21"/>
        </w:rPr>
      </w:pPr>
      <w:r>
        <w:rPr>
          <w:rFonts w:hint="eastAsia"/>
          <w:b/>
          <w:bCs/>
          <w:sz w:val="21"/>
          <w:szCs w:val="21"/>
        </w:rPr>
        <w:t>（二）交货时间及地点：</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签订正式合同后，根据现场土建施工进度，采购人将提前通知供货的具体时间，成交供应商必须按采购人规定的时间将设备运到现场，保证在接到采购人通知供货之日起的45天内完成所有电梯的供货、安装、调试。</w:t>
      </w:r>
    </w:p>
    <w:p>
      <w:pPr>
        <w:pStyle w:val="24"/>
        <w:widowControl w:val="0"/>
        <w:numPr>
          <w:ilvl w:val="0"/>
          <w:numId w:val="8"/>
        </w:numPr>
        <w:spacing w:beforeAutospacing="0" w:afterAutospacing="0" w:line="360" w:lineRule="auto"/>
        <w:ind w:firstLine="211" w:firstLineChars="100"/>
        <w:textAlignment w:val="baseline"/>
        <w:rPr>
          <w:b/>
          <w:bCs/>
          <w:sz w:val="21"/>
          <w:szCs w:val="21"/>
        </w:rPr>
      </w:pPr>
      <w:r>
        <w:rPr>
          <w:rFonts w:hint="eastAsia"/>
          <w:b/>
          <w:bCs/>
          <w:sz w:val="21"/>
          <w:szCs w:val="21"/>
        </w:rPr>
        <w:t>验收方式：</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（1）采购人在设备制造过程中将派人到生产厂家进行监制，并在设备发货前十天赴生产厂进行预验收，成交供应商应予以积极配合并对监制、提供凭证或预验收工作提供方便。</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2）在交货前，成交供应商应对货物的质量、规格、性能、数量和重量等进行准确而全面的检验，并出具一份证明货物符合合同规定的检验证书。该证书是付款所需文件的组成部分，但不能作为有关质量、规格、性能、数量和重量的最终检验。成交供应商检验的结果和细节应在质量证书中加以说明。</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3）如果货物的质量和规格与合同不符，或在规定的质量保证期内证实货物具有缺陷的，包括潜在缺陷或使用不符合要求的材料，采购人应报请本地技术监督部门或有关部门进行检验，并有权凭上述部门出具的质检证书向成交供应商提出索赔。</w:t>
      </w:r>
    </w:p>
    <w:p>
      <w:pPr>
        <w:autoSpaceDE w:val="0"/>
        <w:autoSpaceDN w:val="0"/>
        <w:adjustRightInd w:val="0"/>
        <w:snapToGrid w:val="0"/>
        <w:spacing w:line="360" w:lineRule="auto"/>
        <w:ind w:right="32" w:firstLine="211" w:firstLineChars="100"/>
        <w:rPr>
          <w:b/>
          <w:bCs/>
          <w:szCs w:val="21"/>
          <w:lang w:val="zh-CN"/>
        </w:rPr>
      </w:pPr>
      <w:r>
        <w:rPr>
          <w:rFonts w:hint="eastAsia"/>
          <w:b/>
          <w:bCs/>
          <w:szCs w:val="21"/>
        </w:rPr>
        <w:t>（四）</w:t>
      </w:r>
      <w:r>
        <w:rPr>
          <w:rFonts w:hint="eastAsia"/>
          <w:b/>
          <w:bCs/>
          <w:szCs w:val="21"/>
          <w:lang w:val="zh-CN"/>
        </w:rPr>
        <w:t>履约保证金</w:t>
      </w:r>
    </w:p>
    <w:p>
      <w:pPr>
        <w:autoSpaceDE w:val="0"/>
        <w:autoSpaceDN w:val="0"/>
        <w:adjustRightInd w:val="0"/>
        <w:snapToGrid w:val="0"/>
        <w:spacing w:line="360" w:lineRule="auto"/>
        <w:ind w:right="32" w:firstLine="420" w:firstLineChars="200"/>
        <w:rPr>
          <w:rFonts w:ascii="宋体" w:hAnsi="宋体"/>
          <w:kern w:val="0"/>
          <w:szCs w:val="21"/>
          <w:lang w:val="zh-CN"/>
        </w:rPr>
      </w:pPr>
      <w:r>
        <w:rPr>
          <w:rFonts w:hint="eastAsia" w:ascii="宋体" w:hAnsi="宋体"/>
          <w:kern w:val="0"/>
          <w:szCs w:val="21"/>
          <w:lang w:val="zh-CN"/>
        </w:rPr>
        <w:t>成交供应商投标保证金自动转为合同履约保证金，且须在发放中标通知书后</w:t>
      </w:r>
      <w:r>
        <w:rPr>
          <w:rFonts w:hint="eastAsia" w:ascii="宋体" w:hAnsi="宋体"/>
          <w:kern w:val="0"/>
          <w:szCs w:val="21"/>
        </w:rPr>
        <w:t>5</w:t>
      </w:r>
      <w:r>
        <w:rPr>
          <w:rFonts w:hint="eastAsia" w:ascii="宋体" w:hAnsi="宋体"/>
          <w:kern w:val="0"/>
          <w:szCs w:val="21"/>
          <w:lang w:val="zh-CN"/>
        </w:rPr>
        <w:t>日内向采购人缴足中标总价10%的履约保证金，否则采购人将取消其中标资格并将其列入我行采购供应商黑名单，投标保证金不予退还。履约保证金在项目验收后无息退还给成交供应商，成交供应商未按合同约定履行义务时，履约保证金不予退还。</w:t>
      </w:r>
    </w:p>
    <w:p>
      <w:pPr>
        <w:autoSpaceDE w:val="0"/>
        <w:autoSpaceDN w:val="0"/>
        <w:adjustRightInd w:val="0"/>
        <w:snapToGrid w:val="0"/>
        <w:spacing w:line="360" w:lineRule="auto"/>
        <w:ind w:right="32" w:firstLine="211" w:firstLineChars="100"/>
        <w:rPr>
          <w:b/>
          <w:bCs/>
          <w:szCs w:val="21"/>
          <w:lang w:val="zh-CN"/>
        </w:rPr>
      </w:pPr>
      <w:r>
        <w:rPr>
          <w:rFonts w:hint="eastAsia"/>
          <w:b/>
          <w:bCs/>
          <w:szCs w:val="21"/>
          <w:lang w:val="zh-CN"/>
        </w:rPr>
        <w:t>（五）安全生产与文明施工要求</w:t>
      </w:r>
    </w:p>
    <w:p>
      <w:pPr>
        <w:autoSpaceDE w:val="0"/>
        <w:autoSpaceDN w:val="0"/>
        <w:adjustRightInd w:val="0"/>
        <w:snapToGrid w:val="0"/>
        <w:spacing w:line="360" w:lineRule="auto"/>
        <w:ind w:right="32" w:firstLine="420" w:firstLineChars="200"/>
        <w:rPr>
          <w:rFonts w:ascii="宋体" w:hAnsi="宋体"/>
          <w:kern w:val="0"/>
          <w:szCs w:val="21"/>
          <w:lang w:val="zh-CN"/>
        </w:rPr>
      </w:pPr>
      <w:r>
        <w:rPr>
          <w:rFonts w:hint="eastAsia" w:ascii="宋体" w:hAnsi="宋体"/>
          <w:kern w:val="0"/>
          <w:szCs w:val="21"/>
          <w:lang w:val="zh-CN"/>
        </w:rPr>
        <w:t>（1）本工程必须做到安全生产、文明施工，杜绝运输、施工安全事故的发生；乙方在运输、安装、调试、验收阶段若发生一起较大及以上等级施工安全事故，扣除成交供应商履约保证金的10%，乙方还应承担因此而发生的人身损害及财产损失赔偿责任，甲方不承担任何责任；若发生一起一般生产安全事故，扣除成交供应商履约保证金的5%，成交供应商还应承担因此而发生的人身损害及财产损失赔偿责任，甲方不承担任何责任；</w:t>
      </w:r>
    </w:p>
    <w:p>
      <w:pPr>
        <w:autoSpaceDE w:val="0"/>
        <w:autoSpaceDN w:val="0"/>
        <w:adjustRightInd w:val="0"/>
        <w:snapToGrid w:val="0"/>
        <w:spacing w:line="360" w:lineRule="auto"/>
        <w:ind w:right="32" w:firstLine="420" w:firstLineChars="200"/>
        <w:rPr>
          <w:rFonts w:ascii="宋体" w:hAnsi="宋体"/>
          <w:kern w:val="0"/>
          <w:szCs w:val="21"/>
        </w:rPr>
      </w:pPr>
      <w:r>
        <w:rPr>
          <w:rFonts w:hint="eastAsia" w:ascii="宋体" w:hAnsi="宋体"/>
          <w:kern w:val="0"/>
          <w:szCs w:val="21"/>
          <w:lang w:val="zh-CN"/>
        </w:rPr>
        <w:t>（2）生产安全事故等级按照中华人民共和国国务院令第493号“生产安全事故报告和调查处理条例”规定的标准划分。</w:t>
      </w:r>
    </w:p>
    <w:p>
      <w:pPr>
        <w:pStyle w:val="24"/>
        <w:widowControl w:val="0"/>
        <w:spacing w:beforeAutospacing="0" w:afterAutospacing="0" w:line="360" w:lineRule="auto"/>
        <w:ind w:firstLine="422" w:firstLineChars="200"/>
        <w:textAlignment w:val="baseline"/>
        <w:rPr>
          <w:b/>
          <w:bCs/>
          <w:sz w:val="21"/>
          <w:szCs w:val="21"/>
        </w:rPr>
      </w:pPr>
      <w:r>
        <w:rPr>
          <w:rFonts w:hint="eastAsia"/>
          <w:b/>
          <w:bCs/>
          <w:sz w:val="21"/>
          <w:szCs w:val="21"/>
        </w:rPr>
        <w:t>（六）付款方式：</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（1）以人民币付款；</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2）在合同签订后接采购人供货通知后15天内，向成交供应商预付电梯设备货款的40％；完成电梯设备安装调试后，支付至电梯设备款与安装费之和的90%；经质量技术检验机构验收合格后15天内支付至电梯设备款与安装费之和的95%,余款电梯设备质量保修期过后15天内一次性付清（不计利息）；</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（3）每次向成交供应商付款，成交供应商必须提供等额正式发票。</w:t>
      </w:r>
    </w:p>
    <w:p>
      <w:pPr>
        <w:pStyle w:val="24"/>
        <w:widowControl w:val="0"/>
        <w:spacing w:beforeAutospacing="0" w:afterAutospacing="0" w:line="360" w:lineRule="auto"/>
        <w:ind w:firstLine="422" w:firstLineChars="200"/>
        <w:textAlignment w:val="baseline"/>
        <w:rPr>
          <w:b/>
          <w:bCs/>
          <w:sz w:val="21"/>
          <w:szCs w:val="21"/>
        </w:rPr>
      </w:pPr>
      <w:r>
        <w:rPr>
          <w:rFonts w:hint="eastAsia"/>
          <w:b/>
          <w:bCs/>
          <w:sz w:val="21"/>
          <w:szCs w:val="21"/>
        </w:rPr>
        <w:t>（七）违约责任及赔付：</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（1）成交供应商应按照合同规定的日期将货物交付采购人使用，并按期完成安装调试工作，每逾期交货、交付一天罚合同价款的5‰ 。</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（2）如果成交供应商毫无理由地拖延交货和完工，将受到以下制裁：没收履约保证金，加收罚款或按违约终止合同。</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3）履行合同过程中，如果成交供应商遇到不能按时交货和按期完工的情况，应及时以书面形式将不能按时交货和完工的理由、延误时间通知采购人。采购人在收到成交供应商通知后，应对情况进行分析，决定是否修改合同、酌情延长交货时间或终止合同。</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（4）成交供应商不能交货，应向采购人退还已付款，没收履约保证金，并赔偿合同总价款的20%的违约金。</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（5）保修期内如重大部件(曳引机、控制柜、门机及门保护系统、安全设备)故障率超过3次/每年/台，每超过一次由成交供应商免费为采购人顺延质保期半年。</w:t>
      </w:r>
    </w:p>
    <w:p>
      <w:pPr>
        <w:pStyle w:val="24"/>
        <w:widowControl w:val="0"/>
        <w:spacing w:beforeAutospacing="0" w:afterAutospacing="0" w:line="360" w:lineRule="auto"/>
        <w:ind w:firstLine="420" w:firstLineChars="200"/>
        <w:textAlignment w:val="baseline"/>
        <w:rPr>
          <w:sz w:val="21"/>
          <w:szCs w:val="21"/>
        </w:rPr>
      </w:pPr>
      <w:r>
        <w:rPr>
          <w:rFonts w:hint="eastAsia"/>
          <w:sz w:val="21"/>
          <w:szCs w:val="21"/>
        </w:rPr>
        <w:t>（6）质保期内电梯发生故障，如成交供应商在接到采购人通知后未能及时在2小时内赶到现场维修电梯，每超过一次罚款1000元。</w:t>
      </w:r>
    </w:p>
    <w:p>
      <w:pPr>
        <w:pStyle w:val="24"/>
        <w:widowControl w:val="0"/>
        <w:spacing w:beforeAutospacing="0" w:afterAutospacing="0" w:line="360" w:lineRule="auto"/>
        <w:ind w:firstLine="422" w:firstLineChars="200"/>
        <w:textAlignment w:val="baseline"/>
        <w:rPr>
          <w:sz w:val="21"/>
          <w:szCs w:val="21"/>
        </w:rPr>
      </w:pPr>
      <w:r>
        <w:rPr>
          <w:rFonts w:hint="eastAsia"/>
          <w:b/>
          <w:bCs/>
          <w:sz w:val="21"/>
          <w:szCs w:val="21"/>
        </w:rPr>
        <w:t>（八）其他要求：</w:t>
      </w:r>
    </w:p>
    <w:p>
      <w:pPr>
        <w:pStyle w:val="24"/>
        <w:keepNext w:val="0"/>
        <w:keepLines w:val="0"/>
        <w:pageBreakBefore w:val="0"/>
        <w:widowControl w:val="0"/>
        <w:kinsoku/>
        <w:wordWrap/>
        <w:overflowPunct/>
        <w:topLinePunct w:val="0"/>
        <w:autoSpaceDE/>
        <w:autoSpaceDN/>
        <w:bidi w:val="0"/>
        <w:adjustRightInd/>
        <w:snapToGrid/>
        <w:spacing w:beforeAutospacing="0" w:afterAutospacing="0" w:line="348" w:lineRule="auto"/>
        <w:ind w:firstLine="420" w:firstLineChars="200"/>
        <w:textAlignment w:val="baseline"/>
        <w:rPr>
          <w:sz w:val="21"/>
          <w:szCs w:val="21"/>
        </w:rPr>
      </w:pPr>
      <w:r>
        <w:rPr>
          <w:rFonts w:hint="eastAsia"/>
          <w:sz w:val="21"/>
          <w:szCs w:val="21"/>
        </w:rPr>
        <w:t>（1）合同签订后，成交供应商十天内提供机房、井道的土建相关施工图纸；若井道尺寸大于招标文件提供的井道尺寸，成交供应商应对自身的井道图纸进行调整。</w:t>
      </w:r>
    </w:p>
    <w:p>
      <w:pPr>
        <w:pStyle w:val="24"/>
        <w:keepNext w:val="0"/>
        <w:keepLines w:val="0"/>
        <w:pageBreakBefore w:val="0"/>
        <w:widowControl w:val="0"/>
        <w:kinsoku/>
        <w:wordWrap/>
        <w:overflowPunct/>
        <w:topLinePunct w:val="0"/>
        <w:autoSpaceDE/>
        <w:autoSpaceDN/>
        <w:bidi w:val="0"/>
        <w:adjustRightInd/>
        <w:snapToGrid/>
        <w:spacing w:beforeAutospacing="0" w:afterAutospacing="0" w:line="348" w:lineRule="auto"/>
        <w:ind w:firstLine="420" w:firstLineChars="200"/>
        <w:textAlignment w:val="baseline"/>
        <w:rPr>
          <w:sz w:val="21"/>
          <w:szCs w:val="21"/>
        </w:rPr>
      </w:pPr>
      <w:r>
        <w:rPr>
          <w:rFonts w:hint="eastAsia"/>
          <w:sz w:val="21"/>
          <w:szCs w:val="21"/>
        </w:rPr>
        <w:t>（2）投标人在开标前需自行根据采购人提供的项目图纸等相关资料及现场察看情况，在合同签订后十天内，提供井道布置、孔洞土建结构预埋件、留孔图及土建相关施工图纸资料；若井道实际尺寸与招标文件提供的井道尺寸有细微偏差，成交供应商应自行修整井道细微偏差，费用包含在中标价中不予调整。</w:t>
      </w:r>
    </w:p>
    <w:p>
      <w:pPr>
        <w:pStyle w:val="24"/>
        <w:keepNext w:val="0"/>
        <w:keepLines w:val="0"/>
        <w:pageBreakBefore w:val="0"/>
        <w:widowControl w:val="0"/>
        <w:kinsoku/>
        <w:wordWrap/>
        <w:overflowPunct/>
        <w:topLinePunct w:val="0"/>
        <w:autoSpaceDE/>
        <w:autoSpaceDN/>
        <w:bidi w:val="0"/>
        <w:adjustRightInd/>
        <w:snapToGrid/>
        <w:spacing w:beforeAutospacing="0" w:afterAutospacing="0" w:line="348" w:lineRule="auto"/>
        <w:ind w:firstLine="420" w:firstLineChars="200"/>
        <w:textAlignment w:val="baseline"/>
        <w:rPr>
          <w:sz w:val="21"/>
          <w:szCs w:val="21"/>
        </w:rPr>
      </w:pPr>
      <w:r>
        <w:rPr>
          <w:rFonts w:hint="eastAsia"/>
          <w:sz w:val="21"/>
          <w:szCs w:val="21"/>
        </w:rPr>
        <w:t>（3）施工工期要求:本项目为交钥匙工程，工期从发放中标通知书后45天内完成并交付使用。合同签订后，成交供应商应及时派安装人员配合土建完成相应的预埋工作，成交供应商应主动向采购人跟踪供货日期，确保能满足施工进度，成交供应商必须在采购人要求的工期内完成电梯安装调试工作。成交供应商精心组织施工，确保工程建设按总进度计划和单体计划进行，并按期或提前竣工。工程施工按设备到场、安装调试、竣工验收的施工阶段实际完成时间与计划时间进行阶段性核对。因成交供应商原因出现阶段性拖延的，拖延3天以上，采购人或监理发出书面警告；拖延一周以上的采购人或监理发出书面警告，并处以5000元罚款；拖延半个月以上的，采购人或监理联合发出书面严重警告，并处以10000元罚款；工期拖延后经成交供应商采取积极措施，在此后的施工阶段将进度赶上，按原进度计划完成的，此前所罚款项全额退回（不计利息）；拖延半个月以上，成交供应商不采取措施的，工期处于停工、半停工状态的，采购人有权终止合同。因采购人原因造成工期延误，采购人不承担任何经济赔偿责任，只给予工期顺延。</w:t>
      </w:r>
    </w:p>
    <w:p>
      <w:pPr>
        <w:pStyle w:val="24"/>
        <w:keepNext w:val="0"/>
        <w:keepLines w:val="0"/>
        <w:pageBreakBefore w:val="0"/>
        <w:widowControl w:val="0"/>
        <w:kinsoku/>
        <w:wordWrap/>
        <w:overflowPunct/>
        <w:topLinePunct w:val="0"/>
        <w:autoSpaceDE/>
        <w:autoSpaceDN/>
        <w:bidi w:val="0"/>
        <w:adjustRightInd/>
        <w:snapToGrid/>
        <w:spacing w:beforeAutospacing="0" w:afterAutospacing="0" w:line="348" w:lineRule="auto"/>
        <w:ind w:firstLine="420" w:firstLineChars="200"/>
        <w:textAlignment w:val="baseline"/>
        <w:rPr>
          <w:sz w:val="21"/>
          <w:szCs w:val="21"/>
        </w:rPr>
      </w:pPr>
      <w:r>
        <w:rPr>
          <w:rFonts w:hint="eastAsia"/>
          <w:sz w:val="21"/>
          <w:szCs w:val="21"/>
        </w:rPr>
        <w:t>（4）电梯经质检部门检测验收合格后，成交供应商须负责人员的培训，要将钥匙和原始密码（如果有）移交给采购人。</w:t>
      </w:r>
    </w:p>
    <w:p>
      <w:pPr>
        <w:pStyle w:val="24"/>
        <w:keepNext w:val="0"/>
        <w:keepLines w:val="0"/>
        <w:pageBreakBefore w:val="0"/>
        <w:widowControl w:val="0"/>
        <w:kinsoku/>
        <w:wordWrap/>
        <w:overflowPunct/>
        <w:topLinePunct w:val="0"/>
        <w:autoSpaceDE/>
        <w:autoSpaceDN/>
        <w:bidi w:val="0"/>
        <w:adjustRightInd/>
        <w:snapToGrid/>
        <w:spacing w:beforeAutospacing="0" w:afterAutospacing="0" w:line="348" w:lineRule="auto"/>
        <w:ind w:firstLine="420" w:firstLineChars="200"/>
        <w:textAlignment w:val="baseline"/>
        <w:rPr>
          <w:sz w:val="21"/>
          <w:szCs w:val="21"/>
        </w:rPr>
      </w:pPr>
      <w:r>
        <w:rPr>
          <w:rFonts w:hint="eastAsia"/>
          <w:sz w:val="21"/>
          <w:szCs w:val="21"/>
        </w:rPr>
        <w:t>（5）因成交供应商原因造成质量不符合验收标准，应进行返工直至验收合格为止，并承担返工所发生的一切费用，对采购人造成损害的，应负责全额赔偿。</w:t>
      </w:r>
    </w:p>
    <w:p>
      <w:pPr>
        <w:pStyle w:val="24"/>
        <w:keepNext w:val="0"/>
        <w:keepLines w:val="0"/>
        <w:pageBreakBefore w:val="0"/>
        <w:widowControl w:val="0"/>
        <w:kinsoku/>
        <w:wordWrap/>
        <w:overflowPunct/>
        <w:topLinePunct w:val="0"/>
        <w:autoSpaceDE/>
        <w:autoSpaceDN/>
        <w:bidi w:val="0"/>
        <w:adjustRightInd/>
        <w:snapToGrid/>
        <w:spacing w:beforeAutospacing="0" w:afterAutospacing="0" w:line="348" w:lineRule="auto"/>
        <w:ind w:firstLine="420" w:firstLineChars="200"/>
        <w:textAlignment w:val="baseline"/>
        <w:rPr>
          <w:sz w:val="21"/>
          <w:szCs w:val="21"/>
        </w:rPr>
      </w:pPr>
      <w:r>
        <w:rPr>
          <w:rFonts w:hint="eastAsia"/>
          <w:sz w:val="21"/>
          <w:szCs w:val="21"/>
        </w:rPr>
        <w:t>（6）投标报价是综合报价，实行总价包干，应充分考虑与装修施工单位配合所涉及的费用，报价还应充分考虑其市场价格风险以及施工现场条件和工期延误所带来的损失等，风险自担，中标后，采购人不予调整。</w:t>
      </w:r>
    </w:p>
    <w:p>
      <w:pPr>
        <w:pStyle w:val="24"/>
        <w:keepNext w:val="0"/>
        <w:keepLines w:val="0"/>
        <w:pageBreakBefore w:val="0"/>
        <w:widowControl w:val="0"/>
        <w:kinsoku/>
        <w:wordWrap/>
        <w:overflowPunct/>
        <w:topLinePunct w:val="0"/>
        <w:autoSpaceDE/>
        <w:autoSpaceDN/>
        <w:bidi w:val="0"/>
        <w:adjustRightInd/>
        <w:snapToGrid/>
        <w:spacing w:beforeAutospacing="0" w:afterAutospacing="0" w:line="348" w:lineRule="auto"/>
        <w:ind w:firstLine="420" w:firstLineChars="200"/>
        <w:textAlignment w:val="baseline"/>
        <w:rPr>
          <w:sz w:val="21"/>
          <w:szCs w:val="21"/>
        </w:rPr>
      </w:pPr>
      <w:r>
        <w:rPr>
          <w:rFonts w:hint="eastAsia"/>
          <w:sz w:val="21"/>
          <w:szCs w:val="21"/>
        </w:rPr>
        <w:t>（7）变更的结算办法及方式：数量以实际采购安装量为准，单价执行中标单价，若因采购人原因变更了电梯的型号、主要技术参数及配置要求，由双方共同协商调整单价。</w:t>
      </w:r>
    </w:p>
    <w:p>
      <w:pPr>
        <w:pStyle w:val="24"/>
        <w:keepNext w:val="0"/>
        <w:keepLines w:val="0"/>
        <w:pageBreakBefore w:val="0"/>
        <w:widowControl w:val="0"/>
        <w:kinsoku/>
        <w:wordWrap/>
        <w:overflowPunct/>
        <w:topLinePunct w:val="0"/>
        <w:autoSpaceDE/>
        <w:autoSpaceDN/>
        <w:bidi w:val="0"/>
        <w:adjustRightInd/>
        <w:snapToGrid/>
        <w:spacing w:beforeAutospacing="0" w:afterAutospacing="0" w:line="348" w:lineRule="auto"/>
        <w:ind w:firstLine="420" w:firstLineChars="200"/>
        <w:textAlignment w:val="baseline"/>
        <w:rPr>
          <w:sz w:val="21"/>
          <w:szCs w:val="21"/>
        </w:rPr>
      </w:pPr>
      <w:r>
        <w:rPr>
          <w:rFonts w:hint="eastAsia"/>
          <w:sz w:val="21"/>
          <w:szCs w:val="21"/>
        </w:rPr>
        <w:t>（8）本工程不允许挂靠、转包、擅自分包，否则将终止合同，其履约保证金抵作违约金归采购人所有，另选施工单位，成交供应商无条件在10天内清退出场。</w:t>
      </w:r>
    </w:p>
    <w:p>
      <w:pPr>
        <w:pStyle w:val="24"/>
        <w:keepNext w:val="0"/>
        <w:keepLines w:val="0"/>
        <w:pageBreakBefore w:val="0"/>
        <w:widowControl w:val="0"/>
        <w:kinsoku/>
        <w:wordWrap/>
        <w:overflowPunct/>
        <w:topLinePunct w:val="0"/>
        <w:autoSpaceDE/>
        <w:autoSpaceDN/>
        <w:bidi w:val="0"/>
        <w:adjustRightInd/>
        <w:snapToGrid/>
        <w:spacing w:beforeAutospacing="0" w:afterAutospacing="0" w:line="348" w:lineRule="auto"/>
        <w:ind w:firstLine="420" w:firstLineChars="200"/>
        <w:textAlignment w:val="baseline"/>
        <w:rPr>
          <w:sz w:val="21"/>
          <w:szCs w:val="21"/>
        </w:rPr>
      </w:pPr>
      <w:r>
        <w:rPr>
          <w:rFonts w:hint="eastAsia"/>
          <w:sz w:val="21"/>
          <w:szCs w:val="21"/>
        </w:rPr>
        <w:t>（9）投标单位应在投标报价中充分考虑电梯试用过程中的所有施工用水用电费、门孔洞细微修整等费用，施工过程中采购人将不再另行签证。</w:t>
      </w:r>
    </w:p>
    <w:p>
      <w:pPr>
        <w:pStyle w:val="24"/>
        <w:keepNext w:val="0"/>
        <w:keepLines w:val="0"/>
        <w:pageBreakBefore w:val="0"/>
        <w:widowControl w:val="0"/>
        <w:kinsoku/>
        <w:wordWrap/>
        <w:overflowPunct/>
        <w:topLinePunct w:val="0"/>
        <w:autoSpaceDE/>
        <w:autoSpaceDN/>
        <w:bidi w:val="0"/>
        <w:adjustRightInd/>
        <w:snapToGrid/>
        <w:spacing w:beforeAutospacing="0" w:afterAutospacing="0" w:line="348" w:lineRule="auto"/>
        <w:ind w:firstLine="420" w:firstLineChars="200"/>
        <w:textAlignment w:val="baseline"/>
        <w:rPr>
          <w:sz w:val="21"/>
          <w:szCs w:val="21"/>
        </w:rPr>
      </w:pPr>
      <w:r>
        <w:rPr>
          <w:rFonts w:hint="eastAsia"/>
          <w:sz w:val="21"/>
          <w:szCs w:val="21"/>
        </w:rPr>
        <w:t>（10）本工程电梯（货梯除外）均参照相关有机房电梯样本。电梯待设备选用后，完成电梯安装施工图。若电梯安装涉及需土建单位配合预留，则成交供应商应提供相应的图纸并以书面形式提前通知，并派技术人员驻现场进行指导。</w:t>
      </w:r>
    </w:p>
    <w:p>
      <w:pPr>
        <w:pStyle w:val="24"/>
        <w:keepNext w:val="0"/>
        <w:keepLines w:val="0"/>
        <w:pageBreakBefore w:val="0"/>
        <w:widowControl w:val="0"/>
        <w:kinsoku/>
        <w:wordWrap/>
        <w:overflowPunct/>
        <w:topLinePunct w:val="0"/>
        <w:autoSpaceDE/>
        <w:autoSpaceDN/>
        <w:bidi w:val="0"/>
        <w:adjustRightInd/>
        <w:snapToGrid/>
        <w:spacing w:beforeAutospacing="0" w:afterAutospacing="0" w:line="348" w:lineRule="auto"/>
        <w:ind w:firstLine="420" w:firstLineChars="200"/>
        <w:textAlignment w:val="baseline"/>
        <w:rPr>
          <w:sz w:val="21"/>
          <w:szCs w:val="21"/>
        </w:rPr>
      </w:pPr>
      <w:r>
        <w:rPr>
          <w:rFonts w:hint="eastAsia"/>
          <w:sz w:val="21"/>
          <w:szCs w:val="21"/>
        </w:rPr>
        <w:t>（11）电梯调试合格后,如整体项目需要电梯配合施工的,成交供应商应积极派人负责,并不得收取相关费用。</w:t>
      </w:r>
    </w:p>
    <w:sectPr>
      <w:pgSz w:w="11906" w:h="16838"/>
      <w:pgMar w:top="567" w:right="709" w:bottom="1151" w:left="1179" w:header="851" w:footer="992" w:gutter="0"/>
      <w:cols w:space="720" w:num="1"/>
      <w:docGrid w:type="lines" w:linePitch="31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monospace">
    <w:altName w:val="Courier New"/>
    <w:panose1 w:val="00000000000000000000"/>
    <w:charset w:val="00"/>
    <w:family w:val="auto"/>
    <w:pitch w:val="default"/>
    <w:sig w:usb0="00000000" w:usb1="00000000" w:usb2="00000000"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19"/>
                          </w:pPr>
                          <w:r>
                            <w:rPr>
                              <w:rFonts w:hint="eastAsia"/>
                            </w:rPr>
                            <w:fldChar w:fldCharType="begin"/>
                          </w:r>
                          <w:r>
                            <w:rPr>
                              <w:rFonts w:hint="eastAsia"/>
                            </w:rPr>
                            <w:instrText xml:space="preserve"> PAGE  \* MERGEFORMAT </w:instrText>
                          </w:r>
                          <w:r>
                            <w:rPr>
                              <w:rFonts w:hint="eastAsia"/>
                            </w:rPr>
                            <w:fldChar w:fldCharType="separate"/>
                          </w:r>
                          <w:r>
                            <w:t>39</w:t>
                          </w:r>
                          <w:r>
                            <w:rPr>
                              <w:rFonts w:hint="eastAsia"/>
                            </w:rPr>
                            <w:fldChar w:fldCharType="end"/>
                          </w:r>
                        </w:p>
                      </w:txbxContent>
                    </wps:txbx>
                    <wps:bodyPr wrap="none" lIns="0" tIns="0" rIns="0" bIns="0">
                      <a:spAutoFit/>
                    </wps:bodyPr>
                  </wps:wsp>
                </a:graphicData>
              </a:graphic>
            </wp:anchor>
          </w:drawing>
        </mc:Choice>
        <mc:Fallback>
          <w:pict>
            <v:shape id="文本框 5"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OqXm5zwAA&#10;AAUBAAAPAAAAAAAAAAEAIAAAACIAAABkcnMvZG93bnJldi54bWxQSwECFAAUAAAACACHTuJATZDh&#10;HrUBAABXAwAADgAAAAAAAAABACAAAAAeAQAAZHJzL2Uyb0RvYy54bWxQSwUGAAAAAAYABgBZAQAA&#10;RQUAAAAA&#10;">
              <v:fill on="f" focussize="0,0"/>
              <v:stroke on="f"/>
              <v:imagedata o:title=""/>
              <o:lock v:ext="edit" aspectratio="f"/>
              <v:textbox inset="0mm,0mm,0mm,0mm" style="mso-fit-shape-to-text:t;">
                <w:txbxContent>
                  <w:p>
                    <w:pPr>
                      <w:pStyle w:val="19"/>
                    </w:pPr>
                    <w:r>
                      <w:rPr>
                        <w:rFonts w:hint="eastAsia"/>
                      </w:rPr>
                      <w:fldChar w:fldCharType="begin"/>
                    </w:r>
                    <w:r>
                      <w:rPr>
                        <w:rFonts w:hint="eastAsia"/>
                      </w:rPr>
                      <w:instrText xml:space="preserve"> PAGE  \* MERGEFORMAT </w:instrText>
                    </w:r>
                    <w:r>
                      <w:rPr>
                        <w:rFonts w:hint="eastAsia"/>
                      </w:rPr>
                      <w:fldChar w:fldCharType="separate"/>
                    </w:r>
                    <w:r>
                      <w:t>39</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19"/>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wps:txbx>
                    <wps:bodyPr wrap="none" lIns="0" tIns="0" rIns="0" bIns="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LP1&#10;gZW2AQAAVwMAAA4AAAAAAAAAAQAgAAAAHgEAAGRycy9lMm9Eb2MueG1sUEsFBgAAAAAGAAYAWQEA&#10;AEYFAAAAAA==&#10;">
              <v:fill on="f" focussize="0,0"/>
              <v:stroke on="f"/>
              <v:imagedata o:title=""/>
              <o:lock v:ext="edit" aspectratio="f"/>
              <v:textbox inset="0mm,0mm,0mm,0mm" style="mso-fit-shape-to-text:t;">
                <w:txbxContent>
                  <w:p>
                    <w:pPr>
                      <w:pStyle w:val="19"/>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r>
      <w:rPr>
        <w:rFonts w:hint="eastAsia"/>
      </w:rPr>
      <w:fldChar w:fldCharType="begin"/>
    </w:r>
    <w:r>
      <w:rPr>
        <w:rFonts w:hint="eastAsia"/>
      </w:rPr>
      <w:instrText xml:space="preserve"> PAGE  \* MERGEFORMAT </w:instrText>
    </w:r>
    <w:r>
      <w:rPr>
        <w:rFonts w:hint="eastAsia"/>
      </w:rPr>
      <w:fldChar w:fldCharType="separate"/>
    </w:r>
    <w:r>
      <w:t>43</w:t>
    </w:r>
    <w:r>
      <w:rPr>
        <w:rFonts w:hint="eastAsia"/>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BA96D8"/>
    <w:multiLevelType w:val="singleLevel"/>
    <w:tmpl w:val="80BA96D8"/>
    <w:lvl w:ilvl="0" w:tentative="0">
      <w:start w:val="1"/>
      <w:numFmt w:val="decimal"/>
      <w:suff w:val="nothing"/>
      <w:lvlText w:val="（%1）"/>
      <w:lvlJc w:val="left"/>
    </w:lvl>
  </w:abstractNum>
  <w:abstractNum w:abstractNumId="1">
    <w:nsid w:val="9C396D02"/>
    <w:multiLevelType w:val="singleLevel"/>
    <w:tmpl w:val="9C396D02"/>
    <w:lvl w:ilvl="0" w:tentative="0">
      <w:start w:val="1"/>
      <w:numFmt w:val="decimal"/>
      <w:suff w:val="nothing"/>
      <w:lvlText w:val="（%1）"/>
      <w:lvlJc w:val="left"/>
    </w:lvl>
  </w:abstractNum>
  <w:abstractNum w:abstractNumId="2">
    <w:nsid w:val="00000001"/>
    <w:multiLevelType w:val="multilevel"/>
    <w:tmpl w:val="00000001"/>
    <w:lvl w:ilvl="0" w:tentative="0">
      <w:start w:val="1"/>
      <w:numFmt w:val="japaneseCounting"/>
      <w:lvlText w:val="%1、"/>
      <w:lvlJc w:val="left"/>
      <w:pPr>
        <w:tabs>
          <w:tab w:val="left" w:pos="825"/>
        </w:tabs>
        <w:ind w:left="825" w:hanging="720"/>
      </w:pPr>
      <w:rPr>
        <w:rFonts w:hint="default"/>
      </w:rPr>
    </w:lvl>
    <w:lvl w:ilvl="1" w:tentative="0">
      <w:start w:val="1"/>
      <w:numFmt w:val="lowerLetter"/>
      <w:lvlText w:val="%2)"/>
      <w:lvlJc w:val="left"/>
      <w:pPr>
        <w:tabs>
          <w:tab w:val="left" w:pos="2045"/>
        </w:tabs>
        <w:ind w:left="2045" w:hanging="420"/>
      </w:pPr>
    </w:lvl>
    <w:lvl w:ilvl="2" w:tentative="0">
      <w:start w:val="1"/>
      <w:numFmt w:val="lowerRoman"/>
      <w:lvlText w:val="%3."/>
      <w:lvlJc w:val="right"/>
      <w:pPr>
        <w:tabs>
          <w:tab w:val="left" w:pos="2465"/>
        </w:tabs>
        <w:ind w:left="2465" w:hanging="420"/>
      </w:pPr>
    </w:lvl>
    <w:lvl w:ilvl="3" w:tentative="0">
      <w:start w:val="1"/>
      <w:numFmt w:val="decimal"/>
      <w:lvlText w:val="%4."/>
      <w:lvlJc w:val="left"/>
      <w:pPr>
        <w:tabs>
          <w:tab w:val="left" w:pos="2885"/>
        </w:tabs>
        <w:ind w:left="2885" w:hanging="420"/>
      </w:pPr>
    </w:lvl>
    <w:lvl w:ilvl="4" w:tentative="0">
      <w:start w:val="1"/>
      <w:numFmt w:val="lowerLetter"/>
      <w:lvlText w:val="%5)"/>
      <w:lvlJc w:val="left"/>
      <w:pPr>
        <w:tabs>
          <w:tab w:val="left" w:pos="3305"/>
        </w:tabs>
        <w:ind w:left="3305" w:hanging="420"/>
      </w:pPr>
    </w:lvl>
    <w:lvl w:ilvl="5" w:tentative="0">
      <w:start w:val="1"/>
      <w:numFmt w:val="lowerRoman"/>
      <w:lvlText w:val="%6."/>
      <w:lvlJc w:val="right"/>
      <w:pPr>
        <w:tabs>
          <w:tab w:val="left" w:pos="3725"/>
        </w:tabs>
        <w:ind w:left="3725" w:hanging="420"/>
      </w:pPr>
    </w:lvl>
    <w:lvl w:ilvl="6" w:tentative="0">
      <w:start w:val="1"/>
      <w:numFmt w:val="decimal"/>
      <w:lvlText w:val="%7."/>
      <w:lvlJc w:val="left"/>
      <w:pPr>
        <w:tabs>
          <w:tab w:val="left" w:pos="4145"/>
        </w:tabs>
        <w:ind w:left="4145" w:hanging="420"/>
      </w:pPr>
    </w:lvl>
    <w:lvl w:ilvl="7" w:tentative="0">
      <w:start w:val="1"/>
      <w:numFmt w:val="lowerLetter"/>
      <w:lvlText w:val="%8)"/>
      <w:lvlJc w:val="left"/>
      <w:pPr>
        <w:tabs>
          <w:tab w:val="left" w:pos="4565"/>
        </w:tabs>
        <w:ind w:left="4565" w:hanging="420"/>
      </w:pPr>
    </w:lvl>
    <w:lvl w:ilvl="8" w:tentative="0">
      <w:start w:val="1"/>
      <w:numFmt w:val="lowerRoman"/>
      <w:lvlText w:val="%9."/>
      <w:lvlJc w:val="right"/>
      <w:pPr>
        <w:tabs>
          <w:tab w:val="left" w:pos="4985"/>
        </w:tabs>
        <w:ind w:left="4985" w:hanging="420"/>
      </w:pPr>
    </w:lvl>
  </w:abstractNum>
  <w:abstractNum w:abstractNumId="3">
    <w:nsid w:val="00000007"/>
    <w:multiLevelType w:val="multilevel"/>
    <w:tmpl w:val="00000007"/>
    <w:lvl w:ilvl="0" w:tentative="0">
      <w:start w:val="1"/>
      <w:numFmt w:val="japaneseCounting"/>
      <w:lvlText w:val="第%1章"/>
      <w:lvlJc w:val="left"/>
      <w:pPr>
        <w:tabs>
          <w:tab w:val="left" w:pos="1680"/>
        </w:tabs>
        <w:ind w:left="1680" w:hanging="1140"/>
      </w:pPr>
      <w:rPr>
        <w:rFonts w:hint="eastAsia"/>
      </w:rPr>
    </w:lvl>
    <w:lvl w:ilvl="1" w:tentative="0">
      <w:start w:val="1"/>
      <w:numFmt w:val="lowerLetter"/>
      <w:lvlText w:val="%2)"/>
      <w:lvlJc w:val="left"/>
      <w:pPr>
        <w:tabs>
          <w:tab w:val="left" w:pos="1380"/>
        </w:tabs>
        <w:ind w:left="1380" w:hanging="420"/>
      </w:pPr>
    </w:lvl>
    <w:lvl w:ilvl="2" w:tentative="0">
      <w:start w:val="1"/>
      <w:numFmt w:val="lowerRoman"/>
      <w:lvlText w:val="%3."/>
      <w:lvlJc w:val="right"/>
      <w:pPr>
        <w:tabs>
          <w:tab w:val="left" w:pos="1800"/>
        </w:tabs>
        <w:ind w:left="1800" w:hanging="420"/>
      </w:pPr>
    </w:lvl>
    <w:lvl w:ilvl="3" w:tentative="0">
      <w:start w:val="1"/>
      <w:numFmt w:val="decimal"/>
      <w:lvlText w:val="%4."/>
      <w:lvlJc w:val="left"/>
      <w:pPr>
        <w:tabs>
          <w:tab w:val="left" w:pos="2220"/>
        </w:tabs>
        <w:ind w:left="2220" w:hanging="420"/>
      </w:pPr>
    </w:lvl>
    <w:lvl w:ilvl="4" w:tentative="0">
      <w:start w:val="1"/>
      <w:numFmt w:val="lowerLetter"/>
      <w:lvlText w:val="%5)"/>
      <w:lvlJc w:val="left"/>
      <w:pPr>
        <w:tabs>
          <w:tab w:val="left" w:pos="2640"/>
        </w:tabs>
        <w:ind w:left="2640" w:hanging="420"/>
      </w:pPr>
    </w:lvl>
    <w:lvl w:ilvl="5" w:tentative="0">
      <w:start w:val="1"/>
      <w:numFmt w:val="lowerRoman"/>
      <w:lvlText w:val="%6."/>
      <w:lvlJc w:val="right"/>
      <w:pPr>
        <w:tabs>
          <w:tab w:val="left" w:pos="3060"/>
        </w:tabs>
        <w:ind w:left="3060" w:hanging="420"/>
      </w:pPr>
    </w:lvl>
    <w:lvl w:ilvl="6" w:tentative="0">
      <w:start w:val="1"/>
      <w:numFmt w:val="decimal"/>
      <w:lvlText w:val="%7."/>
      <w:lvlJc w:val="left"/>
      <w:pPr>
        <w:tabs>
          <w:tab w:val="left" w:pos="3480"/>
        </w:tabs>
        <w:ind w:left="3480" w:hanging="420"/>
      </w:pPr>
    </w:lvl>
    <w:lvl w:ilvl="7" w:tentative="0">
      <w:start w:val="1"/>
      <w:numFmt w:val="lowerLetter"/>
      <w:lvlText w:val="%8)"/>
      <w:lvlJc w:val="left"/>
      <w:pPr>
        <w:tabs>
          <w:tab w:val="left" w:pos="3900"/>
        </w:tabs>
        <w:ind w:left="3900" w:hanging="420"/>
      </w:pPr>
    </w:lvl>
    <w:lvl w:ilvl="8" w:tentative="0">
      <w:start w:val="1"/>
      <w:numFmt w:val="lowerRoman"/>
      <w:lvlText w:val="%9."/>
      <w:lvlJc w:val="right"/>
      <w:pPr>
        <w:tabs>
          <w:tab w:val="left" w:pos="4320"/>
        </w:tabs>
        <w:ind w:left="4320" w:hanging="420"/>
      </w:pPr>
    </w:lvl>
  </w:abstractNum>
  <w:abstractNum w:abstractNumId="4">
    <w:nsid w:val="0282F298"/>
    <w:multiLevelType w:val="singleLevel"/>
    <w:tmpl w:val="0282F298"/>
    <w:lvl w:ilvl="0" w:tentative="0">
      <w:start w:val="3"/>
      <w:numFmt w:val="chineseCounting"/>
      <w:suff w:val="nothing"/>
      <w:lvlText w:val="（%1）"/>
      <w:lvlJc w:val="left"/>
      <w:rPr>
        <w:rFonts w:hint="eastAsia"/>
      </w:rPr>
    </w:lvl>
  </w:abstractNum>
  <w:abstractNum w:abstractNumId="5">
    <w:nsid w:val="038078D6"/>
    <w:multiLevelType w:val="multilevel"/>
    <w:tmpl w:val="038078D6"/>
    <w:lvl w:ilvl="0" w:tentative="0">
      <w:start w:val="1"/>
      <w:numFmt w:val="decimalEnclosedCircle"/>
      <w:lvlText w:val="%1"/>
      <w:lvlJc w:val="left"/>
      <w:pPr>
        <w:ind w:left="920" w:hanging="36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6">
    <w:nsid w:val="1D8C07D4"/>
    <w:multiLevelType w:val="singleLevel"/>
    <w:tmpl w:val="1D8C07D4"/>
    <w:lvl w:ilvl="0" w:tentative="0">
      <w:start w:val="2"/>
      <w:numFmt w:val="decimal"/>
      <w:suff w:val="nothing"/>
      <w:lvlText w:val="%1、"/>
      <w:lvlJc w:val="left"/>
    </w:lvl>
  </w:abstractNum>
  <w:abstractNum w:abstractNumId="7">
    <w:nsid w:val="56D2E934"/>
    <w:multiLevelType w:val="singleLevel"/>
    <w:tmpl w:val="56D2E934"/>
    <w:lvl w:ilvl="0" w:tentative="0">
      <w:start w:val="5"/>
      <w:numFmt w:val="chineseCounting"/>
      <w:suff w:val="space"/>
      <w:lvlText w:val="第%1章"/>
      <w:lvlJc w:val="left"/>
    </w:lvl>
  </w:abstractNum>
  <w:num w:numId="1">
    <w:abstractNumId w:val="2"/>
  </w:num>
  <w:num w:numId="2">
    <w:abstractNumId w:val="3"/>
  </w:num>
  <w:num w:numId="3">
    <w:abstractNumId w:val="7"/>
  </w:num>
  <w:num w:numId="4">
    <w:abstractNumId w:val="6"/>
  </w:num>
  <w:num w:numId="5">
    <w:abstractNumId w:val="0"/>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dit="trackedChanges" w:enforcement="0"/>
  <w:defaultTabStop w:val="420"/>
  <w:drawingGridHorizontalSpacing w:val="107"/>
  <w:drawingGridVerticalSpacing w:val="156"/>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A18"/>
    <w:rsid w:val="000035F4"/>
    <w:rsid w:val="0000451D"/>
    <w:rsid w:val="00006D17"/>
    <w:rsid w:val="0001013D"/>
    <w:rsid w:val="00012247"/>
    <w:rsid w:val="00014D52"/>
    <w:rsid w:val="00016478"/>
    <w:rsid w:val="00021A9A"/>
    <w:rsid w:val="0003028D"/>
    <w:rsid w:val="00030C20"/>
    <w:rsid w:val="00031B12"/>
    <w:rsid w:val="00035368"/>
    <w:rsid w:val="00035E0C"/>
    <w:rsid w:val="00040DB2"/>
    <w:rsid w:val="0004350D"/>
    <w:rsid w:val="00043704"/>
    <w:rsid w:val="00046064"/>
    <w:rsid w:val="00051C1B"/>
    <w:rsid w:val="00052418"/>
    <w:rsid w:val="0005311A"/>
    <w:rsid w:val="0005414D"/>
    <w:rsid w:val="0006265B"/>
    <w:rsid w:val="00063277"/>
    <w:rsid w:val="00063BDA"/>
    <w:rsid w:val="000654BB"/>
    <w:rsid w:val="0007037C"/>
    <w:rsid w:val="00072161"/>
    <w:rsid w:val="00074ADB"/>
    <w:rsid w:val="000777AC"/>
    <w:rsid w:val="000809A6"/>
    <w:rsid w:val="00082DE6"/>
    <w:rsid w:val="00085D21"/>
    <w:rsid w:val="0008615D"/>
    <w:rsid w:val="00086445"/>
    <w:rsid w:val="00090F7D"/>
    <w:rsid w:val="0009192E"/>
    <w:rsid w:val="00091F19"/>
    <w:rsid w:val="00092B37"/>
    <w:rsid w:val="00093287"/>
    <w:rsid w:val="000A03ED"/>
    <w:rsid w:val="000A401A"/>
    <w:rsid w:val="000A6188"/>
    <w:rsid w:val="000B1147"/>
    <w:rsid w:val="000B1429"/>
    <w:rsid w:val="000B1EFA"/>
    <w:rsid w:val="000B6475"/>
    <w:rsid w:val="000C56BC"/>
    <w:rsid w:val="000C6995"/>
    <w:rsid w:val="000C727D"/>
    <w:rsid w:val="000D11B2"/>
    <w:rsid w:val="000D26D5"/>
    <w:rsid w:val="000D7E5E"/>
    <w:rsid w:val="000E11FB"/>
    <w:rsid w:val="000E1EA7"/>
    <w:rsid w:val="000E2F4B"/>
    <w:rsid w:val="000E48E0"/>
    <w:rsid w:val="000E5253"/>
    <w:rsid w:val="000E5909"/>
    <w:rsid w:val="000E6C07"/>
    <w:rsid w:val="000E7362"/>
    <w:rsid w:val="000F0D36"/>
    <w:rsid w:val="000F25AF"/>
    <w:rsid w:val="000F3451"/>
    <w:rsid w:val="000F4C09"/>
    <w:rsid w:val="000F4EA2"/>
    <w:rsid w:val="000F5FCA"/>
    <w:rsid w:val="001010DD"/>
    <w:rsid w:val="00101D04"/>
    <w:rsid w:val="00103621"/>
    <w:rsid w:val="00103700"/>
    <w:rsid w:val="00104774"/>
    <w:rsid w:val="00111A11"/>
    <w:rsid w:val="00111F6D"/>
    <w:rsid w:val="00113DC6"/>
    <w:rsid w:val="00120B85"/>
    <w:rsid w:val="0012230E"/>
    <w:rsid w:val="0012392C"/>
    <w:rsid w:val="00123B0E"/>
    <w:rsid w:val="001409C8"/>
    <w:rsid w:val="00142DDB"/>
    <w:rsid w:val="001447F6"/>
    <w:rsid w:val="00150601"/>
    <w:rsid w:val="00151634"/>
    <w:rsid w:val="0016181B"/>
    <w:rsid w:val="0016254D"/>
    <w:rsid w:val="00163416"/>
    <w:rsid w:val="00171A16"/>
    <w:rsid w:val="00172A27"/>
    <w:rsid w:val="001751B1"/>
    <w:rsid w:val="00182EAE"/>
    <w:rsid w:val="0019141F"/>
    <w:rsid w:val="00191699"/>
    <w:rsid w:val="00196B86"/>
    <w:rsid w:val="00196D23"/>
    <w:rsid w:val="001A6B3C"/>
    <w:rsid w:val="001A7161"/>
    <w:rsid w:val="001B00EC"/>
    <w:rsid w:val="001B0C12"/>
    <w:rsid w:val="001B1E19"/>
    <w:rsid w:val="001B435C"/>
    <w:rsid w:val="001B4682"/>
    <w:rsid w:val="001B4D25"/>
    <w:rsid w:val="001B718D"/>
    <w:rsid w:val="001C3729"/>
    <w:rsid w:val="001D2F5B"/>
    <w:rsid w:val="001D309E"/>
    <w:rsid w:val="001D4771"/>
    <w:rsid w:val="001D67D6"/>
    <w:rsid w:val="001D76C8"/>
    <w:rsid w:val="001E3973"/>
    <w:rsid w:val="001E39CA"/>
    <w:rsid w:val="001E66F6"/>
    <w:rsid w:val="001E76A3"/>
    <w:rsid w:val="001F1254"/>
    <w:rsid w:val="001F32B3"/>
    <w:rsid w:val="001F4423"/>
    <w:rsid w:val="001F5023"/>
    <w:rsid w:val="002016DE"/>
    <w:rsid w:val="002024C2"/>
    <w:rsid w:val="00202E95"/>
    <w:rsid w:val="0020454D"/>
    <w:rsid w:val="00205C21"/>
    <w:rsid w:val="00206701"/>
    <w:rsid w:val="00207B40"/>
    <w:rsid w:val="00210955"/>
    <w:rsid w:val="002141B3"/>
    <w:rsid w:val="002143D9"/>
    <w:rsid w:val="00222019"/>
    <w:rsid w:val="00226268"/>
    <w:rsid w:val="00227BE7"/>
    <w:rsid w:val="00232598"/>
    <w:rsid w:val="00237718"/>
    <w:rsid w:val="00237731"/>
    <w:rsid w:val="00241F11"/>
    <w:rsid w:val="00242254"/>
    <w:rsid w:val="002513CF"/>
    <w:rsid w:val="002520B2"/>
    <w:rsid w:val="002631A8"/>
    <w:rsid w:val="002656AE"/>
    <w:rsid w:val="0027132C"/>
    <w:rsid w:val="00271D09"/>
    <w:rsid w:val="00271F0F"/>
    <w:rsid w:val="00271FA5"/>
    <w:rsid w:val="002728CD"/>
    <w:rsid w:val="00273BF2"/>
    <w:rsid w:val="002761D2"/>
    <w:rsid w:val="00277674"/>
    <w:rsid w:val="00282EF8"/>
    <w:rsid w:val="002835BA"/>
    <w:rsid w:val="00284AE7"/>
    <w:rsid w:val="00285FD0"/>
    <w:rsid w:val="002875DB"/>
    <w:rsid w:val="00287C1C"/>
    <w:rsid w:val="00290B9B"/>
    <w:rsid w:val="00294503"/>
    <w:rsid w:val="002A12E7"/>
    <w:rsid w:val="002A1C64"/>
    <w:rsid w:val="002A73D6"/>
    <w:rsid w:val="002B405D"/>
    <w:rsid w:val="002C1527"/>
    <w:rsid w:val="002C32D1"/>
    <w:rsid w:val="002C4109"/>
    <w:rsid w:val="002C4FFC"/>
    <w:rsid w:val="002C592F"/>
    <w:rsid w:val="002C7083"/>
    <w:rsid w:val="002D15E2"/>
    <w:rsid w:val="002D2658"/>
    <w:rsid w:val="002D3AA3"/>
    <w:rsid w:val="002D6731"/>
    <w:rsid w:val="002E10E1"/>
    <w:rsid w:val="002E1F65"/>
    <w:rsid w:val="002E3C24"/>
    <w:rsid w:val="002E56B0"/>
    <w:rsid w:val="002E726A"/>
    <w:rsid w:val="002F1A31"/>
    <w:rsid w:val="002F22F4"/>
    <w:rsid w:val="002F22F5"/>
    <w:rsid w:val="002F24F1"/>
    <w:rsid w:val="0030053A"/>
    <w:rsid w:val="00300DD4"/>
    <w:rsid w:val="003015D5"/>
    <w:rsid w:val="0030171F"/>
    <w:rsid w:val="0030426B"/>
    <w:rsid w:val="00305EE9"/>
    <w:rsid w:val="00306663"/>
    <w:rsid w:val="00307CFE"/>
    <w:rsid w:val="00311F61"/>
    <w:rsid w:val="003121E1"/>
    <w:rsid w:val="003132AE"/>
    <w:rsid w:val="00313D13"/>
    <w:rsid w:val="003211FE"/>
    <w:rsid w:val="00321811"/>
    <w:rsid w:val="003313DF"/>
    <w:rsid w:val="00332929"/>
    <w:rsid w:val="00333216"/>
    <w:rsid w:val="00333242"/>
    <w:rsid w:val="00333B89"/>
    <w:rsid w:val="00335100"/>
    <w:rsid w:val="00336A5C"/>
    <w:rsid w:val="00337568"/>
    <w:rsid w:val="003423B5"/>
    <w:rsid w:val="0034474A"/>
    <w:rsid w:val="00344EE9"/>
    <w:rsid w:val="00345599"/>
    <w:rsid w:val="00345B6F"/>
    <w:rsid w:val="00346163"/>
    <w:rsid w:val="0034645E"/>
    <w:rsid w:val="00346FAF"/>
    <w:rsid w:val="00350FE2"/>
    <w:rsid w:val="003543F8"/>
    <w:rsid w:val="00356ED7"/>
    <w:rsid w:val="00364538"/>
    <w:rsid w:val="00364B2D"/>
    <w:rsid w:val="00365B7C"/>
    <w:rsid w:val="0036630E"/>
    <w:rsid w:val="00375055"/>
    <w:rsid w:val="003751B3"/>
    <w:rsid w:val="00375FB1"/>
    <w:rsid w:val="003822F4"/>
    <w:rsid w:val="0039372C"/>
    <w:rsid w:val="003A0E0A"/>
    <w:rsid w:val="003A365D"/>
    <w:rsid w:val="003A62C2"/>
    <w:rsid w:val="003B4BB0"/>
    <w:rsid w:val="003B4E59"/>
    <w:rsid w:val="003B66DB"/>
    <w:rsid w:val="003C0B66"/>
    <w:rsid w:val="003C48FA"/>
    <w:rsid w:val="003C5873"/>
    <w:rsid w:val="003C6A03"/>
    <w:rsid w:val="003D0299"/>
    <w:rsid w:val="003D3159"/>
    <w:rsid w:val="003E174E"/>
    <w:rsid w:val="003E27E3"/>
    <w:rsid w:val="003E616E"/>
    <w:rsid w:val="003F4F84"/>
    <w:rsid w:val="003F7BE4"/>
    <w:rsid w:val="00402D86"/>
    <w:rsid w:val="00403D24"/>
    <w:rsid w:val="00404392"/>
    <w:rsid w:val="004147C0"/>
    <w:rsid w:val="00416479"/>
    <w:rsid w:val="004174F2"/>
    <w:rsid w:val="0042080E"/>
    <w:rsid w:val="00420CBE"/>
    <w:rsid w:val="00423D8A"/>
    <w:rsid w:val="0042455C"/>
    <w:rsid w:val="00424C0B"/>
    <w:rsid w:val="004309CB"/>
    <w:rsid w:val="0043109F"/>
    <w:rsid w:val="004344E4"/>
    <w:rsid w:val="00444EFD"/>
    <w:rsid w:val="00447596"/>
    <w:rsid w:val="00453E26"/>
    <w:rsid w:val="00456205"/>
    <w:rsid w:val="0046122C"/>
    <w:rsid w:val="004643B2"/>
    <w:rsid w:val="00466C99"/>
    <w:rsid w:val="0047218F"/>
    <w:rsid w:val="0047586F"/>
    <w:rsid w:val="00480776"/>
    <w:rsid w:val="00481A20"/>
    <w:rsid w:val="00485395"/>
    <w:rsid w:val="00487127"/>
    <w:rsid w:val="00487995"/>
    <w:rsid w:val="004900B5"/>
    <w:rsid w:val="00490E2B"/>
    <w:rsid w:val="00494D7B"/>
    <w:rsid w:val="0049746C"/>
    <w:rsid w:val="004A3209"/>
    <w:rsid w:val="004A3A83"/>
    <w:rsid w:val="004A5C58"/>
    <w:rsid w:val="004B6B07"/>
    <w:rsid w:val="004B706B"/>
    <w:rsid w:val="004C2245"/>
    <w:rsid w:val="004C3AD5"/>
    <w:rsid w:val="004C56F7"/>
    <w:rsid w:val="004C658E"/>
    <w:rsid w:val="004D3BFF"/>
    <w:rsid w:val="004E07F2"/>
    <w:rsid w:val="004E0BD9"/>
    <w:rsid w:val="004E249F"/>
    <w:rsid w:val="004E532F"/>
    <w:rsid w:val="004F2AB2"/>
    <w:rsid w:val="004F6843"/>
    <w:rsid w:val="004F7099"/>
    <w:rsid w:val="00500113"/>
    <w:rsid w:val="005015CE"/>
    <w:rsid w:val="00504DBA"/>
    <w:rsid w:val="00505C1E"/>
    <w:rsid w:val="00506106"/>
    <w:rsid w:val="005107E2"/>
    <w:rsid w:val="005108F4"/>
    <w:rsid w:val="00513CB5"/>
    <w:rsid w:val="00514810"/>
    <w:rsid w:val="00517C70"/>
    <w:rsid w:val="0052179C"/>
    <w:rsid w:val="00526049"/>
    <w:rsid w:val="0052627F"/>
    <w:rsid w:val="005406BB"/>
    <w:rsid w:val="005443E4"/>
    <w:rsid w:val="00545210"/>
    <w:rsid w:val="00545BF2"/>
    <w:rsid w:val="00547D41"/>
    <w:rsid w:val="005555C5"/>
    <w:rsid w:val="005560F5"/>
    <w:rsid w:val="00560F34"/>
    <w:rsid w:val="00562FA3"/>
    <w:rsid w:val="005633EC"/>
    <w:rsid w:val="00564683"/>
    <w:rsid w:val="00567822"/>
    <w:rsid w:val="00572484"/>
    <w:rsid w:val="00573624"/>
    <w:rsid w:val="00573B5E"/>
    <w:rsid w:val="00573D7C"/>
    <w:rsid w:val="00580259"/>
    <w:rsid w:val="00585507"/>
    <w:rsid w:val="00586DFA"/>
    <w:rsid w:val="00587EE2"/>
    <w:rsid w:val="00592826"/>
    <w:rsid w:val="00594FA2"/>
    <w:rsid w:val="005961FB"/>
    <w:rsid w:val="00597E0C"/>
    <w:rsid w:val="005A2118"/>
    <w:rsid w:val="005A3918"/>
    <w:rsid w:val="005A4337"/>
    <w:rsid w:val="005A7235"/>
    <w:rsid w:val="005B0358"/>
    <w:rsid w:val="005B0647"/>
    <w:rsid w:val="005B2351"/>
    <w:rsid w:val="005B361B"/>
    <w:rsid w:val="005B3B32"/>
    <w:rsid w:val="005B587F"/>
    <w:rsid w:val="005C3F05"/>
    <w:rsid w:val="005D38D2"/>
    <w:rsid w:val="005E26D0"/>
    <w:rsid w:val="005E3889"/>
    <w:rsid w:val="005E4897"/>
    <w:rsid w:val="005E6288"/>
    <w:rsid w:val="005F4E49"/>
    <w:rsid w:val="005F7BFD"/>
    <w:rsid w:val="00601544"/>
    <w:rsid w:val="006015F6"/>
    <w:rsid w:val="00604ECC"/>
    <w:rsid w:val="006063F7"/>
    <w:rsid w:val="00607808"/>
    <w:rsid w:val="0060789D"/>
    <w:rsid w:val="006101CE"/>
    <w:rsid w:val="006156D0"/>
    <w:rsid w:val="00615FB0"/>
    <w:rsid w:val="0061662C"/>
    <w:rsid w:val="00621436"/>
    <w:rsid w:val="00621EC8"/>
    <w:rsid w:val="00622714"/>
    <w:rsid w:val="0062325F"/>
    <w:rsid w:val="0062440A"/>
    <w:rsid w:val="00625C1B"/>
    <w:rsid w:val="0063169F"/>
    <w:rsid w:val="0063205E"/>
    <w:rsid w:val="006321A9"/>
    <w:rsid w:val="00633217"/>
    <w:rsid w:val="00636AC3"/>
    <w:rsid w:val="00637C3F"/>
    <w:rsid w:val="00640C7B"/>
    <w:rsid w:val="00643011"/>
    <w:rsid w:val="00645CF0"/>
    <w:rsid w:val="00647332"/>
    <w:rsid w:val="0065597C"/>
    <w:rsid w:val="00656F2E"/>
    <w:rsid w:val="00662D7B"/>
    <w:rsid w:val="00663787"/>
    <w:rsid w:val="006668AC"/>
    <w:rsid w:val="00666D08"/>
    <w:rsid w:val="0067445B"/>
    <w:rsid w:val="0067497E"/>
    <w:rsid w:val="00677084"/>
    <w:rsid w:val="0068228D"/>
    <w:rsid w:val="006823B7"/>
    <w:rsid w:val="00682E57"/>
    <w:rsid w:val="006856E3"/>
    <w:rsid w:val="00692934"/>
    <w:rsid w:val="00693FC3"/>
    <w:rsid w:val="006940CF"/>
    <w:rsid w:val="00695E21"/>
    <w:rsid w:val="006968F1"/>
    <w:rsid w:val="00696E80"/>
    <w:rsid w:val="00697140"/>
    <w:rsid w:val="006A1906"/>
    <w:rsid w:val="006A2D9F"/>
    <w:rsid w:val="006A44DC"/>
    <w:rsid w:val="006A640D"/>
    <w:rsid w:val="006A6BC1"/>
    <w:rsid w:val="006B1E59"/>
    <w:rsid w:val="006B4ED5"/>
    <w:rsid w:val="006B6D85"/>
    <w:rsid w:val="006C4769"/>
    <w:rsid w:val="006C5B55"/>
    <w:rsid w:val="006C5EE4"/>
    <w:rsid w:val="006C5FFE"/>
    <w:rsid w:val="006D399D"/>
    <w:rsid w:val="006D3F80"/>
    <w:rsid w:val="006D4067"/>
    <w:rsid w:val="006E1118"/>
    <w:rsid w:val="006F04B6"/>
    <w:rsid w:val="006F0750"/>
    <w:rsid w:val="006F16A5"/>
    <w:rsid w:val="006F3213"/>
    <w:rsid w:val="006F4F26"/>
    <w:rsid w:val="00700A5E"/>
    <w:rsid w:val="00702643"/>
    <w:rsid w:val="00706BF9"/>
    <w:rsid w:val="00710F43"/>
    <w:rsid w:val="0071120F"/>
    <w:rsid w:val="00712557"/>
    <w:rsid w:val="0071565E"/>
    <w:rsid w:val="00720759"/>
    <w:rsid w:val="00732D29"/>
    <w:rsid w:val="00736A6C"/>
    <w:rsid w:val="00740557"/>
    <w:rsid w:val="007431EF"/>
    <w:rsid w:val="007447E5"/>
    <w:rsid w:val="00744C0E"/>
    <w:rsid w:val="0075166E"/>
    <w:rsid w:val="00753D6D"/>
    <w:rsid w:val="007658E7"/>
    <w:rsid w:val="0077199E"/>
    <w:rsid w:val="00772249"/>
    <w:rsid w:val="00772EDF"/>
    <w:rsid w:val="00775161"/>
    <w:rsid w:val="00777E09"/>
    <w:rsid w:val="007809F4"/>
    <w:rsid w:val="0078263E"/>
    <w:rsid w:val="00786631"/>
    <w:rsid w:val="00793736"/>
    <w:rsid w:val="007946B4"/>
    <w:rsid w:val="007960AC"/>
    <w:rsid w:val="007A5852"/>
    <w:rsid w:val="007A65C9"/>
    <w:rsid w:val="007A6671"/>
    <w:rsid w:val="007A7766"/>
    <w:rsid w:val="007A7A32"/>
    <w:rsid w:val="007A7DE2"/>
    <w:rsid w:val="007B232D"/>
    <w:rsid w:val="007B5239"/>
    <w:rsid w:val="007C0371"/>
    <w:rsid w:val="007C071F"/>
    <w:rsid w:val="007C0DD1"/>
    <w:rsid w:val="007C247A"/>
    <w:rsid w:val="007C25AF"/>
    <w:rsid w:val="007C3214"/>
    <w:rsid w:val="007C4D00"/>
    <w:rsid w:val="007C52FD"/>
    <w:rsid w:val="007C5CFC"/>
    <w:rsid w:val="007D0082"/>
    <w:rsid w:val="007D5AEC"/>
    <w:rsid w:val="007D7E62"/>
    <w:rsid w:val="007E349A"/>
    <w:rsid w:val="007E4AC5"/>
    <w:rsid w:val="007E56BE"/>
    <w:rsid w:val="007F1DEA"/>
    <w:rsid w:val="0080361F"/>
    <w:rsid w:val="00805E0B"/>
    <w:rsid w:val="00810D15"/>
    <w:rsid w:val="00812368"/>
    <w:rsid w:val="00813720"/>
    <w:rsid w:val="0082521F"/>
    <w:rsid w:val="0082600F"/>
    <w:rsid w:val="008267DA"/>
    <w:rsid w:val="00832A26"/>
    <w:rsid w:val="00833249"/>
    <w:rsid w:val="00833CBA"/>
    <w:rsid w:val="00833F50"/>
    <w:rsid w:val="00835D8A"/>
    <w:rsid w:val="008374C6"/>
    <w:rsid w:val="008427DC"/>
    <w:rsid w:val="00844BC1"/>
    <w:rsid w:val="00844CDA"/>
    <w:rsid w:val="008458C5"/>
    <w:rsid w:val="00847A11"/>
    <w:rsid w:val="0085128A"/>
    <w:rsid w:val="00867F08"/>
    <w:rsid w:val="008730E2"/>
    <w:rsid w:val="008741D5"/>
    <w:rsid w:val="0088111C"/>
    <w:rsid w:val="00881278"/>
    <w:rsid w:val="00881EA7"/>
    <w:rsid w:val="008832CD"/>
    <w:rsid w:val="00883BBA"/>
    <w:rsid w:val="00884C7A"/>
    <w:rsid w:val="00886892"/>
    <w:rsid w:val="008871A6"/>
    <w:rsid w:val="00891529"/>
    <w:rsid w:val="008A303E"/>
    <w:rsid w:val="008A4B63"/>
    <w:rsid w:val="008A79F1"/>
    <w:rsid w:val="008B4DFB"/>
    <w:rsid w:val="008B60AA"/>
    <w:rsid w:val="008B6396"/>
    <w:rsid w:val="008C1D97"/>
    <w:rsid w:val="008C688A"/>
    <w:rsid w:val="008C7375"/>
    <w:rsid w:val="008D0494"/>
    <w:rsid w:val="008D3339"/>
    <w:rsid w:val="008D7A2A"/>
    <w:rsid w:val="008F148B"/>
    <w:rsid w:val="008F2FDA"/>
    <w:rsid w:val="008F37BE"/>
    <w:rsid w:val="008F41B4"/>
    <w:rsid w:val="008F4967"/>
    <w:rsid w:val="008F4CC5"/>
    <w:rsid w:val="008F7DDA"/>
    <w:rsid w:val="00901A86"/>
    <w:rsid w:val="00902670"/>
    <w:rsid w:val="00904316"/>
    <w:rsid w:val="0090527F"/>
    <w:rsid w:val="0090783A"/>
    <w:rsid w:val="00907DC7"/>
    <w:rsid w:val="00910FDA"/>
    <w:rsid w:val="009115BC"/>
    <w:rsid w:val="00912707"/>
    <w:rsid w:val="00914C89"/>
    <w:rsid w:val="00915218"/>
    <w:rsid w:val="00917DC9"/>
    <w:rsid w:val="00924DF6"/>
    <w:rsid w:val="0093246D"/>
    <w:rsid w:val="009335C2"/>
    <w:rsid w:val="00936697"/>
    <w:rsid w:val="00945548"/>
    <w:rsid w:val="009459C2"/>
    <w:rsid w:val="00947640"/>
    <w:rsid w:val="0095288C"/>
    <w:rsid w:val="0095303D"/>
    <w:rsid w:val="00955CA9"/>
    <w:rsid w:val="00955E04"/>
    <w:rsid w:val="00965EE7"/>
    <w:rsid w:val="00966CF0"/>
    <w:rsid w:val="009702A4"/>
    <w:rsid w:val="00970783"/>
    <w:rsid w:val="009713A7"/>
    <w:rsid w:val="0097152D"/>
    <w:rsid w:val="009723F6"/>
    <w:rsid w:val="00974417"/>
    <w:rsid w:val="00977E30"/>
    <w:rsid w:val="0098166D"/>
    <w:rsid w:val="009842A3"/>
    <w:rsid w:val="00984939"/>
    <w:rsid w:val="00985FB9"/>
    <w:rsid w:val="009870DD"/>
    <w:rsid w:val="00991BB3"/>
    <w:rsid w:val="009951CF"/>
    <w:rsid w:val="009962C1"/>
    <w:rsid w:val="009A27C5"/>
    <w:rsid w:val="009A6A90"/>
    <w:rsid w:val="009B0662"/>
    <w:rsid w:val="009B1436"/>
    <w:rsid w:val="009B1C3E"/>
    <w:rsid w:val="009B4201"/>
    <w:rsid w:val="009B6C59"/>
    <w:rsid w:val="009C488F"/>
    <w:rsid w:val="009C49E4"/>
    <w:rsid w:val="009C52C3"/>
    <w:rsid w:val="009C7C31"/>
    <w:rsid w:val="009D0F62"/>
    <w:rsid w:val="009D28E1"/>
    <w:rsid w:val="009D3BD5"/>
    <w:rsid w:val="009D3C16"/>
    <w:rsid w:val="009D5A55"/>
    <w:rsid w:val="009D6096"/>
    <w:rsid w:val="009F7070"/>
    <w:rsid w:val="009F7CFA"/>
    <w:rsid w:val="00A020EB"/>
    <w:rsid w:val="00A05546"/>
    <w:rsid w:val="00A06B90"/>
    <w:rsid w:val="00A10ACB"/>
    <w:rsid w:val="00A11E48"/>
    <w:rsid w:val="00A141E9"/>
    <w:rsid w:val="00A17CD4"/>
    <w:rsid w:val="00A21074"/>
    <w:rsid w:val="00A21FA9"/>
    <w:rsid w:val="00A24B3D"/>
    <w:rsid w:val="00A250D5"/>
    <w:rsid w:val="00A25E40"/>
    <w:rsid w:val="00A41BD4"/>
    <w:rsid w:val="00A44715"/>
    <w:rsid w:val="00A45231"/>
    <w:rsid w:val="00A51A0D"/>
    <w:rsid w:val="00A577A8"/>
    <w:rsid w:val="00A61470"/>
    <w:rsid w:val="00A617F4"/>
    <w:rsid w:val="00A64930"/>
    <w:rsid w:val="00A677D4"/>
    <w:rsid w:val="00A82921"/>
    <w:rsid w:val="00A85E72"/>
    <w:rsid w:val="00A90F55"/>
    <w:rsid w:val="00A9152C"/>
    <w:rsid w:val="00AA0C4B"/>
    <w:rsid w:val="00AA1000"/>
    <w:rsid w:val="00AA1473"/>
    <w:rsid w:val="00AA589F"/>
    <w:rsid w:val="00AA6813"/>
    <w:rsid w:val="00AB03D1"/>
    <w:rsid w:val="00AB0A01"/>
    <w:rsid w:val="00AB2AFD"/>
    <w:rsid w:val="00AB56BC"/>
    <w:rsid w:val="00AB6D78"/>
    <w:rsid w:val="00AC04BA"/>
    <w:rsid w:val="00AC1A7D"/>
    <w:rsid w:val="00AC2ED0"/>
    <w:rsid w:val="00AC3188"/>
    <w:rsid w:val="00AC5B5F"/>
    <w:rsid w:val="00AD0254"/>
    <w:rsid w:val="00AD34F5"/>
    <w:rsid w:val="00AD65CB"/>
    <w:rsid w:val="00AE21ED"/>
    <w:rsid w:val="00AE2303"/>
    <w:rsid w:val="00AE3252"/>
    <w:rsid w:val="00AE3EAD"/>
    <w:rsid w:val="00AE6094"/>
    <w:rsid w:val="00AF06C6"/>
    <w:rsid w:val="00AF0D0A"/>
    <w:rsid w:val="00AF1C71"/>
    <w:rsid w:val="00AF41AE"/>
    <w:rsid w:val="00AF4441"/>
    <w:rsid w:val="00AF460E"/>
    <w:rsid w:val="00AF5309"/>
    <w:rsid w:val="00B10497"/>
    <w:rsid w:val="00B10E96"/>
    <w:rsid w:val="00B11029"/>
    <w:rsid w:val="00B11909"/>
    <w:rsid w:val="00B1511C"/>
    <w:rsid w:val="00B1581F"/>
    <w:rsid w:val="00B15F28"/>
    <w:rsid w:val="00B2476A"/>
    <w:rsid w:val="00B30173"/>
    <w:rsid w:val="00B30FD4"/>
    <w:rsid w:val="00B32FD1"/>
    <w:rsid w:val="00B33E4A"/>
    <w:rsid w:val="00B36455"/>
    <w:rsid w:val="00B429C3"/>
    <w:rsid w:val="00B459D2"/>
    <w:rsid w:val="00B50A38"/>
    <w:rsid w:val="00B50B9B"/>
    <w:rsid w:val="00B50D52"/>
    <w:rsid w:val="00B51339"/>
    <w:rsid w:val="00B525F3"/>
    <w:rsid w:val="00B52F93"/>
    <w:rsid w:val="00B53803"/>
    <w:rsid w:val="00B60F02"/>
    <w:rsid w:val="00B61867"/>
    <w:rsid w:val="00B626C8"/>
    <w:rsid w:val="00B6538F"/>
    <w:rsid w:val="00B66085"/>
    <w:rsid w:val="00B74B4A"/>
    <w:rsid w:val="00B77F02"/>
    <w:rsid w:val="00B80C91"/>
    <w:rsid w:val="00B833F6"/>
    <w:rsid w:val="00B857DF"/>
    <w:rsid w:val="00B92F5F"/>
    <w:rsid w:val="00B957CD"/>
    <w:rsid w:val="00B963B2"/>
    <w:rsid w:val="00BA0559"/>
    <w:rsid w:val="00BA1000"/>
    <w:rsid w:val="00BA10CA"/>
    <w:rsid w:val="00BA1D91"/>
    <w:rsid w:val="00BA358B"/>
    <w:rsid w:val="00BA3673"/>
    <w:rsid w:val="00BA7092"/>
    <w:rsid w:val="00BA751B"/>
    <w:rsid w:val="00BB41BE"/>
    <w:rsid w:val="00BB55E8"/>
    <w:rsid w:val="00BC1451"/>
    <w:rsid w:val="00BC19C6"/>
    <w:rsid w:val="00BC3793"/>
    <w:rsid w:val="00BC5F61"/>
    <w:rsid w:val="00BC64D7"/>
    <w:rsid w:val="00BD0F24"/>
    <w:rsid w:val="00BD4F89"/>
    <w:rsid w:val="00BD6312"/>
    <w:rsid w:val="00BD7A0D"/>
    <w:rsid w:val="00BE0FDE"/>
    <w:rsid w:val="00BE1432"/>
    <w:rsid w:val="00BE5883"/>
    <w:rsid w:val="00BE7111"/>
    <w:rsid w:val="00BF000D"/>
    <w:rsid w:val="00BF075A"/>
    <w:rsid w:val="00BF401B"/>
    <w:rsid w:val="00C0382C"/>
    <w:rsid w:val="00C0509F"/>
    <w:rsid w:val="00C06132"/>
    <w:rsid w:val="00C134E3"/>
    <w:rsid w:val="00C220FC"/>
    <w:rsid w:val="00C269DC"/>
    <w:rsid w:val="00C26B8E"/>
    <w:rsid w:val="00C27FFD"/>
    <w:rsid w:val="00C32CD4"/>
    <w:rsid w:val="00C348EC"/>
    <w:rsid w:val="00C37852"/>
    <w:rsid w:val="00C4119B"/>
    <w:rsid w:val="00C4288E"/>
    <w:rsid w:val="00C42B2E"/>
    <w:rsid w:val="00C43D88"/>
    <w:rsid w:val="00C47953"/>
    <w:rsid w:val="00C54119"/>
    <w:rsid w:val="00C55AD6"/>
    <w:rsid w:val="00C70C7C"/>
    <w:rsid w:val="00C76393"/>
    <w:rsid w:val="00C76789"/>
    <w:rsid w:val="00C773C3"/>
    <w:rsid w:val="00C81016"/>
    <w:rsid w:val="00C822CF"/>
    <w:rsid w:val="00C830A0"/>
    <w:rsid w:val="00C8562C"/>
    <w:rsid w:val="00C90CC6"/>
    <w:rsid w:val="00C927B9"/>
    <w:rsid w:val="00C978D7"/>
    <w:rsid w:val="00CA177B"/>
    <w:rsid w:val="00CA5510"/>
    <w:rsid w:val="00CA6C67"/>
    <w:rsid w:val="00CA70AE"/>
    <w:rsid w:val="00CB28F5"/>
    <w:rsid w:val="00CB2C39"/>
    <w:rsid w:val="00CB3B46"/>
    <w:rsid w:val="00CB6AA4"/>
    <w:rsid w:val="00CC092A"/>
    <w:rsid w:val="00CC2F83"/>
    <w:rsid w:val="00CC3DDA"/>
    <w:rsid w:val="00CC4443"/>
    <w:rsid w:val="00CD2402"/>
    <w:rsid w:val="00CD3A03"/>
    <w:rsid w:val="00CD3EE7"/>
    <w:rsid w:val="00CD4937"/>
    <w:rsid w:val="00CD7888"/>
    <w:rsid w:val="00CE0DB7"/>
    <w:rsid w:val="00CE240E"/>
    <w:rsid w:val="00CE3D0E"/>
    <w:rsid w:val="00CE71CD"/>
    <w:rsid w:val="00CF2997"/>
    <w:rsid w:val="00CF5DD2"/>
    <w:rsid w:val="00CF741B"/>
    <w:rsid w:val="00D02B43"/>
    <w:rsid w:val="00D04E33"/>
    <w:rsid w:val="00D07830"/>
    <w:rsid w:val="00D140A0"/>
    <w:rsid w:val="00D20C90"/>
    <w:rsid w:val="00D23268"/>
    <w:rsid w:val="00D25B9A"/>
    <w:rsid w:val="00D2734A"/>
    <w:rsid w:val="00D27CBB"/>
    <w:rsid w:val="00D27F7D"/>
    <w:rsid w:val="00D33DA3"/>
    <w:rsid w:val="00D369AE"/>
    <w:rsid w:val="00D54C37"/>
    <w:rsid w:val="00D5568C"/>
    <w:rsid w:val="00D56E89"/>
    <w:rsid w:val="00D611AB"/>
    <w:rsid w:val="00D61744"/>
    <w:rsid w:val="00D65F7B"/>
    <w:rsid w:val="00D67AE2"/>
    <w:rsid w:val="00D713FC"/>
    <w:rsid w:val="00D73310"/>
    <w:rsid w:val="00D73DB9"/>
    <w:rsid w:val="00D74FA6"/>
    <w:rsid w:val="00D7667A"/>
    <w:rsid w:val="00D773BF"/>
    <w:rsid w:val="00D7789C"/>
    <w:rsid w:val="00D805B2"/>
    <w:rsid w:val="00D8599B"/>
    <w:rsid w:val="00D873C1"/>
    <w:rsid w:val="00D87D83"/>
    <w:rsid w:val="00D87FAC"/>
    <w:rsid w:val="00D91FF9"/>
    <w:rsid w:val="00D93AB3"/>
    <w:rsid w:val="00D943C5"/>
    <w:rsid w:val="00D94617"/>
    <w:rsid w:val="00D95D43"/>
    <w:rsid w:val="00D9658E"/>
    <w:rsid w:val="00D975F4"/>
    <w:rsid w:val="00DA07A9"/>
    <w:rsid w:val="00DA18C5"/>
    <w:rsid w:val="00DA4801"/>
    <w:rsid w:val="00DB1770"/>
    <w:rsid w:val="00DB690F"/>
    <w:rsid w:val="00DC00C2"/>
    <w:rsid w:val="00DC03E5"/>
    <w:rsid w:val="00DC209F"/>
    <w:rsid w:val="00DC24C0"/>
    <w:rsid w:val="00DC31BE"/>
    <w:rsid w:val="00DC4B2B"/>
    <w:rsid w:val="00DC56C0"/>
    <w:rsid w:val="00DD15B5"/>
    <w:rsid w:val="00DD1848"/>
    <w:rsid w:val="00DD2ED5"/>
    <w:rsid w:val="00DD7D9A"/>
    <w:rsid w:val="00DD7E2A"/>
    <w:rsid w:val="00DE6575"/>
    <w:rsid w:val="00DF0C83"/>
    <w:rsid w:val="00DF5790"/>
    <w:rsid w:val="00DF5908"/>
    <w:rsid w:val="00E02525"/>
    <w:rsid w:val="00E0547F"/>
    <w:rsid w:val="00E055DA"/>
    <w:rsid w:val="00E1093E"/>
    <w:rsid w:val="00E11A4E"/>
    <w:rsid w:val="00E16D47"/>
    <w:rsid w:val="00E22408"/>
    <w:rsid w:val="00E24DEA"/>
    <w:rsid w:val="00E25FB9"/>
    <w:rsid w:val="00E30A00"/>
    <w:rsid w:val="00E371E3"/>
    <w:rsid w:val="00E437E2"/>
    <w:rsid w:val="00E441FD"/>
    <w:rsid w:val="00E44840"/>
    <w:rsid w:val="00E45504"/>
    <w:rsid w:val="00E45DAC"/>
    <w:rsid w:val="00E50F67"/>
    <w:rsid w:val="00E51476"/>
    <w:rsid w:val="00E63CBC"/>
    <w:rsid w:val="00E6539B"/>
    <w:rsid w:val="00E65809"/>
    <w:rsid w:val="00E66D4D"/>
    <w:rsid w:val="00E7236D"/>
    <w:rsid w:val="00E72782"/>
    <w:rsid w:val="00E73D14"/>
    <w:rsid w:val="00E74865"/>
    <w:rsid w:val="00E8168F"/>
    <w:rsid w:val="00E824A2"/>
    <w:rsid w:val="00E82C2C"/>
    <w:rsid w:val="00E84BC9"/>
    <w:rsid w:val="00E86589"/>
    <w:rsid w:val="00E919F4"/>
    <w:rsid w:val="00E93224"/>
    <w:rsid w:val="00E94104"/>
    <w:rsid w:val="00EA3E09"/>
    <w:rsid w:val="00EA41FD"/>
    <w:rsid w:val="00EA6C01"/>
    <w:rsid w:val="00EB17F0"/>
    <w:rsid w:val="00EB198B"/>
    <w:rsid w:val="00EB2228"/>
    <w:rsid w:val="00EB4CDE"/>
    <w:rsid w:val="00EB599A"/>
    <w:rsid w:val="00EB6854"/>
    <w:rsid w:val="00EC0F8C"/>
    <w:rsid w:val="00EC35E3"/>
    <w:rsid w:val="00ED1F38"/>
    <w:rsid w:val="00ED3867"/>
    <w:rsid w:val="00EE3462"/>
    <w:rsid w:val="00EE4D34"/>
    <w:rsid w:val="00EE5B7B"/>
    <w:rsid w:val="00EF482F"/>
    <w:rsid w:val="00EF4FC1"/>
    <w:rsid w:val="00EF6D79"/>
    <w:rsid w:val="00EF718B"/>
    <w:rsid w:val="00F00A6E"/>
    <w:rsid w:val="00F00BF8"/>
    <w:rsid w:val="00F01E6A"/>
    <w:rsid w:val="00F02C81"/>
    <w:rsid w:val="00F04501"/>
    <w:rsid w:val="00F0535D"/>
    <w:rsid w:val="00F057BB"/>
    <w:rsid w:val="00F13661"/>
    <w:rsid w:val="00F1613E"/>
    <w:rsid w:val="00F17EC6"/>
    <w:rsid w:val="00F25991"/>
    <w:rsid w:val="00F263AB"/>
    <w:rsid w:val="00F31775"/>
    <w:rsid w:val="00F361EE"/>
    <w:rsid w:val="00F456EB"/>
    <w:rsid w:val="00F5576C"/>
    <w:rsid w:val="00F57DD9"/>
    <w:rsid w:val="00F63716"/>
    <w:rsid w:val="00F6439A"/>
    <w:rsid w:val="00F651B1"/>
    <w:rsid w:val="00F754E6"/>
    <w:rsid w:val="00F76DE0"/>
    <w:rsid w:val="00F77BD3"/>
    <w:rsid w:val="00F8346E"/>
    <w:rsid w:val="00F851B0"/>
    <w:rsid w:val="00F91203"/>
    <w:rsid w:val="00F91808"/>
    <w:rsid w:val="00F9301D"/>
    <w:rsid w:val="00F9320D"/>
    <w:rsid w:val="00F94C27"/>
    <w:rsid w:val="00F94C61"/>
    <w:rsid w:val="00F96CDB"/>
    <w:rsid w:val="00F97726"/>
    <w:rsid w:val="00FA0714"/>
    <w:rsid w:val="00FA23BC"/>
    <w:rsid w:val="00FA3A79"/>
    <w:rsid w:val="00FA6CD1"/>
    <w:rsid w:val="00FB09F9"/>
    <w:rsid w:val="00FB4DDA"/>
    <w:rsid w:val="00FB4E94"/>
    <w:rsid w:val="00FB5D27"/>
    <w:rsid w:val="00FB7267"/>
    <w:rsid w:val="00FC1283"/>
    <w:rsid w:val="00FC14DA"/>
    <w:rsid w:val="00FC3F39"/>
    <w:rsid w:val="00FC56DB"/>
    <w:rsid w:val="00FC5808"/>
    <w:rsid w:val="00FC70AA"/>
    <w:rsid w:val="00FD3E3E"/>
    <w:rsid w:val="00FD44AA"/>
    <w:rsid w:val="00FD496D"/>
    <w:rsid w:val="00FE1AE6"/>
    <w:rsid w:val="00FE71E2"/>
    <w:rsid w:val="00FE7961"/>
    <w:rsid w:val="00FF058A"/>
    <w:rsid w:val="00FF1155"/>
    <w:rsid w:val="00FF1270"/>
    <w:rsid w:val="00FF15CD"/>
    <w:rsid w:val="00FF642E"/>
    <w:rsid w:val="00FF6C20"/>
    <w:rsid w:val="01066B78"/>
    <w:rsid w:val="011E0ED6"/>
    <w:rsid w:val="0183147E"/>
    <w:rsid w:val="01C73EBA"/>
    <w:rsid w:val="01DC57E3"/>
    <w:rsid w:val="01E86C8A"/>
    <w:rsid w:val="0245428F"/>
    <w:rsid w:val="027A1C8B"/>
    <w:rsid w:val="0292407A"/>
    <w:rsid w:val="030350D5"/>
    <w:rsid w:val="03394762"/>
    <w:rsid w:val="033D5EAD"/>
    <w:rsid w:val="037423CA"/>
    <w:rsid w:val="03832D72"/>
    <w:rsid w:val="03955B85"/>
    <w:rsid w:val="039E6088"/>
    <w:rsid w:val="03AA2235"/>
    <w:rsid w:val="03BC3E07"/>
    <w:rsid w:val="03F83E44"/>
    <w:rsid w:val="040426BA"/>
    <w:rsid w:val="041661FE"/>
    <w:rsid w:val="04644E29"/>
    <w:rsid w:val="048D583F"/>
    <w:rsid w:val="04C174F9"/>
    <w:rsid w:val="04D63832"/>
    <w:rsid w:val="04D91048"/>
    <w:rsid w:val="05204873"/>
    <w:rsid w:val="05481DDE"/>
    <w:rsid w:val="055B6F3A"/>
    <w:rsid w:val="05603073"/>
    <w:rsid w:val="058E1A4E"/>
    <w:rsid w:val="05DE6111"/>
    <w:rsid w:val="05E02ECB"/>
    <w:rsid w:val="05EE50EA"/>
    <w:rsid w:val="067D0FD3"/>
    <w:rsid w:val="06B9256F"/>
    <w:rsid w:val="06FF04FA"/>
    <w:rsid w:val="071E3584"/>
    <w:rsid w:val="073E644D"/>
    <w:rsid w:val="074069EF"/>
    <w:rsid w:val="075F68E7"/>
    <w:rsid w:val="07732B1B"/>
    <w:rsid w:val="078759D6"/>
    <w:rsid w:val="078A2227"/>
    <w:rsid w:val="07BB55D8"/>
    <w:rsid w:val="07D7326E"/>
    <w:rsid w:val="07DA59B3"/>
    <w:rsid w:val="07F426A9"/>
    <w:rsid w:val="07FF0705"/>
    <w:rsid w:val="08071BFE"/>
    <w:rsid w:val="080D0484"/>
    <w:rsid w:val="081B1B78"/>
    <w:rsid w:val="08247937"/>
    <w:rsid w:val="082D0D6C"/>
    <w:rsid w:val="08305241"/>
    <w:rsid w:val="08522903"/>
    <w:rsid w:val="0891472B"/>
    <w:rsid w:val="08A75C53"/>
    <w:rsid w:val="08B53635"/>
    <w:rsid w:val="091A5BA4"/>
    <w:rsid w:val="093366BB"/>
    <w:rsid w:val="093C0488"/>
    <w:rsid w:val="095B3A49"/>
    <w:rsid w:val="09753973"/>
    <w:rsid w:val="0996067F"/>
    <w:rsid w:val="09CD7BFE"/>
    <w:rsid w:val="0A9C4217"/>
    <w:rsid w:val="0ABC3928"/>
    <w:rsid w:val="0AD10C0E"/>
    <w:rsid w:val="0AEB4AD2"/>
    <w:rsid w:val="0B1F6637"/>
    <w:rsid w:val="0B622B40"/>
    <w:rsid w:val="0BD06756"/>
    <w:rsid w:val="0C1D521B"/>
    <w:rsid w:val="0C2A4A9D"/>
    <w:rsid w:val="0C3F59D7"/>
    <w:rsid w:val="0CC949F7"/>
    <w:rsid w:val="0CEF58D3"/>
    <w:rsid w:val="0CF74A8B"/>
    <w:rsid w:val="0D021F24"/>
    <w:rsid w:val="0D321EC8"/>
    <w:rsid w:val="0D5E48EA"/>
    <w:rsid w:val="0D7943BF"/>
    <w:rsid w:val="0DC97CDF"/>
    <w:rsid w:val="0DED4ED8"/>
    <w:rsid w:val="0DF82521"/>
    <w:rsid w:val="0DFF1B35"/>
    <w:rsid w:val="0DFF36B1"/>
    <w:rsid w:val="0E8F0B7F"/>
    <w:rsid w:val="0EE619F6"/>
    <w:rsid w:val="0F216524"/>
    <w:rsid w:val="0F3D2453"/>
    <w:rsid w:val="0F4F1541"/>
    <w:rsid w:val="0F6373C6"/>
    <w:rsid w:val="0F7F70CB"/>
    <w:rsid w:val="0F951348"/>
    <w:rsid w:val="0FC40A9B"/>
    <w:rsid w:val="0FD90378"/>
    <w:rsid w:val="0FED4093"/>
    <w:rsid w:val="1026265D"/>
    <w:rsid w:val="10516195"/>
    <w:rsid w:val="107C4EB3"/>
    <w:rsid w:val="109D68A0"/>
    <w:rsid w:val="11321351"/>
    <w:rsid w:val="11A46DE3"/>
    <w:rsid w:val="12503C1B"/>
    <w:rsid w:val="12952420"/>
    <w:rsid w:val="12A803FF"/>
    <w:rsid w:val="12F61FD1"/>
    <w:rsid w:val="1303362F"/>
    <w:rsid w:val="130A1413"/>
    <w:rsid w:val="131C4C7C"/>
    <w:rsid w:val="13440D33"/>
    <w:rsid w:val="13F133CC"/>
    <w:rsid w:val="141F3664"/>
    <w:rsid w:val="143E2E7A"/>
    <w:rsid w:val="1454702C"/>
    <w:rsid w:val="14A22349"/>
    <w:rsid w:val="14B61C6E"/>
    <w:rsid w:val="14BC5A2D"/>
    <w:rsid w:val="14C611AE"/>
    <w:rsid w:val="14D15317"/>
    <w:rsid w:val="14EB47BF"/>
    <w:rsid w:val="14EE0719"/>
    <w:rsid w:val="155A542A"/>
    <w:rsid w:val="158B2657"/>
    <w:rsid w:val="15B72BFC"/>
    <w:rsid w:val="15E05E6F"/>
    <w:rsid w:val="160F75C0"/>
    <w:rsid w:val="165A3EE8"/>
    <w:rsid w:val="16881295"/>
    <w:rsid w:val="178124B0"/>
    <w:rsid w:val="178E2243"/>
    <w:rsid w:val="17E042E1"/>
    <w:rsid w:val="17FB2545"/>
    <w:rsid w:val="1810225B"/>
    <w:rsid w:val="18137152"/>
    <w:rsid w:val="18356FDB"/>
    <w:rsid w:val="185802FA"/>
    <w:rsid w:val="18835944"/>
    <w:rsid w:val="189965F7"/>
    <w:rsid w:val="189F734E"/>
    <w:rsid w:val="18A2136F"/>
    <w:rsid w:val="18B031F4"/>
    <w:rsid w:val="18C76880"/>
    <w:rsid w:val="18FC2FFC"/>
    <w:rsid w:val="18FC3813"/>
    <w:rsid w:val="19076EE1"/>
    <w:rsid w:val="192A2ACA"/>
    <w:rsid w:val="193502D9"/>
    <w:rsid w:val="19453F54"/>
    <w:rsid w:val="198E3DE4"/>
    <w:rsid w:val="19FD6182"/>
    <w:rsid w:val="1A10018D"/>
    <w:rsid w:val="1A330DE5"/>
    <w:rsid w:val="1A515A1A"/>
    <w:rsid w:val="1A6E1950"/>
    <w:rsid w:val="1A8E4DDB"/>
    <w:rsid w:val="1AAE1934"/>
    <w:rsid w:val="1AF55A9E"/>
    <w:rsid w:val="1B0A6FE8"/>
    <w:rsid w:val="1B0B2C86"/>
    <w:rsid w:val="1B2B0B06"/>
    <w:rsid w:val="1BB87374"/>
    <w:rsid w:val="1BCD395B"/>
    <w:rsid w:val="1BF80A6D"/>
    <w:rsid w:val="1C2F0BDD"/>
    <w:rsid w:val="1C7702C9"/>
    <w:rsid w:val="1C9407CE"/>
    <w:rsid w:val="1CB825AE"/>
    <w:rsid w:val="1CC84369"/>
    <w:rsid w:val="1CE228A4"/>
    <w:rsid w:val="1CF34474"/>
    <w:rsid w:val="1D271B39"/>
    <w:rsid w:val="1D2C5AF8"/>
    <w:rsid w:val="1D3F0ECE"/>
    <w:rsid w:val="1D6A2C5F"/>
    <w:rsid w:val="1D724179"/>
    <w:rsid w:val="1D952AC9"/>
    <w:rsid w:val="1D974B00"/>
    <w:rsid w:val="1D9F2C63"/>
    <w:rsid w:val="1DBB6D30"/>
    <w:rsid w:val="1DD06B17"/>
    <w:rsid w:val="1E8528D6"/>
    <w:rsid w:val="1EE80B97"/>
    <w:rsid w:val="1F323EDC"/>
    <w:rsid w:val="1FEA58CF"/>
    <w:rsid w:val="1FF2408A"/>
    <w:rsid w:val="203C3787"/>
    <w:rsid w:val="20612485"/>
    <w:rsid w:val="2083755F"/>
    <w:rsid w:val="20954D5A"/>
    <w:rsid w:val="20B746CA"/>
    <w:rsid w:val="211A749D"/>
    <w:rsid w:val="212526FF"/>
    <w:rsid w:val="212F39E4"/>
    <w:rsid w:val="214E5E40"/>
    <w:rsid w:val="215D63CE"/>
    <w:rsid w:val="21613705"/>
    <w:rsid w:val="216646F0"/>
    <w:rsid w:val="21681630"/>
    <w:rsid w:val="218955ED"/>
    <w:rsid w:val="218C32D4"/>
    <w:rsid w:val="21C657DF"/>
    <w:rsid w:val="21E046AE"/>
    <w:rsid w:val="22795EFD"/>
    <w:rsid w:val="227F106E"/>
    <w:rsid w:val="228E4662"/>
    <w:rsid w:val="22A23D86"/>
    <w:rsid w:val="22FF1E1C"/>
    <w:rsid w:val="23DC01C2"/>
    <w:rsid w:val="242A729C"/>
    <w:rsid w:val="2447639C"/>
    <w:rsid w:val="247F662B"/>
    <w:rsid w:val="24A50EAC"/>
    <w:rsid w:val="24E279D6"/>
    <w:rsid w:val="25140679"/>
    <w:rsid w:val="251501C6"/>
    <w:rsid w:val="251919CB"/>
    <w:rsid w:val="25670613"/>
    <w:rsid w:val="257E01BD"/>
    <w:rsid w:val="25A3240B"/>
    <w:rsid w:val="260073E5"/>
    <w:rsid w:val="267A2BB1"/>
    <w:rsid w:val="268756E9"/>
    <w:rsid w:val="269405AA"/>
    <w:rsid w:val="26B9150C"/>
    <w:rsid w:val="26C33502"/>
    <w:rsid w:val="26C55783"/>
    <w:rsid w:val="26D5795A"/>
    <w:rsid w:val="27024373"/>
    <w:rsid w:val="27181FF9"/>
    <w:rsid w:val="2739481A"/>
    <w:rsid w:val="273E6825"/>
    <w:rsid w:val="274961A0"/>
    <w:rsid w:val="27766F22"/>
    <w:rsid w:val="27B27BC8"/>
    <w:rsid w:val="27C65ACD"/>
    <w:rsid w:val="27C96A73"/>
    <w:rsid w:val="27EF4D7F"/>
    <w:rsid w:val="28413A87"/>
    <w:rsid w:val="28446D06"/>
    <w:rsid w:val="284F0DE9"/>
    <w:rsid w:val="286D248F"/>
    <w:rsid w:val="28C96D1C"/>
    <w:rsid w:val="291208DF"/>
    <w:rsid w:val="291C24D9"/>
    <w:rsid w:val="293463F5"/>
    <w:rsid w:val="29407B3F"/>
    <w:rsid w:val="297E348E"/>
    <w:rsid w:val="29903ECC"/>
    <w:rsid w:val="29AB7D61"/>
    <w:rsid w:val="29AC2154"/>
    <w:rsid w:val="2A603004"/>
    <w:rsid w:val="2ADC0267"/>
    <w:rsid w:val="2B080575"/>
    <w:rsid w:val="2B08410E"/>
    <w:rsid w:val="2B1D55BE"/>
    <w:rsid w:val="2B2800AD"/>
    <w:rsid w:val="2B4131AC"/>
    <w:rsid w:val="2B4B2BDC"/>
    <w:rsid w:val="2BAC08A2"/>
    <w:rsid w:val="2BB25E7C"/>
    <w:rsid w:val="2BBC2856"/>
    <w:rsid w:val="2BC541D3"/>
    <w:rsid w:val="2BC934AB"/>
    <w:rsid w:val="2BE95A55"/>
    <w:rsid w:val="2BED00A0"/>
    <w:rsid w:val="2BF4033A"/>
    <w:rsid w:val="2C0274AE"/>
    <w:rsid w:val="2C076184"/>
    <w:rsid w:val="2C0A0EC6"/>
    <w:rsid w:val="2C2C0B1F"/>
    <w:rsid w:val="2C312E6F"/>
    <w:rsid w:val="2C442FF7"/>
    <w:rsid w:val="2C4B4181"/>
    <w:rsid w:val="2C627771"/>
    <w:rsid w:val="2C875BEC"/>
    <w:rsid w:val="2C980F15"/>
    <w:rsid w:val="2D7753AB"/>
    <w:rsid w:val="2DA122D3"/>
    <w:rsid w:val="2DC6273A"/>
    <w:rsid w:val="2E09636C"/>
    <w:rsid w:val="2E221835"/>
    <w:rsid w:val="2E58070C"/>
    <w:rsid w:val="2E613974"/>
    <w:rsid w:val="2EC264CB"/>
    <w:rsid w:val="2F081257"/>
    <w:rsid w:val="2F4C09DC"/>
    <w:rsid w:val="2F5D5147"/>
    <w:rsid w:val="2F997350"/>
    <w:rsid w:val="2F9C5538"/>
    <w:rsid w:val="2FB56D3C"/>
    <w:rsid w:val="2FE531DF"/>
    <w:rsid w:val="303204FE"/>
    <w:rsid w:val="304718B3"/>
    <w:rsid w:val="30C91F5F"/>
    <w:rsid w:val="30D76BD8"/>
    <w:rsid w:val="31005963"/>
    <w:rsid w:val="313377C7"/>
    <w:rsid w:val="316D0738"/>
    <w:rsid w:val="31860116"/>
    <w:rsid w:val="31AE4B0F"/>
    <w:rsid w:val="31EC006E"/>
    <w:rsid w:val="32184DDD"/>
    <w:rsid w:val="3277351B"/>
    <w:rsid w:val="32A91174"/>
    <w:rsid w:val="33237D1A"/>
    <w:rsid w:val="335476F7"/>
    <w:rsid w:val="33AF6F56"/>
    <w:rsid w:val="33C21D11"/>
    <w:rsid w:val="33CF760E"/>
    <w:rsid w:val="34216CF0"/>
    <w:rsid w:val="34372BBB"/>
    <w:rsid w:val="345B4706"/>
    <w:rsid w:val="346C3795"/>
    <w:rsid w:val="34E779EE"/>
    <w:rsid w:val="35013C22"/>
    <w:rsid w:val="351A2658"/>
    <w:rsid w:val="355E4C32"/>
    <w:rsid w:val="3584479E"/>
    <w:rsid w:val="35CE33B6"/>
    <w:rsid w:val="35EA1DCB"/>
    <w:rsid w:val="35EF378A"/>
    <w:rsid w:val="364A57E2"/>
    <w:rsid w:val="36733CFC"/>
    <w:rsid w:val="368020B3"/>
    <w:rsid w:val="36926C7B"/>
    <w:rsid w:val="36BF6F2D"/>
    <w:rsid w:val="36E05B45"/>
    <w:rsid w:val="37367397"/>
    <w:rsid w:val="37502C99"/>
    <w:rsid w:val="376A4B0F"/>
    <w:rsid w:val="376B6484"/>
    <w:rsid w:val="379F47ED"/>
    <w:rsid w:val="37B17D3C"/>
    <w:rsid w:val="37C92F8E"/>
    <w:rsid w:val="37ED472A"/>
    <w:rsid w:val="38350713"/>
    <w:rsid w:val="3852142C"/>
    <w:rsid w:val="386A59FB"/>
    <w:rsid w:val="386B7F24"/>
    <w:rsid w:val="38883877"/>
    <w:rsid w:val="38901AF3"/>
    <w:rsid w:val="38CC48A0"/>
    <w:rsid w:val="38EE7B35"/>
    <w:rsid w:val="39103D20"/>
    <w:rsid w:val="391B159A"/>
    <w:rsid w:val="39771F30"/>
    <w:rsid w:val="39807AC5"/>
    <w:rsid w:val="39926B75"/>
    <w:rsid w:val="39C205D7"/>
    <w:rsid w:val="39C55BB2"/>
    <w:rsid w:val="39EA2544"/>
    <w:rsid w:val="39FB2ED7"/>
    <w:rsid w:val="3A167EF2"/>
    <w:rsid w:val="3A3F79F5"/>
    <w:rsid w:val="3AC8214F"/>
    <w:rsid w:val="3B252F38"/>
    <w:rsid w:val="3B5B41F0"/>
    <w:rsid w:val="3B5F44E5"/>
    <w:rsid w:val="3BC568EA"/>
    <w:rsid w:val="3BD56AF3"/>
    <w:rsid w:val="3C3A7D2B"/>
    <w:rsid w:val="3C3F0FF7"/>
    <w:rsid w:val="3C51633C"/>
    <w:rsid w:val="3C754B49"/>
    <w:rsid w:val="3CAD49E0"/>
    <w:rsid w:val="3CB90865"/>
    <w:rsid w:val="3CCE3B38"/>
    <w:rsid w:val="3CF404FB"/>
    <w:rsid w:val="3D0932F6"/>
    <w:rsid w:val="3D133E7A"/>
    <w:rsid w:val="3D492276"/>
    <w:rsid w:val="3D8B5627"/>
    <w:rsid w:val="3D9465BC"/>
    <w:rsid w:val="3D981C66"/>
    <w:rsid w:val="3DD274C6"/>
    <w:rsid w:val="3DD71CAD"/>
    <w:rsid w:val="3E004D07"/>
    <w:rsid w:val="3E076857"/>
    <w:rsid w:val="3E0776DA"/>
    <w:rsid w:val="3E2230A1"/>
    <w:rsid w:val="3E241DF9"/>
    <w:rsid w:val="3E2F7BDD"/>
    <w:rsid w:val="3E33740F"/>
    <w:rsid w:val="3E46257B"/>
    <w:rsid w:val="3E5A79E8"/>
    <w:rsid w:val="3E5D107F"/>
    <w:rsid w:val="3E9C4B71"/>
    <w:rsid w:val="3EE550EF"/>
    <w:rsid w:val="3EEB7ED7"/>
    <w:rsid w:val="3EEE550D"/>
    <w:rsid w:val="3F045EE2"/>
    <w:rsid w:val="3F0B021D"/>
    <w:rsid w:val="3F63667C"/>
    <w:rsid w:val="3F943940"/>
    <w:rsid w:val="3F9A3A96"/>
    <w:rsid w:val="3FDD0082"/>
    <w:rsid w:val="3FEC3B66"/>
    <w:rsid w:val="40112A03"/>
    <w:rsid w:val="40203F14"/>
    <w:rsid w:val="405A3030"/>
    <w:rsid w:val="407E0B99"/>
    <w:rsid w:val="40881BB4"/>
    <w:rsid w:val="408C6241"/>
    <w:rsid w:val="41377EA2"/>
    <w:rsid w:val="416D023F"/>
    <w:rsid w:val="41982E8B"/>
    <w:rsid w:val="41F2111C"/>
    <w:rsid w:val="42450299"/>
    <w:rsid w:val="424D153B"/>
    <w:rsid w:val="424E1373"/>
    <w:rsid w:val="426E7CCA"/>
    <w:rsid w:val="428F25CF"/>
    <w:rsid w:val="42D56E69"/>
    <w:rsid w:val="432016B9"/>
    <w:rsid w:val="43672373"/>
    <w:rsid w:val="43D77161"/>
    <w:rsid w:val="44065D8C"/>
    <w:rsid w:val="44400295"/>
    <w:rsid w:val="44AA7B8F"/>
    <w:rsid w:val="44AC30C0"/>
    <w:rsid w:val="44D43062"/>
    <w:rsid w:val="44F635EE"/>
    <w:rsid w:val="450C4BBC"/>
    <w:rsid w:val="450D11C8"/>
    <w:rsid w:val="451749BA"/>
    <w:rsid w:val="456760EB"/>
    <w:rsid w:val="45950931"/>
    <w:rsid w:val="45D834F2"/>
    <w:rsid w:val="45DA1698"/>
    <w:rsid w:val="45DC0FAF"/>
    <w:rsid w:val="45DE7357"/>
    <w:rsid w:val="45E32D23"/>
    <w:rsid w:val="46083875"/>
    <w:rsid w:val="46224FF2"/>
    <w:rsid w:val="46315EE0"/>
    <w:rsid w:val="469475BB"/>
    <w:rsid w:val="46A85945"/>
    <w:rsid w:val="46AE6868"/>
    <w:rsid w:val="46F60B1C"/>
    <w:rsid w:val="475A7DC8"/>
    <w:rsid w:val="47904B91"/>
    <w:rsid w:val="47AD08AD"/>
    <w:rsid w:val="480E74D6"/>
    <w:rsid w:val="49211E14"/>
    <w:rsid w:val="49344B89"/>
    <w:rsid w:val="49386E96"/>
    <w:rsid w:val="49674756"/>
    <w:rsid w:val="497D4E28"/>
    <w:rsid w:val="49B16CE6"/>
    <w:rsid w:val="49B40BE9"/>
    <w:rsid w:val="49CC7BEA"/>
    <w:rsid w:val="4A086774"/>
    <w:rsid w:val="4A147590"/>
    <w:rsid w:val="4A7113E6"/>
    <w:rsid w:val="4A71417B"/>
    <w:rsid w:val="4ABB12FA"/>
    <w:rsid w:val="4ACD5286"/>
    <w:rsid w:val="4AED6911"/>
    <w:rsid w:val="4B3C4021"/>
    <w:rsid w:val="4B3E4CAC"/>
    <w:rsid w:val="4B59480D"/>
    <w:rsid w:val="4B764CFA"/>
    <w:rsid w:val="4BAB5E4F"/>
    <w:rsid w:val="4BD17A9A"/>
    <w:rsid w:val="4C060B8D"/>
    <w:rsid w:val="4C1D68ED"/>
    <w:rsid w:val="4C235AFF"/>
    <w:rsid w:val="4C2A6890"/>
    <w:rsid w:val="4C665D6F"/>
    <w:rsid w:val="4C9A186A"/>
    <w:rsid w:val="4CA92092"/>
    <w:rsid w:val="4CB74888"/>
    <w:rsid w:val="4D0207A2"/>
    <w:rsid w:val="4D221FB5"/>
    <w:rsid w:val="4D654DD9"/>
    <w:rsid w:val="4D990AE2"/>
    <w:rsid w:val="4DC855AD"/>
    <w:rsid w:val="4DF55FBB"/>
    <w:rsid w:val="4E02750C"/>
    <w:rsid w:val="4E7352F4"/>
    <w:rsid w:val="4E8C276C"/>
    <w:rsid w:val="4EC5391B"/>
    <w:rsid w:val="4ECA2611"/>
    <w:rsid w:val="4ED6025D"/>
    <w:rsid w:val="4EDB09AC"/>
    <w:rsid w:val="4EE96EB6"/>
    <w:rsid w:val="4F914F55"/>
    <w:rsid w:val="4FC3658E"/>
    <w:rsid w:val="4FD62D0E"/>
    <w:rsid w:val="500F5BDB"/>
    <w:rsid w:val="501821E2"/>
    <w:rsid w:val="503578B2"/>
    <w:rsid w:val="5064151B"/>
    <w:rsid w:val="5076759E"/>
    <w:rsid w:val="50BE3BC3"/>
    <w:rsid w:val="50EF1AA3"/>
    <w:rsid w:val="5105782F"/>
    <w:rsid w:val="51151791"/>
    <w:rsid w:val="518A5817"/>
    <w:rsid w:val="51D211F5"/>
    <w:rsid w:val="522A3D6E"/>
    <w:rsid w:val="527F40D0"/>
    <w:rsid w:val="52A82E61"/>
    <w:rsid w:val="52AA5AF2"/>
    <w:rsid w:val="52C12339"/>
    <w:rsid w:val="52CE088C"/>
    <w:rsid w:val="52F0057B"/>
    <w:rsid w:val="53093C27"/>
    <w:rsid w:val="530C1915"/>
    <w:rsid w:val="53502713"/>
    <w:rsid w:val="53B622D1"/>
    <w:rsid w:val="53C25516"/>
    <w:rsid w:val="53EF6E1F"/>
    <w:rsid w:val="541D068C"/>
    <w:rsid w:val="546109EB"/>
    <w:rsid w:val="546A79F9"/>
    <w:rsid w:val="54A52D1B"/>
    <w:rsid w:val="54B82107"/>
    <w:rsid w:val="54BC2408"/>
    <w:rsid w:val="54FE3DEF"/>
    <w:rsid w:val="55074638"/>
    <w:rsid w:val="551B4340"/>
    <w:rsid w:val="55215FCD"/>
    <w:rsid w:val="5553717F"/>
    <w:rsid w:val="55537D7B"/>
    <w:rsid w:val="555B280D"/>
    <w:rsid w:val="555F7163"/>
    <w:rsid w:val="556B21EF"/>
    <w:rsid w:val="55931E78"/>
    <w:rsid w:val="55A7652D"/>
    <w:rsid w:val="55C14B7C"/>
    <w:rsid w:val="56020A78"/>
    <w:rsid w:val="560F0A4A"/>
    <w:rsid w:val="5650367E"/>
    <w:rsid w:val="566F6CB0"/>
    <w:rsid w:val="56973960"/>
    <w:rsid w:val="56B16F4D"/>
    <w:rsid w:val="56B435C7"/>
    <w:rsid w:val="56DA0109"/>
    <w:rsid w:val="56EB3889"/>
    <w:rsid w:val="57034AA2"/>
    <w:rsid w:val="571708D5"/>
    <w:rsid w:val="57740904"/>
    <w:rsid w:val="57BD620B"/>
    <w:rsid w:val="57BF5936"/>
    <w:rsid w:val="57F44FE4"/>
    <w:rsid w:val="58013FBA"/>
    <w:rsid w:val="580907FB"/>
    <w:rsid w:val="581C08FA"/>
    <w:rsid w:val="58385581"/>
    <w:rsid w:val="586036DF"/>
    <w:rsid w:val="58951D61"/>
    <w:rsid w:val="58A84D1D"/>
    <w:rsid w:val="58E67863"/>
    <w:rsid w:val="59157470"/>
    <w:rsid w:val="599C4A51"/>
    <w:rsid w:val="59B471A5"/>
    <w:rsid w:val="59E0542A"/>
    <w:rsid w:val="5A2F0DD5"/>
    <w:rsid w:val="5A370CBE"/>
    <w:rsid w:val="5A6D49FA"/>
    <w:rsid w:val="5A746D5F"/>
    <w:rsid w:val="5A93198E"/>
    <w:rsid w:val="5AD92A2E"/>
    <w:rsid w:val="5AEF279A"/>
    <w:rsid w:val="5B130348"/>
    <w:rsid w:val="5B173269"/>
    <w:rsid w:val="5B1D3393"/>
    <w:rsid w:val="5B2128D8"/>
    <w:rsid w:val="5B7E717B"/>
    <w:rsid w:val="5BB405F4"/>
    <w:rsid w:val="5BB80F16"/>
    <w:rsid w:val="5BED7B0E"/>
    <w:rsid w:val="5C3740BE"/>
    <w:rsid w:val="5C69545D"/>
    <w:rsid w:val="5CA51BA3"/>
    <w:rsid w:val="5D382998"/>
    <w:rsid w:val="5D852E8F"/>
    <w:rsid w:val="5D903B6C"/>
    <w:rsid w:val="5DFE79FF"/>
    <w:rsid w:val="5E183189"/>
    <w:rsid w:val="5E2F42D3"/>
    <w:rsid w:val="5E687C08"/>
    <w:rsid w:val="5E6B1BF6"/>
    <w:rsid w:val="5E754958"/>
    <w:rsid w:val="5E8B1471"/>
    <w:rsid w:val="5E8D2670"/>
    <w:rsid w:val="5E90495C"/>
    <w:rsid w:val="5E9248EF"/>
    <w:rsid w:val="5EC90EF8"/>
    <w:rsid w:val="5EDB03C5"/>
    <w:rsid w:val="5EE100E6"/>
    <w:rsid w:val="5F335799"/>
    <w:rsid w:val="5F5A1FD6"/>
    <w:rsid w:val="5F9A192E"/>
    <w:rsid w:val="5FF35E1E"/>
    <w:rsid w:val="60356BDC"/>
    <w:rsid w:val="60615DAE"/>
    <w:rsid w:val="606B49F5"/>
    <w:rsid w:val="60713949"/>
    <w:rsid w:val="6077461F"/>
    <w:rsid w:val="607A3CDB"/>
    <w:rsid w:val="60851556"/>
    <w:rsid w:val="608A3CEE"/>
    <w:rsid w:val="60CF3DBA"/>
    <w:rsid w:val="60F12C27"/>
    <w:rsid w:val="610C60DB"/>
    <w:rsid w:val="61223F9E"/>
    <w:rsid w:val="614D173F"/>
    <w:rsid w:val="61A17CFC"/>
    <w:rsid w:val="61B16884"/>
    <w:rsid w:val="61B341F7"/>
    <w:rsid w:val="61DD587D"/>
    <w:rsid w:val="61F01EA9"/>
    <w:rsid w:val="62093FDD"/>
    <w:rsid w:val="62291B82"/>
    <w:rsid w:val="622E4E00"/>
    <w:rsid w:val="628C0B96"/>
    <w:rsid w:val="629703E8"/>
    <w:rsid w:val="62D34AAF"/>
    <w:rsid w:val="62D37782"/>
    <w:rsid w:val="631C103A"/>
    <w:rsid w:val="63386962"/>
    <w:rsid w:val="633D2530"/>
    <w:rsid w:val="63472635"/>
    <w:rsid w:val="638C19DA"/>
    <w:rsid w:val="639C3594"/>
    <w:rsid w:val="63A36BF3"/>
    <w:rsid w:val="63C460A2"/>
    <w:rsid w:val="63D43E37"/>
    <w:rsid w:val="63E52938"/>
    <w:rsid w:val="63EE4919"/>
    <w:rsid w:val="64134A26"/>
    <w:rsid w:val="6449046A"/>
    <w:rsid w:val="64E91D03"/>
    <w:rsid w:val="64F97AA6"/>
    <w:rsid w:val="6512073F"/>
    <w:rsid w:val="65955455"/>
    <w:rsid w:val="65CF56C9"/>
    <w:rsid w:val="6604458C"/>
    <w:rsid w:val="66245193"/>
    <w:rsid w:val="6627371F"/>
    <w:rsid w:val="663213B9"/>
    <w:rsid w:val="66463BCF"/>
    <w:rsid w:val="665B5DD9"/>
    <w:rsid w:val="66962816"/>
    <w:rsid w:val="66977E4F"/>
    <w:rsid w:val="66B6289D"/>
    <w:rsid w:val="66C00F39"/>
    <w:rsid w:val="66EF2390"/>
    <w:rsid w:val="672B12C2"/>
    <w:rsid w:val="675542FE"/>
    <w:rsid w:val="67583AB0"/>
    <w:rsid w:val="677A3AA6"/>
    <w:rsid w:val="678051D3"/>
    <w:rsid w:val="67A00883"/>
    <w:rsid w:val="67C105AF"/>
    <w:rsid w:val="67C47466"/>
    <w:rsid w:val="67E36A91"/>
    <w:rsid w:val="68431BCB"/>
    <w:rsid w:val="686C2866"/>
    <w:rsid w:val="68CF3FC9"/>
    <w:rsid w:val="68D24617"/>
    <w:rsid w:val="691622F4"/>
    <w:rsid w:val="696D7B72"/>
    <w:rsid w:val="6972606F"/>
    <w:rsid w:val="69805483"/>
    <w:rsid w:val="699F7741"/>
    <w:rsid w:val="69A402CA"/>
    <w:rsid w:val="69B7326D"/>
    <w:rsid w:val="69BA0BAD"/>
    <w:rsid w:val="69F33B1D"/>
    <w:rsid w:val="69F9431E"/>
    <w:rsid w:val="6A6D5B00"/>
    <w:rsid w:val="6A8955F7"/>
    <w:rsid w:val="6A8A0772"/>
    <w:rsid w:val="6A973C3F"/>
    <w:rsid w:val="6AE14785"/>
    <w:rsid w:val="6AFC383A"/>
    <w:rsid w:val="6AFC5ADC"/>
    <w:rsid w:val="6B094F9D"/>
    <w:rsid w:val="6B311391"/>
    <w:rsid w:val="6B554ED6"/>
    <w:rsid w:val="6BA01D68"/>
    <w:rsid w:val="6BA947FD"/>
    <w:rsid w:val="6BD66A4F"/>
    <w:rsid w:val="6C3B5A90"/>
    <w:rsid w:val="6C573B5A"/>
    <w:rsid w:val="6CB14B25"/>
    <w:rsid w:val="6D0400BE"/>
    <w:rsid w:val="6D2B445B"/>
    <w:rsid w:val="6D4E3CBF"/>
    <w:rsid w:val="6D585A8E"/>
    <w:rsid w:val="6D5912F4"/>
    <w:rsid w:val="6D6572EF"/>
    <w:rsid w:val="6D76275C"/>
    <w:rsid w:val="6D960F87"/>
    <w:rsid w:val="6DF1673C"/>
    <w:rsid w:val="6DFE6A11"/>
    <w:rsid w:val="6E10773E"/>
    <w:rsid w:val="6E1E71E8"/>
    <w:rsid w:val="6E4976F2"/>
    <w:rsid w:val="6E500324"/>
    <w:rsid w:val="6E613A0E"/>
    <w:rsid w:val="6E84063A"/>
    <w:rsid w:val="6E8F2022"/>
    <w:rsid w:val="6EC34A1D"/>
    <w:rsid w:val="6EE7511B"/>
    <w:rsid w:val="6EF044BF"/>
    <w:rsid w:val="6FA5328F"/>
    <w:rsid w:val="70037B18"/>
    <w:rsid w:val="703F20BA"/>
    <w:rsid w:val="704B347F"/>
    <w:rsid w:val="70922DE6"/>
    <w:rsid w:val="70E128BC"/>
    <w:rsid w:val="71034DE5"/>
    <w:rsid w:val="7149569B"/>
    <w:rsid w:val="717F7C70"/>
    <w:rsid w:val="719A74D5"/>
    <w:rsid w:val="71C81234"/>
    <w:rsid w:val="71F2471D"/>
    <w:rsid w:val="725B425C"/>
    <w:rsid w:val="72804E20"/>
    <w:rsid w:val="72916974"/>
    <w:rsid w:val="72D05C14"/>
    <w:rsid w:val="72D81F5B"/>
    <w:rsid w:val="72DB5D12"/>
    <w:rsid w:val="73086238"/>
    <w:rsid w:val="730E3D8A"/>
    <w:rsid w:val="7319733B"/>
    <w:rsid w:val="7372101C"/>
    <w:rsid w:val="7375679A"/>
    <w:rsid w:val="738579E2"/>
    <w:rsid w:val="73E3299E"/>
    <w:rsid w:val="74040B0C"/>
    <w:rsid w:val="742643B8"/>
    <w:rsid w:val="745D24B6"/>
    <w:rsid w:val="74616C5B"/>
    <w:rsid w:val="74760523"/>
    <w:rsid w:val="74846FA4"/>
    <w:rsid w:val="74ED16E7"/>
    <w:rsid w:val="752D4453"/>
    <w:rsid w:val="759E5BB4"/>
    <w:rsid w:val="75BA52A3"/>
    <w:rsid w:val="75DC299F"/>
    <w:rsid w:val="76144ED8"/>
    <w:rsid w:val="763C465E"/>
    <w:rsid w:val="764537AD"/>
    <w:rsid w:val="76783ED7"/>
    <w:rsid w:val="769958F8"/>
    <w:rsid w:val="76BD4E97"/>
    <w:rsid w:val="76F84709"/>
    <w:rsid w:val="77016817"/>
    <w:rsid w:val="771B3F8F"/>
    <w:rsid w:val="77342804"/>
    <w:rsid w:val="77580423"/>
    <w:rsid w:val="77F50A8F"/>
    <w:rsid w:val="7808204E"/>
    <w:rsid w:val="78097DF4"/>
    <w:rsid w:val="78130538"/>
    <w:rsid w:val="782D7380"/>
    <w:rsid w:val="78394073"/>
    <w:rsid w:val="78625A87"/>
    <w:rsid w:val="78A65E54"/>
    <w:rsid w:val="79010791"/>
    <w:rsid w:val="790A558A"/>
    <w:rsid w:val="790F4545"/>
    <w:rsid w:val="791C0310"/>
    <w:rsid w:val="794E49C6"/>
    <w:rsid w:val="79966B90"/>
    <w:rsid w:val="79B250FE"/>
    <w:rsid w:val="79B84159"/>
    <w:rsid w:val="79C81DFE"/>
    <w:rsid w:val="7A5D7C33"/>
    <w:rsid w:val="7A672343"/>
    <w:rsid w:val="7A984C50"/>
    <w:rsid w:val="7A9D2164"/>
    <w:rsid w:val="7A9D46A9"/>
    <w:rsid w:val="7AB67C88"/>
    <w:rsid w:val="7B20647E"/>
    <w:rsid w:val="7B254466"/>
    <w:rsid w:val="7B254AE2"/>
    <w:rsid w:val="7B3276EB"/>
    <w:rsid w:val="7B3F1AD6"/>
    <w:rsid w:val="7B495D56"/>
    <w:rsid w:val="7B5C42C3"/>
    <w:rsid w:val="7B902B5D"/>
    <w:rsid w:val="7BAA321E"/>
    <w:rsid w:val="7C431B4D"/>
    <w:rsid w:val="7C8D0DCD"/>
    <w:rsid w:val="7CEA77FD"/>
    <w:rsid w:val="7CF44E11"/>
    <w:rsid w:val="7CF83B02"/>
    <w:rsid w:val="7D0118F5"/>
    <w:rsid w:val="7D095997"/>
    <w:rsid w:val="7D271506"/>
    <w:rsid w:val="7D375673"/>
    <w:rsid w:val="7D7B465A"/>
    <w:rsid w:val="7DA4459D"/>
    <w:rsid w:val="7DAE59E6"/>
    <w:rsid w:val="7DCB6444"/>
    <w:rsid w:val="7DDB31E4"/>
    <w:rsid w:val="7DE905C8"/>
    <w:rsid w:val="7E0B219C"/>
    <w:rsid w:val="7E8D7E8B"/>
    <w:rsid w:val="7EAF67E7"/>
    <w:rsid w:val="7ED468AA"/>
    <w:rsid w:val="7F140F1A"/>
    <w:rsid w:val="7F475469"/>
    <w:rsid w:val="7F617774"/>
    <w:rsid w:val="7F796049"/>
    <w:rsid w:val="7F7C3E79"/>
    <w:rsid w:val="7FB65D18"/>
    <w:rsid w:val="7FB93302"/>
    <w:rsid w:val="7FDB3A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9" w:semiHidden="0" w:name="heading 3"/>
    <w:lsdException w:qFormat="1" w:unhideWhenUsed="0" w:uiPriority="0" w:semiHidden="0" w:name="heading 4"/>
    <w:lsdException w:qFormat="1" w:unhideWhenUsed="0" w:uiPriority="9"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4">
    <w:name w:val="heading 1"/>
    <w:basedOn w:val="1"/>
    <w:next w:val="1"/>
    <w:link w:val="67"/>
    <w:qFormat/>
    <w:uiPriority w:val="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outlineLvl w:val="0"/>
    </w:pPr>
    <w:rPr>
      <w:rFonts w:ascii="黑体" w:hAnsi="黑体"/>
      <w:b/>
      <w:sz w:val="44"/>
      <w:szCs w:val="44"/>
    </w:rPr>
  </w:style>
  <w:style w:type="paragraph" w:styleId="5">
    <w:name w:val="heading 2"/>
    <w:basedOn w:val="1"/>
    <w:next w:val="1"/>
    <w:link w:val="54"/>
    <w:qFormat/>
    <w:uiPriority w:val="9"/>
    <w:pPr>
      <w:keepNext/>
      <w:keepLines/>
      <w:spacing w:before="260" w:after="260" w:line="413" w:lineRule="auto"/>
      <w:jc w:val="left"/>
      <w:outlineLvl w:val="1"/>
    </w:pPr>
    <w:rPr>
      <w:rFonts w:ascii="Arial" w:hAnsi="Arial"/>
      <w:b/>
      <w:bCs/>
      <w:snapToGrid w:val="0"/>
      <w:sz w:val="28"/>
      <w:szCs w:val="32"/>
    </w:rPr>
  </w:style>
  <w:style w:type="paragraph" w:styleId="6">
    <w:name w:val="heading 3"/>
    <w:basedOn w:val="1"/>
    <w:next w:val="1"/>
    <w:link w:val="75"/>
    <w:qFormat/>
    <w:uiPriority w:val="9"/>
    <w:pPr>
      <w:keepNext/>
      <w:keepLines/>
      <w:spacing w:before="20" w:after="20" w:line="413" w:lineRule="auto"/>
      <w:outlineLvl w:val="2"/>
    </w:pPr>
    <w:rPr>
      <w:b/>
      <w:sz w:val="24"/>
    </w:rPr>
  </w:style>
  <w:style w:type="paragraph" w:styleId="3">
    <w:name w:val="heading 4"/>
    <w:basedOn w:val="1"/>
    <w:next w:val="1"/>
    <w:qFormat/>
    <w:uiPriority w:val="0"/>
    <w:pPr>
      <w:keepNext/>
      <w:keepLines/>
      <w:spacing w:before="280" w:after="290" w:line="374" w:lineRule="auto"/>
      <w:outlineLvl w:val="3"/>
    </w:pPr>
    <w:rPr>
      <w:rFonts w:ascii="Arial" w:hAnsi="Arial" w:eastAsia="黑体"/>
      <w:b/>
      <w:bCs/>
      <w:sz w:val="28"/>
      <w:szCs w:val="28"/>
    </w:rPr>
  </w:style>
  <w:style w:type="paragraph" w:styleId="7">
    <w:name w:val="heading 5"/>
    <w:basedOn w:val="1"/>
    <w:next w:val="1"/>
    <w:qFormat/>
    <w:uiPriority w:val="9"/>
    <w:pPr>
      <w:keepNext/>
      <w:keepLines/>
      <w:spacing w:before="280" w:after="290" w:line="376" w:lineRule="auto"/>
      <w:outlineLvl w:val="4"/>
    </w:pPr>
    <w:rPr>
      <w:b/>
      <w:bCs/>
      <w:sz w:val="28"/>
      <w:szCs w:val="28"/>
    </w:rPr>
  </w:style>
  <w:style w:type="character" w:default="1" w:styleId="30">
    <w:name w:val="Default Paragraph Font"/>
    <w:semiHidden/>
    <w:unhideWhenUsed/>
    <w:qFormat/>
    <w:uiPriority w:val="1"/>
  </w:style>
  <w:style w:type="table" w:default="1" w:styleId="28">
    <w:name w:val="Normal Table"/>
    <w:semiHidden/>
    <w:unhideWhenUsed/>
    <w:qFormat/>
    <w:uiPriority w:val="99"/>
    <w:tblPr>
      <w:tblCellMar>
        <w:top w:w="0" w:type="dxa"/>
        <w:left w:w="108" w:type="dxa"/>
        <w:bottom w:w="0" w:type="dxa"/>
        <w:right w:w="108" w:type="dxa"/>
      </w:tblCellMar>
    </w:tblPr>
  </w:style>
  <w:style w:type="paragraph" w:styleId="2">
    <w:name w:val="Plain Text"/>
    <w:basedOn w:val="1"/>
    <w:next w:val="3"/>
    <w:link w:val="60"/>
    <w:qFormat/>
    <w:uiPriority w:val="0"/>
    <w:rPr>
      <w:rFonts w:ascii="宋体" w:hAnsi="Courier New"/>
      <w:szCs w:val="20"/>
    </w:rPr>
  </w:style>
  <w:style w:type="paragraph" w:styleId="8">
    <w:name w:val="Normal Indent"/>
    <w:basedOn w:val="1"/>
    <w:link w:val="59"/>
    <w:qFormat/>
    <w:uiPriority w:val="0"/>
    <w:pPr>
      <w:autoSpaceDE w:val="0"/>
      <w:autoSpaceDN w:val="0"/>
      <w:adjustRightInd w:val="0"/>
      <w:ind w:firstLine="420"/>
      <w:jc w:val="left"/>
    </w:pPr>
    <w:rPr>
      <w:rFonts w:ascii="宋体"/>
      <w:color w:val="000000"/>
      <w:sz w:val="24"/>
      <w:szCs w:val="20"/>
    </w:rPr>
  </w:style>
  <w:style w:type="paragraph" w:styleId="9">
    <w:name w:val="Document Map"/>
    <w:basedOn w:val="1"/>
    <w:semiHidden/>
    <w:qFormat/>
    <w:uiPriority w:val="0"/>
    <w:pPr>
      <w:shd w:val="clear" w:color="auto" w:fill="000080"/>
    </w:pPr>
  </w:style>
  <w:style w:type="paragraph" w:styleId="10">
    <w:name w:val="annotation text"/>
    <w:basedOn w:val="1"/>
    <w:link w:val="206"/>
    <w:qFormat/>
    <w:uiPriority w:val="0"/>
    <w:pPr>
      <w:jc w:val="left"/>
    </w:pPr>
  </w:style>
  <w:style w:type="paragraph" w:styleId="11">
    <w:name w:val="Body Text"/>
    <w:basedOn w:val="1"/>
    <w:next w:val="12"/>
    <w:qFormat/>
    <w:uiPriority w:val="0"/>
    <w:pPr>
      <w:jc w:val="center"/>
    </w:pPr>
    <w:rPr>
      <w:rFonts w:eastAsia="黑体"/>
      <w:sz w:val="48"/>
      <w:szCs w:val="24"/>
    </w:rPr>
  </w:style>
  <w:style w:type="paragraph" w:styleId="12">
    <w:name w:val="toc 2"/>
    <w:basedOn w:val="1"/>
    <w:next w:val="1"/>
    <w:qFormat/>
    <w:uiPriority w:val="0"/>
    <w:pPr>
      <w:ind w:left="420" w:leftChars="200"/>
    </w:pPr>
    <w:rPr>
      <w:color w:val="000000"/>
      <w:szCs w:val="20"/>
    </w:rPr>
  </w:style>
  <w:style w:type="paragraph" w:styleId="13">
    <w:name w:val="Body Text Indent"/>
    <w:basedOn w:val="1"/>
    <w:qFormat/>
    <w:uiPriority w:val="0"/>
    <w:pPr>
      <w:spacing w:after="120"/>
      <w:ind w:left="420" w:leftChars="200"/>
    </w:pPr>
  </w:style>
  <w:style w:type="paragraph" w:styleId="14">
    <w:name w:val="List 2"/>
    <w:basedOn w:val="1"/>
    <w:qFormat/>
    <w:uiPriority w:val="0"/>
    <w:pPr>
      <w:spacing w:line="460" w:lineRule="exact"/>
      <w:ind w:left="100" w:leftChars="200" w:hanging="200" w:hangingChars="200"/>
    </w:pPr>
    <w:rPr>
      <w:szCs w:val="20"/>
    </w:rPr>
  </w:style>
  <w:style w:type="paragraph" w:styleId="15">
    <w:name w:val="toc 3"/>
    <w:basedOn w:val="1"/>
    <w:next w:val="1"/>
    <w:qFormat/>
    <w:uiPriority w:val="0"/>
    <w:pPr>
      <w:ind w:left="840" w:leftChars="400"/>
    </w:pPr>
    <w:rPr>
      <w:color w:val="000000"/>
      <w:szCs w:val="20"/>
    </w:rPr>
  </w:style>
  <w:style w:type="paragraph" w:styleId="16">
    <w:name w:val="Date"/>
    <w:basedOn w:val="1"/>
    <w:next w:val="1"/>
    <w:qFormat/>
    <w:uiPriority w:val="0"/>
    <w:pPr>
      <w:autoSpaceDE w:val="0"/>
      <w:autoSpaceDN w:val="0"/>
      <w:adjustRightInd w:val="0"/>
    </w:pPr>
    <w:rPr>
      <w:rFonts w:hint="eastAsia" w:ascii="宋体"/>
      <w:kern w:val="0"/>
      <w:sz w:val="28"/>
      <w:szCs w:val="20"/>
    </w:rPr>
  </w:style>
  <w:style w:type="paragraph" w:styleId="17">
    <w:name w:val="Body Text Indent 2"/>
    <w:basedOn w:val="1"/>
    <w:qFormat/>
    <w:uiPriority w:val="0"/>
    <w:pPr>
      <w:ind w:firstLine="562" w:firstLineChars="200"/>
    </w:pPr>
    <w:rPr>
      <w:rFonts w:ascii="仿宋_GB2312" w:eastAsia="仿宋_GB2312"/>
      <w:b/>
      <w:bCs/>
      <w:sz w:val="28"/>
      <w:szCs w:val="32"/>
    </w:rPr>
  </w:style>
  <w:style w:type="paragraph" w:styleId="18">
    <w:name w:val="Balloon Text"/>
    <w:basedOn w:val="1"/>
    <w:link w:val="52"/>
    <w:qFormat/>
    <w:uiPriority w:val="0"/>
    <w:rPr>
      <w:sz w:val="18"/>
      <w:szCs w:val="18"/>
    </w:rPr>
  </w:style>
  <w:style w:type="paragraph" w:styleId="19">
    <w:name w:val="footer"/>
    <w:basedOn w:val="1"/>
    <w:link w:val="45"/>
    <w:qFormat/>
    <w:uiPriority w:val="99"/>
    <w:pPr>
      <w:tabs>
        <w:tab w:val="center" w:pos="4153"/>
        <w:tab w:val="right" w:pos="8306"/>
      </w:tabs>
      <w:snapToGrid w:val="0"/>
      <w:jc w:val="left"/>
    </w:pPr>
    <w:rPr>
      <w:sz w:val="18"/>
    </w:rPr>
  </w:style>
  <w:style w:type="paragraph" w:styleId="20">
    <w:name w:val="header"/>
    <w:basedOn w:val="1"/>
    <w:link w:val="50"/>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21">
    <w:name w:val="toc 1"/>
    <w:basedOn w:val="1"/>
    <w:next w:val="1"/>
    <w:qFormat/>
    <w:uiPriority w:val="0"/>
    <w:rPr>
      <w:color w:val="000000"/>
      <w:szCs w:val="20"/>
    </w:rPr>
  </w:style>
  <w:style w:type="paragraph" w:styleId="22">
    <w:name w:val="List"/>
    <w:basedOn w:val="1"/>
    <w:qFormat/>
    <w:uiPriority w:val="0"/>
    <w:pPr>
      <w:spacing w:line="460" w:lineRule="exact"/>
      <w:ind w:left="200" w:hanging="200" w:hangingChars="200"/>
    </w:pPr>
    <w:rPr>
      <w:szCs w:val="20"/>
    </w:rPr>
  </w:style>
  <w:style w:type="paragraph" w:styleId="23">
    <w:name w:val="Body Text Indent 3"/>
    <w:basedOn w:val="1"/>
    <w:link w:val="53"/>
    <w:qFormat/>
    <w:uiPriority w:val="0"/>
    <w:pPr>
      <w:spacing w:after="120"/>
      <w:ind w:left="420" w:leftChars="200"/>
    </w:pPr>
    <w:rPr>
      <w:sz w:val="16"/>
      <w:szCs w:val="16"/>
    </w:rPr>
  </w:style>
  <w:style w:type="paragraph" w:styleId="24">
    <w:name w:val="Normal (Web)"/>
    <w:basedOn w:val="1"/>
    <w:qFormat/>
    <w:uiPriority w:val="0"/>
    <w:pPr>
      <w:widowControl/>
      <w:spacing w:before="100" w:beforeAutospacing="1" w:after="100" w:afterAutospacing="1"/>
      <w:jc w:val="left"/>
    </w:pPr>
    <w:rPr>
      <w:rFonts w:ascii="宋体" w:hAnsi="宋体"/>
      <w:kern w:val="0"/>
      <w:sz w:val="24"/>
      <w:szCs w:val="24"/>
    </w:rPr>
  </w:style>
  <w:style w:type="paragraph" w:styleId="25">
    <w:name w:val="Title"/>
    <w:basedOn w:val="1"/>
    <w:next w:val="1"/>
    <w:link w:val="46"/>
    <w:qFormat/>
    <w:uiPriority w:val="0"/>
    <w:pPr>
      <w:spacing w:before="240" w:after="60"/>
      <w:jc w:val="center"/>
      <w:outlineLvl w:val="0"/>
    </w:pPr>
    <w:rPr>
      <w:rFonts w:ascii="Cambria" w:hAnsi="Cambria"/>
      <w:b/>
      <w:bCs/>
      <w:sz w:val="32"/>
      <w:szCs w:val="32"/>
    </w:rPr>
  </w:style>
  <w:style w:type="paragraph" w:styleId="26">
    <w:name w:val="annotation subject"/>
    <w:basedOn w:val="10"/>
    <w:next w:val="10"/>
    <w:link w:val="207"/>
    <w:qFormat/>
    <w:uiPriority w:val="0"/>
    <w:rPr>
      <w:b/>
      <w:bCs/>
    </w:rPr>
  </w:style>
  <w:style w:type="paragraph" w:styleId="27">
    <w:name w:val="Body Text First Indent 2"/>
    <w:basedOn w:val="13"/>
    <w:qFormat/>
    <w:uiPriority w:val="0"/>
    <w:pPr>
      <w:widowControl/>
      <w:spacing w:line="360" w:lineRule="auto"/>
      <w:ind w:firstLine="420"/>
      <w:jc w:val="left"/>
    </w:pPr>
    <w:rPr>
      <w:kern w:val="0"/>
      <w:sz w:val="24"/>
      <w:szCs w:val="24"/>
    </w:rPr>
  </w:style>
  <w:style w:type="table" w:styleId="29">
    <w:name w:val="Table Grid"/>
    <w:basedOn w:val="2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1">
    <w:name w:val="Strong"/>
    <w:qFormat/>
    <w:uiPriority w:val="0"/>
    <w:rPr>
      <w:b/>
      <w:bCs/>
    </w:rPr>
  </w:style>
  <w:style w:type="character" w:styleId="32">
    <w:name w:val="page number"/>
    <w:basedOn w:val="30"/>
    <w:qFormat/>
    <w:uiPriority w:val="0"/>
  </w:style>
  <w:style w:type="character" w:styleId="33">
    <w:name w:val="FollowedHyperlink"/>
    <w:qFormat/>
    <w:uiPriority w:val="99"/>
    <w:rPr>
      <w:color w:val="338DE6"/>
      <w:u w:val="none"/>
    </w:rPr>
  </w:style>
  <w:style w:type="character" w:styleId="34">
    <w:name w:val="Emphasis"/>
    <w:basedOn w:val="30"/>
    <w:qFormat/>
    <w:uiPriority w:val="0"/>
  </w:style>
  <w:style w:type="character" w:styleId="35">
    <w:name w:val="HTML Definition"/>
    <w:basedOn w:val="30"/>
    <w:qFormat/>
    <w:uiPriority w:val="0"/>
  </w:style>
  <w:style w:type="character" w:styleId="36">
    <w:name w:val="HTML Typewriter"/>
    <w:qFormat/>
    <w:uiPriority w:val="0"/>
    <w:rPr>
      <w:rFonts w:hint="default" w:ascii="monospace" w:hAnsi="monospace" w:eastAsia="monospace" w:cs="monospace"/>
      <w:sz w:val="20"/>
    </w:rPr>
  </w:style>
  <w:style w:type="character" w:styleId="37">
    <w:name w:val="HTML Acronym"/>
    <w:basedOn w:val="30"/>
    <w:qFormat/>
    <w:uiPriority w:val="0"/>
  </w:style>
  <w:style w:type="character" w:styleId="38">
    <w:name w:val="HTML Variable"/>
    <w:basedOn w:val="30"/>
    <w:qFormat/>
    <w:uiPriority w:val="0"/>
  </w:style>
  <w:style w:type="character" w:styleId="39">
    <w:name w:val="Hyperlink"/>
    <w:basedOn w:val="30"/>
    <w:qFormat/>
    <w:uiPriority w:val="99"/>
    <w:rPr>
      <w:color w:val="338DE6"/>
      <w:u w:val="none"/>
    </w:rPr>
  </w:style>
  <w:style w:type="character" w:styleId="40">
    <w:name w:val="HTML Code"/>
    <w:qFormat/>
    <w:uiPriority w:val="0"/>
    <w:rPr>
      <w:rFonts w:ascii="monospace" w:hAnsi="monospace" w:eastAsia="monospace" w:cs="monospace"/>
      <w:sz w:val="21"/>
      <w:szCs w:val="21"/>
    </w:rPr>
  </w:style>
  <w:style w:type="character" w:styleId="41">
    <w:name w:val="annotation reference"/>
    <w:basedOn w:val="30"/>
    <w:qFormat/>
    <w:uiPriority w:val="0"/>
    <w:rPr>
      <w:sz w:val="21"/>
      <w:szCs w:val="21"/>
    </w:rPr>
  </w:style>
  <w:style w:type="character" w:styleId="42">
    <w:name w:val="HTML Cite"/>
    <w:basedOn w:val="30"/>
    <w:qFormat/>
    <w:uiPriority w:val="0"/>
  </w:style>
  <w:style w:type="character" w:styleId="43">
    <w:name w:val="HTML Keyboard"/>
    <w:qFormat/>
    <w:uiPriority w:val="0"/>
    <w:rPr>
      <w:rFonts w:hint="default" w:ascii="monospace" w:hAnsi="monospace" w:eastAsia="monospace" w:cs="monospace"/>
      <w:sz w:val="21"/>
      <w:szCs w:val="21"/>
    </w:rPr>
  </w:style>
  <w:style w:type="character" w:styleId="44">
    <w:name w:val="HTML Sample"/>
    <w:qFormat/>
    <w:uiPriority w:val="0"/>
    <w:rPr>
      <w:rFonts w:hint="default" w:ascii="monospace" w:hAnsi="monospace" w:eastAsia="monospace" w:cs="monospace"/>
      <w:sz w:val="21"/>
      <w:szCs w:val="21"/>
    </w:rPr>
  </w:style>
  <w:style w:type="character" w:customStyle="1" w:styleId="45">
    <w:name w:val="页脚 Char"/>
    <w:link w:val="19"/>
    <w:qFormat/>
    <w:uiPriority w:val="99"/>
    <w:rPr>
      <w:kern w:val="2"/>
      <w:sz w:val="18"/>
      <w:szCs w:val="22"/>
    </w:rPr>
  </w:style>
  <w:style w:type="character" w:customStyle="1" w:styleId="46">
    <w:name w:val="标题 Char"/>
    <w:link w:val="25"/>
    <w:qFormat/>
    <w:uiPriority w:val="0"/>
    <w:rPr>
      <w:rFonts w:ascii="Cambria" w:hAnsi="Cambria"/>
      <w:b/>
      <w:bCs/>
      <w:kern w:val="2"/>
      <w:sz w:val="32"/>
      <w:szCs w:val="32"/>
    </w:rPr>
  </w:style>
  <w:style w:type="character" w:customStyle="1" w:styleId="47">
    <w:name w:val="页码 New New New New New New New New"/>
    <w:basedOn w:val="30"/>
    <w:qFormat/>
    <w:uiPriority w:val="0"/>
  </w:style>
  <w:style w:type="character" w:customStyle="1" w:styleId="48">
    <w:name w:val="页码 New New New New New"/>
    <w:qFormat/>
    <w:uiPriority w:val="0"/>
    <w:rPr>
      <w:rFonts w:eastAsia="宋体"/>
      <w:kern w:val="2"/>
      <w:sz w:val="24"/>
      <w:szCs w:val="24"/>
      <w:lang w:val="en-US" w:eastAsia="zh-CN" w:bidi="ar-SA"/>
    </w:rPr>
  </w:style>
  <w:style w:type="character" w:customStyle="1" w:styleId="49">
    <w:name w:val="页码 New New New New New New New New New New New New"/>
    <w:qFormat/>
    <w:uiPriority w:val="0"/>
    <w:rPr>
      <w:rFonts w:eastAsia="宋体"/>
      <w:kern w:val="2"/>
      <w:sz w:val="24"/>
      <w:szCs w:val="24"/>
      <w:lang w:val="en-US" w:eastAsia="zh-CN" w:bidi="ar-SA"/>
    </w:rPr>
  </w:style>
  <w:style w:type="character" w:customStyle="1" w:styleId="50">
    <w:name w:val="页眉 Char"/>
    <w:link w:val="20"/>
    <w:qFormat/>
    <w:uiPriority w:val="99"/>
    <w:rPr>
      <w:kern w:val="2"/>
      <w:sz w:val="18"/>
      <w:szCs w:val="22"/>
    </w:rPr>
  </w:style>
  <w:style w:type="character" w:customStyle="1" w:styleId="51">
    <w:name w:val="（符号）邀请函中一、"/>
    <w:qFormat/>
    <w:uiPriority w:val="0"/>
    <w:rPr>
      <w:rFonts w:ascii="黑体" w:hAnsi="黑体" w:eastAsia="黑体"/>
      <w:b/>
      <w:bCs/>
      <w:sz w:val="24"/>
    </w:rPr>
  </w:style>
  <w:style w:type="character" w:customStyle="1" w:styleId="52">
    <w:name w:val="批注框文本 Char"/>
    <w:link w:val="18"/>
    <w:qFormat/>
    <w:uiPriority w:val="0"/>
    <w:rPr>
      <w:kern w:val="2"/>
      <w:sz w:val="18"/>
      <w:szCs w:val="18"/>
    </w:rPr>
  </w:style>
  <w:style w:type="character" w:customStyle="1" w:styleId="53">
    <w:name w:val="正文文本缩进 3 Char"/>
    <w:link w:val="23"/>
    <w:qFormat/>
    <w:uiPriority w:val="0"/>
    <w:rPr>
      <w:kern w:val="2"/>
      <w:sz w:val="16"/>
      <w:szCs w:val="16"/>
    </w:rPr>
  </w:style>
  <w:style w:type="character" w:customStyle="1" w:styleId="54">
    <w:name w:val="标题 2 Char"/>
    <w:link w:val="5"/>
    <w:qFormat/>
    <w:uiPriority w:val="9"/>
    <w:rPr>
      <w:rFonts w:ascii="Arial" w:hAnsi="Arial"/>
      <w:b/>
      <w:bCs/>
      <w:snapToGrid w:val="0"/>
      <w:kern w:val="2"/>
      <w:sz w:val="28"/>
      <w:szCs w:val="32"/>
    </w:rPr>
  </w:style>
  <w:style w:type="character" w:customStyle="1" w:styleId="55">
    <w:name w:val="页码 New New New New New New New New New"/>
    <w:qFormat/>
    <w:uiPriority w:val="0"/>
    <w:rPr>
      <w:rFonts w:eastAsia="宋体"/>
      <w:kern w:val="2"/>
      <w:sz w:val="24"/>
      <w:szCs w:val="24"/>
      <w:lang w:val="en-US" w:eastAsia="zh-CN" w:bidi="ar-SA"/>
    </w:rPr>
  </w:style>
  <w:style w:type="character" w:customStyle="1" w:styleId="56">
    <w:name w:val="页码 New"/>
    <w:qFormat/>
    <w:uiPriority w:val="0"/>
    <w:rPr>
      <w:rFonts w:eastAsia="宋体"/>
      <w:kern w:val="2"/>
      <w:sz w:val="24"/>
      <w:szCs w:val="24"/>
      <w:lang w:val="en-US" w:eastAsia="zh-CN" w:bidi="ar-SA"/>
    </w:rPr>
  </w:style>
  <w:style w:type="character" w:customStyle="1" w:styleId="57">
    <w:name w:val="页码 New New New New New New"/>
    <w:basedOn w:val="30"/>
    <w:qFormat/>
    <w:uiPriority w:val="0"/>
  </w:style>
  <w:style w:type="character" w:customStyle="1" w:styleId="58">
    <w:name w:val="正文文本 (2) + 10 pt"/>
    <w:qFormat/>
    <w:uiPriority w:val="0"/>
    <w:rPr>
      <w:rFonts w:ascii="宋体" w:hAnsi="宋体" w:eastAsia="宋体" w:cs="宋体"/>
      <w:color w:val="000000"/>
      <w:spacing w:val="0"/>
      <w:w w:val="100"/>
      <w:position w:val="0"/>
      <w:sz w:val="20"/>
      <w:szCs w:val="20"/>
      <w:u w:val="none"/>
      <w:lang w:val="zh-TW" w:eastAsia="zh-TW" w:bidi="zh-TW"/>
    </w:rPr>
  </w:style>
  <w:style w:type="character" w:customStyle="1" w:styleId="59">
    <w:name w:val="正文缩进 Char"/>
    <w:link w:val="8"/>
    <w:qFormat/>
    <w:uiPriority w:val="0"/>
    <w:rPr>
      <w:rFonts w:ascii="宋体"/>
      <w:color w:val="000000"/>
      <w:kern w:val="2"/>
      <w:sz w:val="24"/>
    </w:rPr>
  </w:style>
  <w:style w:type="character" w:customStyle="1" w:styleId="60">
    <w:name w:val="纯文本 Char"/>
    <w:link w:val="2"/>
    <w:qFormat/>
    <w:uiPriority w:val="0"/>
    <w:rPr>
      <w:rFonts w:ascii="宋体" w:hAnsi="Courier New" w:eastAsia="宋体"/>
      <w:kern w:val="2"/>
      <w:sz w:val="21"/>
      <w:lang w:val="en-US" w:eastAsia="zh-CN" w:bidi="ar-SA"/>
    </w:rPr>
  </w:style>
  <w:style w:type="character" w:customStyle="1" w:styleId="61">
    <w:name w:val="fontborder"/>
    <w:qFormat/>
    <w:uiPriority w:val="0"/>
    <w:rPr>
      <w:bdr w:val="single" w:color="000000" w:sz="6" w:space="0"/>
    </w:rPr>
  </w:style>
  <w:style w:type="character" w:customStyle="1" w:styleId="62">
    <w:name w:val="列出段落 Char"/>
    <w:link w:val="63"/>
    <w:qFormat/>
    <w:locked/>
    <w:uiPriority w:val="0"/>
    <w:rPr>
      <w:rFonts w:ascii="Calibri" w:hAnsi="Calibri" w:eastAsia="宋体"/>
      <w:kern w:val="2"/>
      <w:sz w:val="21"/>
      <w:szCs w:val="22"/>
      <w:lang w:val="en-US" w:eastAsia="zh-CN" w:bidi="ar-SA"/>
    </w:rPr>
  </w:style>
  <w:style w:type="paragraph" w:customStyle="1" w:styleId="63">
    <w:name w:val="List Paragraph1"/>
    <w:basedOn w:val="1"/>
    <w:link w:val="62"/>
    <w:qFormat/>
    <w:uiPriority w:val="0"/>
    <w:pPr>
      <w:ind w:firstLine="420" w:firstLineChars="200"/>
    </w:pPr>
    <w:rPr>
      <w:rFonts w:ascii="Calibri" w:hAnsi="Calibri"/>
    </w:rPr>
  </w:style>
  <w:style w:type="character" w:customStyle="1" w:styleId="64">
    <w:name w:val="页码 New New New"/>
    <w:qFormat/>
    <w:uiPriority w:val="0"/>
    <w:rPr>
      <w:rFonts w:eastAsia="宋体"/>
      <w:kern w:val="2"/>
      <w:sz w:val="24"/>
      <w:szCs w:val="24"/>
      <w:lang w:val="en-US" w:eastAsia="zh-CN" w:bidi="ar-SA"/>
    </w:rPr>
  </w:style>
  <w:style w:type="character" w:customStyle="1" w:styleId="65">
    <w:name w:val="first-child"/>
    <w:basedOn w:val="30"/>
    <w:qFormat/>
    <w:uiPriority w:val="0"/>
  </w:style>
  <w:style w:type="character" w:customStyle="1" w:styleId="66">
    <w:name w:val="_txt1"/>
    <w:qFormat/>
    <w:uiPriority w:val="0"/>
    <w:rPr>
      <w:sz w:val="23"/>
      <w:szCs w:val="23"/>
    </w:rPr>
  </w:style>
  <w:style w:type="character" w:customStyle="1" w:styleId="67">
    <w:name w:val="标题 1 Char"/>
    <w:link w:val="4"/>
    <w:qFormat/>
    <w:uiPriority w:val="0"/>
    <w:rPr>
      <w:rFonts w:ascii="黑体" w:hAnsi="黑体" w:cs="宋体"/>
      <w:b/>
      <w:kern w:val="2"/>
      <w:sz w:val="44"/>
      <w:szCs w:val="44"/>
      <w:shd w:val="clear" w:color="auto" w:fill="FFFFFF"/>
    </w:rPr>
  </w:style>
  <w:style w:type="character" w:customStyle="1" w:styleId="68">
    <w:name w:val="Char Char Char"/>
    <w:qFormat/>
    <w:uiPriority w:val="0"/>
    <w:rPr>
      <w:rFonts w:ascii="宋体" w:hAnsi="Courier New" w:eastAsia="宋体"/>
      <w:kern w:val="2"/>
      <w:sz w:val="21"/>
      <w:lang w:val="en-US" w:eastAsia="zh-CN" w:bidi="ar-SA"/>
    </w:rPr>
  </w:style>
  <w:style w:type="character" w:customStyle="1" w:styleId="69">
    <w:name w:val="layui-layer-tabnow"/>
    <w:qFormat/>
    <w:uiPriority w:val="0"/>
    <w:rPr>
      <w:bdr w:val="single" w:color="CCCCCC" w:sz="6" w:space="0"/>
      <w:shd w:val="clear" w:color="auto" w:fill="FFFFFF"/>
    </w:rPr>
  </w:style>
  <w:style w:type="character" w:customStyle="1" w:styleId="70">
    <w:name w:val="页码 New New New New New New New"/>
    <w:basedOn w:val="30"/>
    <w:qFormat/>
    <w:uiPriority w:val="0"/>
  </w:style>
  <w:style w:type="character" w:customStyle="1" w:styleId="71">
    <w:name w:val="页码 New New New New New New New New New New New"/>
    <w:basedOn w:val="30"/>
    <w:qFormat/>
    <w:uiPriority w:val="0"/>
  </w:style>
  <w:style w:type="character" w:customStyle="1" w:styleId="72">
    <w:name w:val="fontstrikethrough"/>
    <w:qFormat/>
    <w:uiPriority w:val="0"/>
    <w:rPr>
      <w:strike/>
    </w:rPr>
  </w:style>
  <w:style w:type="character" w:customStyle="1" w:styleId="73">
    <w:name w:val="Char Char1"/>
    <w:qFormat/>
    <w:uiPriority w:val="0"/>
    <w:rPr>
      <w:rFonts w:ascii="宋体" w:hAnsi="Courier New" w:eastAsia="宋体"/>
      <w:kern w:val="2"/>
      <w:sz w:val="21"/>
      <w:lang w:val="en-US" w:eastAsia="zh-CN" w:bidi="ar-SA"/>
    </w:rPr>
  </w:style>
  <w:style w:type="character" w:customStyle="1" w:styleId="74">
    <w:name w:val="页码 New New"/>
    <w:qFormat/>
    <w:uiPriority w:val="0"/>
    <w:rPr>
      <w:rFonts w:eastAsia="宋体"/>
      <w:kern w:val="2"/>
      <w:sz w:val="24"/>
      <w:szCs w:val="24"/>
      <w:lang w:val="en-US" w:eastAsia="zh-CN" w:bidi="ar-SA"/>
    </w:rPr>
  </w:style>
  <w:style w:type="character" w:customStyle="1" w:styleId="75">
    <w:name w:val="标题 3 Char"/>
    <w:link w:val="6"/>
    <w:qFormat/>
    <w:uiPriority w:val="9"/>
    <w:rPr>
      <w:b/>
      <w:kern w:val="2"/>
      <w:sz w:val="24"/>
      <w:szCs w:val="22"/>
    </w:rPr>
  </w:style>
  <w:style w:type="character" w:customStyle="1" w:styleId="76">
    <w:name w:val="页码 New New New New"/>
    <w:qFormat/>
    <w:uiPriority w:val="0"/>
    <w:rPr>
      <w:rFonts w:eastAsia="宋体"/>
      <w:kern w:val="2"/>
      <w:sz w:val="24"/>
      <w:szCs w:val="24"/>
      <w:lang w:val="en-US" w:eastAsia="zh-CN" w:bidi="ar-SA"/>
    </w:rPr>
  </w:style>
  <w:style w:type="character" w:customStyle="1" w:styleId="77">
    <w:name w:val="页码 New New New New New New New New New New"/>
    <w:basedOn w:val="30"/>
    <w:qFormat/>
    <w:uiPriority w:val="0"/>
  </w:style>
  <w:style w:type="paragraph" w:customStyle="1" w:styleId="78">
    <w:name w:val="Normal New New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79">
    <w:name w:val="正文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0">
    <w:name w:val="表"/>
    <w:basedOn w:val="1"/>
    <w:qFormat/>
    <w:uiPriority w:val="0"/>
    <w:pPr>
      <w:adjustRightInd w:val="0"/>
      <w:snapToGrid w:val="0"/>
    </w:pPr>
    <w:rPr>
      <w:color w:val="000000"/>
      <w:szCs w:val="21"/>
    </w:rPr>
  </w:style>
  <w:style w:type="paragraph" w:customStyle="1" w:styleId="81">
    <w:name w:val="Char1 Char Char Char Char Char Char"/>
    <w:basedOn w:val="1"/>
    <w:qFormat/>
    <w:uiPriority w:val="0"/>
    <w:pPr>
      <w:shd w:val="clear" w:color="auto" w:fill="000080"/>
    </w:pPr>
    <w:rPr>
      <w:szCs w:val="20"/>
    </w:rPr>
  </w:style>
  <w:style w:type="paragraph" w:customStyle="1" w:styleId="82">
    <w:name w:val="正文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3">
    <w:name w:val="页眉 New New New New New New"/>
    <w:basedOn w:val="84"/>
    <w:qFormat/>
    <w:uiPriority w:val="0"/>
    <w:pPr>
      <w:pBdr>
        <w:bottom w:val="single" w:color="auto" w:sz="6" w:space="1"/>
      </w:pBdr>
      <w:tabs>
        <w:tab w:val="center" w:pos="4153"/>
        <w:tab w:val="right" w:pos="8306"/>
      </w:tabs>
      <w:snapToGrid w:val="0"/>
      <w:jc w:val="center"/>
    </w:pPr>
    <w:rPr>
      <w:rFonts w:ascii="宋体" w:hAnsi="Courier New"/>
      <w:sz w:val="18"/>
      <w:szCs w:val="20"/>
    </w:rPr>
  </w:style>
  <w:style w:type="paragraph" w:customStyle="1" w:styleId="84">
    <w:name w:val="正文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5">
    <w:name w:val="正文1"/>
    <w:qFormat/>
    <w:uiPriority w:val="0"/>
    <w:pPr>
      <w:jc w:val="both"/>
    </w:pPr>
    <w:rPr>
      <w:rFonts w:ascii="Times New Roman" w:hAnsi="Times New Roman" w:eastAsia="宋体" w:cs="Times New Roman"/>
      <w:kern w:val="2"/>
      <w:sz w:val="21"/>
      <w:lang w:val="en-US" w:eastAsia="zh-CN" w:bidi="ar-SA"/>
    </w:rPr>
  </w:style>
  <w:style w:type="paragraph" w:customStyle="1" w:styleId="86">
    <w:name w:val="正文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7">
    <w:name w:val="p0"/>
    <w:qFormat/>
    <w:uiPriority w:val="0"/>
    <w:rPr>
      <w:rFonts w:ascii="Times New Roman" w:hAnsi="Times New Roman" w:eastAsia="宋体" w:cs="Times New Roman"/>
      <w:szCs w:val="21"/>
      <w:lang w:val="en-US" w:eastAsia="zh-CN" w:bidi="ar-SA"/>
    </w:rPr>
  </w:style>
  <w:style w:type="paragraph" w:customStyle="1" w:styleId="88">
    <w:name w:val="正文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9">
    <w:name w:val="正文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0">
    <w:name w:val="正文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1">
    <w:name w:val="Normal New New New New New New New New New New New New New New New New New New New New New New New New New New New New New New New New New New New New New New New New New New New New New New New New New New New New New New New New New New New New New Ne"/>
    <w:qFormat/>
    <w:uiPriority w:val="0"/>
    <w:pPr>
      <w:jc w:val="both"/>
    </w:pPr>
    <w:rPr>
      <w:rFonts w:ascii="Times New Roman" w:hAnsi="Times New Roman" w:eastAsia="宋体" w:cs="Times New Roman"/>
      <w:kern w:val="2"/>
      <w:sz w:val="21"/>
      <w:lang w:val="en-US" w:eastAsia="zh-CN" w:bidi="ar-SA"/>
    </w:rPr>
  </w:style>
  <w:style w:type="paragraph" w:customStyle="1" w:styleId="92">
    <w:name w:val="Normal New New New New New New New New New New New New New New New New New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93">
    <w:name w:val="列出段落8"/>
    <w:basedOn w:val="1"/>
    <w:qFormat/>
    <w:uiPriority w:val="34"/>
    <w:pPr>
      <w:widowControl/>
      <w:spacing w:after="200" w:line="252" w:lineRule="auto"/>
      <w:ind w:left="720"/>
      <w:contextualSpacing/>
      <w:jc w:val="left"/>
    </w:pPr>
    <w:rPr>
      <w:sz w:val="22"/>
      <w:lang w:eastAsia="en-US" w:bidi="en-US"/>
    </w:rPr>
  </w:style>
  <w:style w:type="paragraph" w:customStyle="1" w:styleId="94">
    <w:name w:val="Normal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95">
    <w:name w:val="Normal New New New New New New New New New New New New New New New New New New New New New New New New New New New New New New New New New New New New New New New New New New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96">
    <w:name w:val="Normal New New New New New New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97">
    <w:name w:val="Normal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98">
    <w:name w:val="标题 2 New"/>
    <w:basedOn w:val="1"/>
    <w:next w:val="1"/>
    <w:qFormat/>
    <w:uiPriority w:val="0"/>
    <w:pPr>
      <w:keepNext/>
      <w:keepLines/>
      <w:spacing w:before="260" w:after="260" w:line="416" w:lineRule="auto"/>
      <w:outlineLvl w:val="1"/>
    </w:pPr>
    <w:rPr>
      <w:rFonts w:ascii="Arial" w:hAnsi="Arial" w:eastAsia="黑体"/>
      <w:b/>
      <w:bCs/>
      <w:sz w:val="32"/>
      <w:szCs w:val="32"/>
    </w:rPr>
  </w:style>
  <w:style w:type="paragraph" w:customStyle="1" w:styleId="99">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0">
    <w:name w:val="(符号)五标题1.1.1"/>
    <w:basedOn w:val="1"/>
    <w:qFormat/>
    <w:uiPriority w:val="0"/>
    <w:pPr>
      <w:tabs>
        <w:tab w:val="left" w:pos="1000"/>
      </w:tabs>
      <w:spacing w:line="500" w:lineRule="exact"/>
      <w:ind w:left="1000" w:hanging="1000"/>
    </w:pPr>
    <w:rPr>
      <w:rFonts w:ascii="宋体" w:hAnsi="宋体" w:cs="宋体"/>
      <w:color w:val="000000"/>
      <w:szCs w:val="20"/>
    </w:rPr>
  </w:style>
  <w:style w:type="paragraph" w:customStyle="1" w:styleId="101">
    <w:name w:val="Table Paragraph"/>
    <w:basedOn w:val="1"/>
    <w:qFormat/>
    <w:uiPriority w:val="1"/>
    <w:rPr>
      <w:rFonts w:ascii="宋体" w:hAnsi="宋体" w:cs="宋体"/>
      <w:lang w:val="zh-CN" w:bidi="zh-CN"/>
    </w:rPr>
  </w:style>
  <w:style w:type="paragraph" w:customStyle="1" w:styleId="102">
    <w:name w:val="Normal New New New New New New New New New New New New New New New New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103">
    <w:name w:val="Char Char Char Char"/>
    <w:basedOn w:val="1"/>
    <w:qFormat/>
    <w:uiPriority w:val="0"/>
    <w:pPr>
      <w:widowControl/>
      <w:spacing w:after="160" w:line="240" w:lineRule="exact"/>
      <w:jc w:val="left"/>
    </w:pPr>
    <w:rPr>
      <w:rFonts w:ascii="Arial" w:hAnsi="Arial" w:cs="Arial"/>
      <w:b/>
      <w:bCs/>
      <w:kern w:val="0"/>
      <w:sz w:val="24"/>
      <w:szCs w:val="24"/>
      <w:lang w:eastAsia="en-US"/>
    </w:rPr>
  </w:style>
  <w:style w:type="paragraph" w:customStyle="1" w:styleId="104">
    <w:name w:val="正文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5">
    <w:name w:val="正文样式1"/>
    <w:basedOn w:val="1"/>
    <w:qFormat/>
    <w:uiPriority w:val="0"/>
    <w:pPr>
      <w:jc w:val="center"/>
    </w:pPr>
    <w:rPr>
      <w:rFonts w:ascii="Calibri" w:hAnsi="Calibri" w:eastAsia="仿宋_GB2312"/>
    </w:rPr>
  </w:style>
  <w:style w:type="paragraph" w:customStyle="1" w:styleId="106">
    <w:name w:val="Normal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107">
    <w:name w:val="Normal New New New New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108">
    <w:name w:val="Normal New New New New New New New New New New New New New New New New New New New New New New New New New New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109">
    <w:name w:val="Normal New New New New New New New New New New New New New New New New New New New New New New New New New New New New New New New New New New New New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110">
    <w:name w:val="页眉 New New New New New"/>
    <w:basedOn w:val="86"/>
    <w:qFormat/>
    <w:uiPriority w:val="0"/>
    <w:pPr>
      <w:pBdr>
        <w:bottom w:val="single" w:color="auto" w:sz="6" w:space="1"/>
      </w:pBdr>
      <w:tabs>
        <w:tab w:val="center" w:pos="4153"/>
        <w:tab w:val="right" w:pos="8306"/>
      </w:tabs>
      <w:snapToGrid w:val="0"/>
      <w:jc w:val="center"/>
    </w:pPr>
    <w:rPr>
      <w:rFonts w:ascii="宋体" w:hAnsi="Courier New"/>
      <w:sz w:val="18"/>
      <w:szCs w:val="20"/>
    </w:rPr>
  </w:style>
  <w:style w:type="paragraph" w:customStyle="1" w:styleId="111">
    <w:name w:val="Normal New New New New New New New New New New New New New New New New New New New New New New New New New New New New New New New New New New New New New New New New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112">
    <w:name w:val="Normal New New New New New New New New New New New New New New New New New New New New New New New New New New New New New New New New New New New New New New New New New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113">
    <w:name w:val="Normal New New New New New New New New New New New New New New New New New New New New New New New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114">
    <w:name w:val="正文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5">
    <w:name w:val="标题 1 New"/>
    <w:basedOn w:val="1"/>
    <w:next w:val="1"/>
    <w:qFormat/>
    <w:uiPriority w:val="0"/>
    <w:pPr>
      <w:keepNext/>
      <w:outlineLvl w:val="0"/>
    </w:pPr>
    <w:rPr>
      <w:rFonts w:ascii="宋体"/>
      <w:sz w:val="28"/>
      <w:szCs w:val="20"/>
    </w:rPr>
  </w:style>
  <w:style w:type="paragraph" w:customStyle="1" w:styleId="116">
    <w:name w:val="Normal New New New New New New New New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117">
    <w:name w:val="Normal New New New New New New New New New New New New New New New New New New New New New New New New New New New New New New New New New New New New New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118">
    <w:name w:val="Normal New New New New New New New New New New New New New New New New New New New New New New New New New New New New New New New New New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119">
    <w:name w:val="样式2"/>
    <w:basedOn w:val="1"/>
    <w:qFormat/>
    <w:uiPriority w:val="0"/>
    <w:pPr>
      <w:spacing w:line="360" w:lineRule="auto"/>
    </w:pPr>
    <w:rPr>
      <w:rFonts w:ascii="宋体" w:hAnsi="宋体"/>
      <w:szCs w:val="20"/>
    </w:rPr>
  </w:style>
  <w:style w:type="paragraph" w:customStyle="1" w:styleId="120">
    <w:name w:val="Normal New New New New New New New New New New New New New New New New New New New New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121">
    <w:name w:val="Normal New New New New New New New New New New New New New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122">
    <w:name w:val="正文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3">
    <w:name w:val="表内文字"/>
    <w:basedOn w:val="1"/>
    <w:qFormat/>
    <w:uiPriority w:val="0"/>
    <w:pPr>
      <w:snapToGrid w:val="0"/>
      <w:spacing w:before="50" w:after="50" w:line="460" w:lineRule="exact"/>
      <w:jc w:val="center"/>
    </w:pPr>
    <w:rPr>
      <w:rFonts w:ascii="宋体" w:hAnsi="宋体"/>
      <w:sz w:val="24"/>
      <w:szCs w:val="20"/>
    </w:rPr>
  </w:style>
  <w:style w:type="paragraph" w:customStyle="1" w:styleId="124">
    <w:name w:val="Normal New New New New New New New New New New New New New New New New New New New New New New New New New New New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125">
    <w:name w:val="Normal New New"/>
    <w:qFormat/>
    <w:uiPriority w:val="0"/>
    <w:pPr>
      <w:jc w:val="both"/>
    </w:pPr>
    <w:rPr>
      <w:rFonts w:ascii="Times New Roman" w:hAnsi="Times New Roman" w:eastAsia="宋体" w:cs="Times New Roman"/>
      <w:kern w:val="2"/>
      <w:sz w:val="21"/>
      <w:lang w:val="en-US" w:eastAsia="zh-CN" w:bidi="ar-SA"/>
    </w:rPr>
  </w:style>
  <w:style w:type="paragraph" w:customStyle="1" w:styleId="126">
    <w:name w:val="Normal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127">
    <w:name w:val="Normal New New New New"/>
    <w:qFormat/>
    <w:uiPriority w:val="0"/>
    <w:pPr>
      <w:jc w:val="both"/>
    </w:pPr>
    <w:rPr>
      <w:rFonts w:ascii="Times New Roman" w:hAnsi="Times New Roman" w:eastAsia="宋体" w:cs="Times New Roman"/>
      <w:kern w:val="2"/>
      <w:sz w:val="21"/>
      <w:lang w:val="en-US" w:eastAsia="zh-CN" w:bidi="ar-SA"/>
    </w:rPr>
  </w:style>
  <w:style w:type="paragraph" w:customStyle="1" w:styleId="128">
    <w:name w:val="Normal New New New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129">
    <w:name w:val="页脚 New New New New New New New New New New"/>
    <w:basedOn w:val="82"/>
    <w:qFormat/>
    <w:uiPriority w:val="0"/>
    <w:pPr>
      <w:tabs>
        <w:tab w:val="center" w:pos="4153"/>
        <w:tab w:val="right" w:pos="8306"/>
      </w:tabs>
      <w:snapToGrid w:val="0"/>
      <w:jc w:val="left"/>
    </w:pPr>
    <w:rPr>
      <w:rFonts w:ascii="宋体" w:hAnsi="Courier New"/>
      <w:sz w:val="18"/>
      <w:szCs w:val="20"/>
    </w:rPr>
  </w:style>
  <w:style w:type="paragraph" w:customStyle="1" w:styleId="130">
    <w:name w:val="Normal New New New New New New New New New New New New New New New New New New New New New New New New New New New New New New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131">
    <w:name w:val="Normal New New New New New New New New New New New New New New New New New New New New New New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132">
    <w:name w:val="页眉 New New New New"/>
    <w:basedOn w:val="90"/>
    <w:qFormat/>
    <w:uiPriority w:val="0"/>
    <w:pPr>
      <w:pBdr>
        <w:bottom w:val="single" w:color="auto" w:sz="6" w:space="1"/>
      </w:pBdr>
      <w:tabs>
        <w:tab w:val="center" w:pos="4153"/>
        <w:tab w:val="right" w:pos="8306"/>
      </w:tabs>
      <w:snapToGrid w:val="0"/>
      <w:jc w:val="center"/>
    </w:pPr>
    <w:rPr>
      <w:rFonts w:ascii="宋体" w:hAnsi="Courier New"/>
      <w:sz w:val="18"/>
      <w:szCs w:val="20"/>
    </w:rPr>
  </w:style>
  <w:style w:type="paragraph" w:customStyle="1" w:styleId="133">
    <w:name w:val="Normal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134">
    <w:name w:val="Normal New New New New New New New New New New New New New New New New New New New New New New New New New New New New New New New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135">
    <w:name w:val="正文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6">
    <w:name w:val="页脚 New New New New New"/>
    <w:basedOn w:val="86"/>
    <w:qFormat/>
    <w:uiPriority w:val="0"/>
    <w:pPr>
      <w:tabs>
        <w:tab w:val="center" w:pos="4153"/>
        <w:tab w:val="right" w:pos="8306"/>
      </w:tabs>
      <w:snapToGrid w:val="0"/>
      <w:jc w:val="left"/>
    </w:pPr>
    <w:rPr>
      <w:rFonts w:ascii="宋体" w:hAnsi="Courier New"/>
      <w:sz w:val="18"/>
      <w:szCs w:val="20"/>
    </w:rPr>
  </w:style>
  <w:style w:type="paragraph" w:customStyle="1" w:styleId="137">
    <w:name w:val="Normal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138">
    <w:name w:val="Normal New New New"/>
    <w:qFormat/>
    <w:uiPriority w:val="0"/>
    <w:pPr>
      <w:jc w:val="both"/>
    </w:pPr>
    <w:rPr>
      <w:rFonts w:ascii="Times New Roman" w:hAnsi="Times New Roman" w:eastAsia="宋体" w:cs="Times New Roman"/>
      <w:kern w:val="2"/>
      <w:sz w:val="21"/>
      <w:lang w:val="en-US" w:eastAsia="zh-CN" w:bidi="ar-SA"/>
    </w:rPr>
  </w:style>
  <w:style w:type="paragraph" w:customStyle="1" w:styleId="139">
    <w:name w:val="正文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40">
    <w:name w:val="Normal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141">
    <w:name w:val="纯文本 New"/>
    <w:basedOn w:val="135"/>
    <w:qFormat/>
    <w:uiPriority w:val="0"/>
    <w:rPr>
      <w:rFonts w:ascii="宋体" w:hAnsi="Courier New"/>
    </w:rPr>
  </w:style>
  <w:style w:type="paragraph" w:customStyle="1" w:styleId="142">
    <w:name w:val="Normal New New New New New New New New New New New New New New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143">
    <w:name w:val="页脚 New New"/>
    <w:basedOn w:val="144"/>
    <w:qFormat/>
    <w:uiPriority w:val="0"/>
    <w:pPr>
      <w:tabs>
        <w:tab w:val="center" w:pos="4153"/>
        <w:tab w:val="right" w:pos="8306"/>
      </w:tabs>
      <w:snapToGrid w:val="0"/>
      <w:jc w:val="left"/>
    </w:pPr>
    <w:rPr>
      <w:rFonts w:ascii="宋体" w:hAnsi="Courier New"/>
      <w:sz w:val="18"/>
      <w:szCs w:val="20"/>
    </w:rPr>
  </w:style>
  <w:style w:type="paragraph" w:customStyle="1" w:styleId="144">
    <w:name w:val="正文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45">
    <w:name w:val="Normal New New New New New New New New New New New New New New New New New New New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146">
    <w:name w:val="正文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47">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48">
    <w:name w:val="列出段落1"/>
    <w:basedOn w:val="1"/>
    <w:qFormat/>
    <w:uiPriority w:val="0"/>
    <w:pPr>
      <w:ind w:firstLine="420" w:firstLineChars="200"/>
    </w:pPr>
    <w:rPr>
      <w:rFonts w:ascii="Calibri" w:hAnsi="Calibri"/>
    </w:rPr>
  </w:style>
  <w:style w:type="paragraph" w:customStyle="1" w:styleId="149">
    <w:name w:val="Normal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150">
    <w:name w:val="页脚 New New New New New New New New"/>
    <w:basedOn w:val="1"/>
    <w:qFormat/>
    <w:uiPriority w:val="0"/>
    <w:pPr>
      <w:tabs>
        <w:tab w:val="center" w:pos="4153"/>
        <w:tab w:val="right" w:pos="8306"/>
      </w:tabs>
      <w:snapToGrid w:val="0"/>
      <w:jc w:val="left"/>
    </w:pPr>
    <w:rPr>
      <w:sz w:val="18"/>
      <w:szCs w:val="20"/>
    </w:rPr>
  </w:style>
  <w:style w:type="paragraph" w:customStyle="1" w:styleId="151">
    <w:name w:val="Normal New New New New New New New New New New New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152">
    <w:name w:val="表格1"/>
    <w:basedOn w:val="1"/>
    <w:qFormat/>
    <w:uiPriority w:val="0"/>
    <w:pPr>
      <w:autoSpaceDE w:val="0"/>
      <w:autoSpaceDN w:val="0"/>
      <w:adjustRightInd w:val="0"/>
      <w:jc w:val="left"/>
    </w:pPr>
    <w:rPr>
      <w:rFonts w:ascii="宋体" w:hAnsi="宋体"/>
      <w:szCs w:val="21"/>
    </w:rPr>
  </w:style>
  <w:style w:type="paragraph" w:customStyle="1" w:styleId="153">
    <w:name w:val="Normal New New New New New New New New New New New New New New New New New New New New New New New New New New New New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154">
    <w:name w:val="纯文本1"/>
    <w:basedOn w:val="1"/>
    <w:qFormat/>
    <w:uiPriority w:val="0"/>
    <w:pPr>
      <w:adjustRightInd w:val="0"/>
      <w:textAlignment w:val="baseline"/>
    </w:pPr>
    <w:rPr>
      <w:rFonts w:ascii="宋体" w:hAnsi="Courier New" w:eastAsia="楷体_GB2312"/>
      <w:sz w:val="28"/>
      <w:szCs w:val="20"/>
    </w:rPr>
  </w:style>
  <w:style w:type="paragraph" w:customStyle="1" w:styleId="155">
    <w:name w:val="正文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56">
    <w:name w:val="正文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57">
    <w:name w:val="页眉 New New New"/>
    <w:basedOn w:val="88"/>
    <w:qFormat/>
    <w:uiPriority w:val="0"/>
    <w:pPr>
      <w:pBdr>
        <w:bottom w:val="single" w:color="auto" w:sz="6" w:space="1"/>
      </w:pBdr>
      <w:tabs>
        <w:tab w:val="center" w:pos="4153"/>
        <w:tab w:val="right" w:pos="8306"/>
      </w:tabs>
      <w:snapToGrid w:val="0"/>
      <w:jc w:val="center"/>
    </w:pPr>
    <w:rPr>
      <w:rFonts w:ascii="宋体" w:hAnsi="Courier New"/>
      <w:sz w:val="18"/>
      <w:szCs w:val="20"/>
    </w:rPr>
  </w:style>
  <w:style w:type="paragraph" w:customStyle="1" w:styleId="158">
    <w:name w:val="页脚 New New New New"/>
    <w:basedOn w:val="90"/>
    <w:qFormat/>
    <w:uiPriority w:val="0"/>
    <w:pPr>
      <w:tabs>
        <w:tab w:val="center" w:pos="4153"/>
        <w:tab w:val="right" w:pos="8306"/>
      </w:tabs>
      <w:snapToGrid w:val="0"/>
      <w:jc w:val="left"/>
    </w:pPr>
    <w:rPr>
      <w:rFonts w:ascii="宋体" w:hAnsi="Courier New"/>
      <w:sz w:val="18"/>
      <w:szCs w:val="20"/>
    </w:rPr>
  </w:style>
  <w:style w:type="paragraph" w:customStyle="1" w:styleId="159">
    <w:name w:val="Normal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160">
    <w:name w:val="正文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61">
    <w:name w:val="Char"/>
    <w:basedOn w:val="1"/>
    <w:qFormat/>
    <w:uiPriority w:val="0"/>
    <w:pPr>
      <w:tabs>
        <w:tab w:val="left" w:pos="0"/>
      </w:tabs>
      <w:ind w:left="420" w:hanging="420"/>
    </w:pPr>
    <w:rPr>
      <w:sz w:val="24"/>
      <w:szCs w:val="24"/>
    </w:rPr>
  </w:style>
  <w:style w:type="paragraph" w:customStyle="1" w:styleId="162">
    <w:name w:val="Normal New New New New New New New New New New New New New New New New New New New New New New New New New New New New New New New New New New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163">
    <w:name w:val="Normal New New New New New New New New New New New New New New New New New New New New New New New New New New New New New New New New New New New New New New New New New New New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164">
    <w:name w:val="页眉 New"/>
    <w:basedOn w:val="146"/>
    <w:qFormat/>
    <w:uiPriority w:val="0"/>
    <w:pPr>
      <w:pBdr>
        <w:bottom w:val="single" w:color="auto" w:sz="6" w:space="1"/>
      </w:pBdr>
      <w:tabs>
        <w:tab w:val="center" w:pos="4153"/>
        <w:tab w:val="right" w:pos="8306"/>
      </w:tabs>
      <w:snapToGrid w:val="0"/>
      <w:jc w:val="center"/>
    </w:pPr>
    <w:rPr>
      <w:rFonts w:ascii="宋体" w:hAnsi="Courier New"/>
      <w:sz w:val="18"/>
      <w:szCs w:val="20"/>
    </w:rPr>
  </w:style>
  <w:style w:type="paragraph" w:customStyle="1" w:styleId="165">
    <w:name w:val="Normal New New New New New New New New New New New New New New New New New New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166">
    <w:name w:val="Normal New New New New New New New New New New New New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167">
    <w:name w:val="列出段落2"/>
    <w:basedOn w:val="1"/>
    <w:unhideWhenUsed/>
    <w:qFormat/>
    <w:uiPriority w:val="99"/>
    <w:pPr>
      <w:ind w:firstLine="420" w:firstLineChars="200"/>
    </w:pPr>
  </w:style>
  <w:style w:type="paragraph" w:customStyle="1" w:styleId="168">
    <w:name w:val="Char Char Char Char Char Char"/>
    <w:basedOn w:val="1"/>
    <w:qFormat/>
    <w:uiPriority w:val="0"/>
    <w:rPr>
      <w:szCs w:val="20"/>
    </w:rPr>
  </w:style>
  <w:style w:type="paragraph" w:customStyle="1" w:styleId="169">
    <w:name w:val="Normal New New New New New New New New New New New New New New New New New New New New New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170">
    <w:name w:val="Normal New New New New New New New New New New New New New New New New New New New New New New New New New New New New New New New New New New New New New New New New New New New New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171">
    <w:name w:val="正文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2">
    <w:name w:val="Normal New New New New New New New New New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173">
    <w:name w:val="Normal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174">
    <w:name w:val="页脚 New"/>
    <w:basedOn w:val="146"/>
    <w:qFormat/>
    <w:uiPriority w:val="0"/>
    <w:pPr>
      <w:tabs>
        <w:tab w:val="center" w:pos="4153"/>
        <w:tab w:val="right" w:pos="8306"/>
      </w:tabs>
      <w:snapToGrid w:val="0"/>
      <w:jc w:val="left"/>
    </w:pPr>
    <w:rPr>
      <w:rFonts w:ascii="宋体" w:hAnsi="Courier New"/>
      <w:sz w:val="18"/>
      <w:szCs w:val="20"/>
    </w:rPr>
  </w:style>
  <w:style w:type="paragraph" w:customStyle="1" w:styleId="175">
    <w:name w:val="Normal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176">
    <w:name w:val="Normal New New New New New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177">
    <w:name w:val="页眉 New New"/>
    <w:basedOn w:val="144"/>
    <w:qFormat/>
    <w:uiPriority w:val="0"/>
    <w:pPr>
      <w:pBdr>
        <w:bottom w:val="single" w:color="auto" w:sz="6" w:space="1"/>
      </w:pBdr>
      <w:tabs>
        <w:tab w:val="center" w:pos="4153"/>
        <w:tab w:val="right" w:pos="8306"/>
      </w:tabs>
      <w:snapToGrid w:val="0"/>
      <w:jc w:val="center"/>
    </w:pPr>
    <w:rPr>
      <w:rFonts w:ascii="宋体" w:hAnsi="Courier New"/>
      <w:sz w:val="18"/>
      <w:szCs w:val="20"/>
    </w:rPr>
  </w:style>
  <w:style w:type="paragraph" w:customStyle="1" w:styleId="178">
    <w:name w:val="Normal New New New New New New New New New New New New New New New New New New New New New New New New New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179">
    <w:name w:val="页脚 New New New"/>
    <w:basedOn w:val="88"/>
    <w:qFormat/>
    <w:uiPriority w:val="0"/>
    <w:pPr>
      <w:tabs>
        <w:tab w:val="center" w:pos="4153"/>
        <w:tab w:val="right" w:pos="8306"/>
      </w:tabs>
      <w:snapToGrid w:val="0"/>
      <w:jc w:val="left"/>
    </w:pPr>
    <w:rPr>
      <w:rFonts w:ascii="宋体" w:hAnsi="Courier New"/>
      <w:sz w:val="18"/>
      <w:szCs w:val="20"/>
    </w:rPr>
  </w:style>
  <w:style w:type="paragraph" w:customStyle="1" w:styleId="180">
    <w:name w:val="Normal New New New New New New New New New New New New New New New New New New New New New New New New New New New New New New New New New New New New New New New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181">
    <w:name w:val="页脚 New New New New New New New New New"/>
    <w:basedOn w:val="1"/>
    <w:qFormat/>
    <w:uiPriority w:val="0"/>
    <w:pPr>
      <w:tabs>
        <w:tab w:val="center" w:pos="4153"/>
        <w:tab w:val="right" w:pos="8306"/>
      </w:tabs>
      <w:snapToGrid w:val="0"/>
      <w:jc w:val="left"/>
    </w:pPr>
    <w:rPr>
      <w:sz w:val="18"/>
      <w:szCs w:val="20"/>
    </w:rPr>
  </w:style>
  <w:style w:type="paragraph" w:customStyle="1" w:styleId="182">
    <w:name w:val="Normal New New New New New New New New New New New New New New New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183">
    <w:name w:val="页眉 New New New New New New New"/>
    <w:basedOn w:val="82"/>
    <w:qFormat/>
    <w:uiPriority w:val="0"/>
    <w:pPr>
      <w:pBdr>
        <w:bottom w:val="single" w:color="auto" w:sz="6" w:space="1"/>
      </w:pBdr>
      <w:tabs>
        <w:tab w:val="center" w:pos="4153"/>
        <w:tab w:val="right" w:pos="8306"/>
      </w:tabs>
      <w:snapToGrid w:val="0"/>
      <w:jc w:val="center"/>
    </w:pPr>
    <w:rPr>
      <w:rFonts w:ascii="宋体" w:hAnsi="Courier New"/>
      <w:sz w:val="18"/>
      <w:szCs w:val="20"/>
    </w:rPr>
  </w:style>
  <w:style w:type="paragraph" w:customStyle="1" w:styleId="184">
    <w:name w:val="页脚 New New New New New New"/>
    <w:basedOn w:val="1"/>
    <w:qFormat/>
    <w:uiPriority w:val="0"/>
    <w:pPr>
      <w:tabs>
        <w:tab w:val="center" w:pos="4153"/>
        <w:tab w:val="right" w:pos="8306"/>
      </w:tabs>
      <w:snapToGrid w:val="0"/>
      <w:jc w:val="left"/>
    </w:pPr>
    <w:rPr>
      <w:sz w:val="18"/>
      <w:szCs w:val="20"/>
    </w:rPr>
  </w:style>
  <w:style w:type="paragraph" w:customStyle="1" w:styleId="185">
    <w:name w:val="正文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6">
    <w:name w:val="Normal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187">
    <w:name w:val="正文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8">
    <w:name w:val="Normal New New New New New New New New New New New New New New New New New New New New New New New New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189">
    <w:name w:val="Normal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190">
    <w:name w:val="Char4"/>
    <w:basedOn w:val="1"/>
    <w:qFormat/>
    <w:uiPriority w:val="0"/>
    <w:pPr>
      <w:spacing w:line="360" w:lineRule="auto"/>
      <w:ind w:left="1" w:firstLine="200" w:firstLineChars="200"/>
      <w:textAlignment w:val="bottom"/>
    </w:pPr>
    <w:rPr>
      <w:szCs w:val="20"/>
    </w:rPr>
  </w:style>
  <w:style w:type="paragraph" w:customStyle="1" w:styleId="191">
    <w:name w:val="Normal New New New New New New New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192">
    <w:name w:val="Normal New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193">
    <w:name w:val="样式 首行缩进:  0.85 厘米"/>
    <w:basedOn w:val="1"/>
    <w:qFormat/>
    <w:uiPriority w:val="0"/>
    <w:pPr>
      <w:ind w:firstLine="200" w:firstLineChars="200"/>
    </w:pPr>
    <w:rPr>
      <w:szCs w:val="24"/>
    </w:rPr>
  </w:style>
  <w:style w:type="paragraph" w:customStyle="1" w:styleId="194">
    <w:name w:val="无间隔1"/>
    <w:qFormat/>
    <w:uiPriority w:val="0"/>
    <w:pPr>
      <w:widowControl w:val="0"/>
      <w:jc w:val="center"/>
    </w:pPr>
    <w:rPr>
      <w:rFonts w:ascii="Calibri" w:hAnsi="Calibri" w:eastAsia="宋体" w:cs="Times New Roman"/>
      <w:kern w:val="2"/>
      <w:sz w:val="21"/>
      <w:szCs w:val="22"/>
      <w:lang w:val="en-US" w:eastAsia="zh-CN" w:bidi="ar-SA"/>
    </w:rPr>
  </w:style>
  <w:style w:type="paragraph" w:customStyle="1" w:styleId="195">
    <w:name w:val="页脚 New New New New New New New"/>
    <w:basedOn w:val="84"/>
    <w:qFormat/>
    <w:uiPriority w:val="0"/>
    <w:pPr>
      <w:tabs>
        <w:tab w:val="center" w:pos="4153"/>
        <w:tab w:val="right" w:pos="8306"/>
      </w:tabs>
      <w:snapToGrid w:val="0"/>
      <w:jc w:val="left"/>
    </w:pPr>
    <w:rPr>
      <w:rFonts w:ascii="宋体" w:hAnsi="Courier New"/>
      <w:sz w:val="18"/>
      <w:szCs w:val="20"/>
    </w:rPr>
  </w:style>
  <w:style w:type="paragraph" w:customStyle="1" w:styleId="196">
    <w:name w:val="GP正文(首行缩进)"/>
    <w:basedOn w:val="1"/>
    <w:qFormat/>
    <w:uiPriority w:val="0"/>
    <w:pPr>
      <w:spacing w:line="360" w:lineRule="auto"/>
      <w:ind w:firstLine="480" w:firstLineChars="200"/>
      <w:jc w:val="left"/>
    </w:pPr>
    <w:rPr>
      <w:rFonts w:hAnsi="宋体"/>
    </w:rPr>
  </w:style>
  <w:style w:type="paragraph" w:customStyle="1" w:styleId="197">
    <w:name w:val="Normal New New New New New New New New New New New New New New New New New New New New New New New New New New New New New New New New New New New New New New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198">
    <w:name w:val="Normal New New New New New New New New New New New New New New New New New New New New New New New New New New New New New New New New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199">
    <w:name w:val="Normal New New New New New New New New New New New New New New New New New New New New New New New New New New New New New New New New New New New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200">
    <w:name w:val="unnamed1"/>
    <w:basedOn w:val="1"/>
    <w:qFormat/>
    <w:uiPriority w:val="0"/>
    <w:pPr>
      <w:widowControl/>
      <w:spacing w:before="100" w:beforeAutospacing="1" w:after="100" w:afterAutospacing="1" w:line="288" w:lineRule="auto"/>
      <w:jc w:val="left"/>
    </w:pPr>
    <w:rPr>
      <w:rFonts w:hint="eastAsia" w:ascii="宋体" w:hAnsi="宋体"/>
      <w:kern w:val="0"/>
      <w:szCs w:val="21"/>
    </w:rPr>
  </w:style>
  <w:style w:type="paragraph" w:customStyle="1" w:styleId="201">
    <w:name w:val="Normal New New New New New New New New New New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202">
    <w:name w:val="Normal New New New New New New New New New New New New New New New New New New New New New New New New New New New New New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203">
    <w:name w:val="Normal New"/>
    <w:qFormat/>
    <w:uiPriority w:val="0"/>
    <w:pPr>
      <w:jc w:val="both"/>
    </w:pPr>
    <w:rPr>
      <w:rFonts w:ascii="Times New Roman" w:hAnsi="Times New Roman" w:eastAsia="宋体" w:cs="Times New Roman"/>
      <w:kern w:val="2"/>
      <w:sz w:val="21"/>
      <w:lang w:val="en-US" w:eastAsia="zh-CN" w:bidi="ar-SA"/>
    </w:rPr>
  </w:style>
  <w:style w:type="paragraph" w:customStyle="1" w:styleId="204">
    <w:name w:val="列出段落3"/>
    <w:basedOn w:val="1"/>
    <w:unhideWhenUsed/>
    <w:qFormat/>
    <w:uiPriority w:val="99"/>
    <w:pPr>
      <w:ind w:firstLine="420" w:firstLineChars="200"/>
    </w:pPr>
  </w:style>
  <w:style w:type="paragraph" w:customStyle="1" w:styleId="205">
    <w:name w:val="修订1"/>
    <w:hidden/>
    <w:unhideWhenUsed/>
    <w:qFormat/>
    <w:uiPriority w:val="99"/>
    <w:rPr>
      <w:rFonts w:ascii="Times New Roman" w:hAnsi="Times New Roman" w:eastAsia="宋体" w:cs="Times New Roman"/>
      <w:kern w:val="2"/>
      <w:sz w:val="21"/>
      <w:szCs w:val="22"/>
      <w:lang w:val="en-US" w:eastAsia="zh-CN" w:bidi="ar-SA"/>
    </w:rPr>
  </w:style>
  <w:style w:type="character" w:customStyle="1" w:styleId="206">
    <w:name w:val="批注文字 Char"/>
    <w:basedOn w:val="30"/>
    <w:link w:val="10"/>
    <w:qFormat/>
    <w:uiPriority w:val="0"/>
    <w:rPr>
      <w:kern w:val="2"/>
      <w:sz w:val="21"/>
      <w:szCs w:val="22"/>
    </w:rPr>
  </w:style>
  <w:style w:type="character" w:customStyle="1" w:styleId="207">
    <w:name w:val="批注主题 Char"/>
    <w:basedOn w:val="206"/>
    <w:link w:val="26"/>
    <w:qFormat/>
    <w:uiPriority w:val="0"/>
    <w:rPr>
      <w:b/>
      <w:bCs/>
      <w:kern w:val="2"/>
      <w:sz w:val="21"/>
      <w:szCs w:val="22"/>
    </w:rPr>
  </w:style>
  <w:style w:type="paragraph" w:styleId="208">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0ED21FC-9570-4FDE-BB38-37AEA6CF210D}">
  <ds:schemaRefs/>
</ds:datastoreItem>
</file>

<file path=docProps/app.xml><?xml version="1.0" encoding="utf-8"?>
<Properties xmlns="http://schemas.openxmlformats.org/officeDocument/2006/extended-properties" xmlns:vt="http://schemas.openxmlformats.org/officeDocument/2006/docPropsVTypes">
  <Template>Normal</Template>
  <Pages>59</Pages>
  <Words>5832</Words>
  <Characters>33245</Characters>
  <Lines>277</Lines>
  <Paragraphs>77</Paragraphs>
  <TotalTime>49</TotalTime>
  <ScaleCrop>false</ScaleCrop>
  <LinksUpToDate>false</LinksUpToDate>
  <CharactersWithSpaces>39000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2020-09-17T08:04:00Z</dcterms:created>
  <dc:creator>dell</dc:creator>
  <cp:lastModifiedBy>山与海</cp:lastModifiedBy>
  <cp:lastPrinted>2020-03-17T00:16:00Z</cp:lastPrinted>
  <dcterms:modified xsi:type="dcterms:W3CDTF">2020-10-27T08:20:03Z</dcterms:modified>
  <dc:title>货物需求一览表（单套预算）</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