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right="208" w:rightChars="99"/>
        <w:jc w:val="center"/>
        <w:rPr>
          <w:rFonts w:ascii="宋体" w:hAnsi="宋体"/>
          <w:b/>
          <w:color w:val="auto"/>
          <w:sz w:val="40"/>
          <w:szCs w:val="48"/>
          <w:highlight w:val="none"/>
        </w:rPr>
      </w:pPr>
      <w:bookmarkStart w:id="18" w:name="_GoBack"/>
    </w:p>
    <w:p>
      <w:pPr>
        <w:adjustRightInd w:val="0"/>
        <w:snapToGrid w:val="0"/>
        <w:ind w:right="208" w:rightChars="99"/>
        <w:jc w:val="center"/>
        <w:rPr>
          <w:rFonts w:ascii="宋体" w:hAnsi="宋体"/>
          <w:b/>
          <w:color w:val="auto"/>
          <w:sz w:val="40"/>
          <w:szCs w:val="48"/>
          <w:highlight w:val="none"/>
        </w:rPr>
      </w:pPr>
      <w:r>
        <w:rPr>
          <w:rFonts w:hint="eastAsia" w:ascii="宋体" w:hAnsi="宋体"/>
          <w:b/>
          <w:color w:val="auto"/>
          <w:sz w:val="40"/>
          <w:szCs w:val="48"/>
          <w:highlight w:val="none"/>
          <w:lang w:eastAsia="zh-CN"/>
        </w:rPr>
        <w:t>赣州银行股份有限公司集中</w:t>
      </w:r>
      <w:r>
        <w:rPr>
          <w:rFonts w:hint="eastAsia" w:ascii="宋体" w:hAnsi="宋体"/>
          <w:b/>
          <w:color w:val="auto"/>
          <w:sz w:val="40"/>
          <w:szCs w:val="48"/>
          <w:highlight w:val="none"/>
        </w:rPr>
        <w:t>采购及工程招标项目</w:t>
      </w:r>
    </w:p>
    <w:p>
      <w:pPr>
        <w:adjustRightInd w:val="0"/>
        <w:snapToGrid w:val="0"/>
        <w:ind w:right="208" w:rightChars="99"/>
        <w:jc w:val="center"/>
        <w:rPr>
          <w:rFonts w:hint="eastAsia" w:ascii="宋体" w:hAnsi="宋体"/>
          <w:b/>
          <w:color w:val="auto"/>
          <w:sz w:val="40"/>
          <w:szCs w:val="48"/>
          <w:highlight w:val="none"/>
        </w:rPr>
      </w:pPr>
      <w:r>
        <w:rPr>
          <w:rFonts w:hint="eastAsia" w:ascii="宋体" w:hAnsi="宋体"/>
          <w:b/>
          <w:color w:val="auto"/>
          <w:sz w:val="40"/>
          <w:szCs w:val="48"/>
          <w:highlight w:val="none"/>
        </w:rPr>
        <w:t>社会代理机构</w:t>
      </w:r>
    </w:p>
    <w:p>
      <w:pPr>
        <w:pStyle w:val="2"/>
        <w:rPr>
          <w:color w:val="auto"/>
          <w:highlight w:val="none"/>
        </w:rPr>
      </w:pPr>
    </w:p>
    <w:p>
      <w:pPr>
        <w:adjustRightInd w:val="0"/>
        <w:snapToGrid w:val="0"/>
        <w:ind w:right="208" w:rightChars="99"/>
        <w:jc w:val="center"/>
        <w:rPr>
          <w:rFonts w:ascii="宋体" w:hAnsi="宋体"/>
          <w:b/>
          <w:color w:val="auto"/>
          <w:sz w:val="72"/>
          <w:szCs w:val="48"/>
          <w:highlight w:val="none"/>
        </w:rPr>
      </w:pPr>
      <w:r>
        <w:rPr>
          <w:rFonts w:hint="eastAsia" w:ascii="宋体" w:hAnsi="宋体"/>
          <w:b/>
          <w:color w:val="auto"/>
          <w:sz w:val="72"/>
          <w:szCs w:val="48"/>
          <w:highlight w:val="none"/>
        </w:rPr>
        <w:t>遴</w:t>
      </w:r>
    </w:p>
    <w:p>
      <w:pPr>
        <w:adjustRightInd w:val="0"/>
        <w:snapToGrid w:val="0"/>
        <w:ind w:right="208" w:rightChars="99"/>
        <w:jc w:val="center"/>
        <w:rPr>
          <w:rFonts w:ascii="宋体" w:hAnsi="宋体"/>
          <w:b/>
          <w:color w:val="auto"/>
          <w:sz w:val="72"/>
          <w:szCs w:val="48"/>
          <w:highlight w:val="none"/>
        </w:rPr>
      </w:pPr>
    </w:p>
    <w:p>
      <w:pPr>
        <w:adjustRightInd w:val="0"/>
        <w:snapToGrid w:val="0"/>
        <w:ind w:right="208" w:rightChars="99"/>
        <w:jc w:val="center"/>
        <w:rPr>
          <w:rFonts w:ascii="宋体" w:hAnsi="宋体"/>
          <w:b/>
          <w:color w:val="auto"/>
          <w:sz w:val="72"/>
          <w:szCs w:val="48"/>
          <w:highlight w:val="none"/>
        </w:rPr>
      </w:pPr>
      <w:r>
        <w:rPr>
          <w:rFonts w:hint="eastAsia" w:ascii="宋体" w:hAnsi="宋体"/>
          <w:b/>
          <w:color w:val="auto"/>
          <w:sz w:val="72"/>
          <w:szCs w:val="48"/>
          <w:highlight w:val="none"/>
        </w:rPr>
        <w:t>选</w:t>
      </w:r>
    </w:p>
    <w:p>
      <w:pPr>
        <w:adjustRightInd w:val="0"/>
        <w:snapToGrid w:val="0"/>
        <w:ind w:right="208" w:rightChars="99"/>
        <w:jc w:val="center"/>
        <w:rPr>
          <w:rFonts w:ascii="宋体" w:hAnsi="宋体"/>
          <w:b/>
          <w:color w:val="auto"/>
          <w:sz w:val="72"/>
          <w:szCs w:val="48"/>
          <w:highlight w:val="none"/>
        </w:rPr>
      </w:pPr>
    </w:p>
    <w:p>
      <w:pPr>
        <w:adjustRightInd w:val="0"/>
        <w:snapToGrid w:val="0"/>
        <w:ind w:right="208" w:rightChars="99"/>
        <w:jc w:val="center"/>
        <w:rPr>
          <w:rFonts w:ascii="宋体" w:hAnsi="宋体"/>
          <w:b/>
          <w:color w:val="auto"/>
          <w:sz w:val="72"/>
          <w:szCs w:val="48"/>
          <w:highlight w:val="none"/>
        </w:rPr>
      </w:pPr>
      <w:r>
        <w:rPr>
          <w:rFonts w:hint="eastAsia" w:ascii="宋体" w:hAnsi="宋体"/>
          <w:b/>
          <w:color w:val="auto"/>
          <w:sz w:val="72"/>
          <w:szCs w:val="48"/>
          <w:highlight w:val="none"/>
        </w:rPr>
        <w:t>文</w:t>
      </w:r>
    </w:p>
    <w:p>
      <w:pPr>
        <w:adjustRightInd w:val="0"/>
        <w:snapToGrid w:val="0"/>
        <w:ind w:right="208" w:rightChars="99"/>
        <w:jc w:val="center"/>
        <w:rPr>
          <w:rFonts w:ascii="宋体" w:hAnsi="宋体"/>
          <w:b/>
          <w:color w:val="auto"/>
          <w:sz w:val="72"/>
          <w:szCs w:val="48"/>
          <w:highlight w:val="none"/>
        </w:rPr>
      </w:pPr>
    </w:p>
    <w:p>
      <w:pPr>
        <w:adjustRightInd w:val="0"/>
        <w:snapToGrid w:val="0"/>
        <w:ind w:right="208" w:rightChars="99"/>
        <w:jc w:val="center"/>
        <w:rPr>
          <w:rFonts w:ascii="宋体" w:hAnsi="宋体"/>
          <w:b/>
          <w:color w:val="auto"/>
          <w:sz w:val="72"/>
          <w:szCs w:val="48"/>
          <w:highlight w:val="none"/>
        </w:rPr>
      </w:pPr>
      <w:r>
        <w:rPr>
          <w:rFonts w:hint="eastAsia" w:ascii="宋体" w:hAnsi="宋体"/>
          <w:b/>
          <w:color w:val="auto"/>
          <w:sz w:val="72"/>
          <w:szCs w:val="48"/>
          <w:highlight w:val="none"/>
        </w:rPr>
        <w:t>件</w:t>
      </w:r>
    </w:p>
    <w:p>
      <w:pPr>
        <w:adjustRightInd w:val="0"/>
        <w:snapToGrid w:val="0"/>
        <w:ind w:right="208" w:rightChars="99"/>
        <w:jc w:val="center"/>
        <w:rPr>
          <w:rFonts w:ascii="宋体" w:hAnsi="宋体"/>
          <w:b/>
          <w:color w:val="auto"/>
          <w:sz w:val="48"/>
          <w:szCs w:val="48"/>
          <w:highlight w:val="none"/>
        </w:rPr>
      </w:pPr>
    </w:p>
    <w:p>
      <w:pPr>
        <w:adjustRightInd w:val="0"/>
        <w:snapToGrid w:val="0"/>
        <w:spacing w:line="360" w:lineRule="auto"/>
        <w:ind w:right="208" w:rightChars="99"/>
        <w:jc w:val="left"/>
        <w:rPr>
          <w:rFonts w:hint="eastAsia" w:ascii="宋体" w:hAnsi="宋体"/>
          <w:color w:val="auto"/>
          <w:sz w:val="32"/>
          <w:szCs w:val="48"/>
          <w:highlight w:val="none"/>
          <w:lang w:eastAsia="zh-CN"/>
        </w:rPr>
      </w:pPr>
      <w:r>
        <w:rPr>
          <w:rFonts w:hint="eastAsia" w:ascii="宋体" w:hAnsi="宋体"/>
          <w:color w:val="auto"/>
          <w:sz w:val="32"/>
          <w:szCs w:val="48"/>
          <w:highlight w:val="none"/>
        </w:rPr>
        <w:t>招标人：</w:t>
      </w:r>
      <w:r>
        <w:rPr>
          <w:rFonts w:hint="eastAsia" w:ascii="宋体" w:hAnsi="宋体"/>
          <w:color w:val="auto"/>
          <w:sz w:val="32"/>
          <w:szCs w:val="48"/>
          <w:highlight w:val="none"/>
          <w:lang w:eastAsia="zh-CN"/>
        </w:rPr>
        <w:t>赣州银行股份有限公司</w:t>
      </w:r>
    </w:p>
    <w:p>
      <w:pPr>
        <w:pStyle w:val="2"/>
        <w:ind w:left="0" w:leftChars="0" w:firstLine="0" w:firstLineChars="0"/>
        <w:jc w:val="both"/>
        <w:rPr>
          <w:rFonts w:hint="eastAsia" w:ascii="宋体" w:hAnsi="宋体" w:eastAsia="宋体" w:cs="Times New Roman"/>
          <w:b w:val="0"/>
          <w:bCs w:val="0"/>
          <w:color w:val="auto"/>
          <w:kern w:val="2"/>
          <w:sz w:val="32"/>
          <w:szCs w:val="48"/>
          <w:highlight w:val="none"/>
          <w:lang w:val="en-US" w:eastAsia="zh-CN" w:bidi="ar-SA"/>
        </w:rPr>
      </w:pPr>
      <w:r>
        <w:rPr>
          <w:rFonts w:hint="eastAsia" w:ascii="宋体" w:hAnsi="宋体" w:eastAsia="宋体" w:cs="Times New Roman"/>
          <w:b w:val="0"/>
          <w:bCs w:val="0"/>
          <w:color w:val="auto"/>
          <w:kern w:val="2"/>
          <w:sz w:val="32"/>
          <w:szCs w:val="48"/>
          <w:highlight w:val="none"/>
          <w:lang w:val="en-US" w:eastAsia="zh-CN" w:bidi="ar-SA"/>
        </w:rPr>
        <w:t>项目编号：GZYH2021015</w:t>
      </w:r>
    </w:p>
    <w:p>
      <w:pPr>
        <w:adjustRightInd w:val="0"/>
        <w:snapToGrid w:val="0"/>
        <w:spacing w:line="360" w:lineRule="auto"/>
        <w:ind w:right="208" w:rightChars="99"/>
        <w:rPr>
          <w:rFonts w:hint="eastAsia" w:ascii="宋体" w:hAnsi="宋体" w:eastAsia="宋体"/>
          <w:color w:val="auto"/>
          <w:sz w:val="32"/>
          <w:szCs w:val="48"/>
          <w:highlight w:val="none"/>
          <w:lang w:eastAsia="zh-CN"/>
        </w:rPr>
      </w:pPr>
      <w:r>
        <w:rPr>
          <w:rFonts w:hint="eastAsia" w:ascii="宋体" w:hAnsi="宋体"/>
          <w:color w:val="auto"/>
          <w:sz w:val="32"/>
          <w:szCs w:val="48"/>
          <w:highlight w:val="none"/>
        </w:rPr>
        <w:t xml:space="preserve">          </w:t>
      </w:r>
    </w:p>
    <w:p>
      <w:pPr>
        <w:adjustRightInd w:val="0"/>
        <w:snapToGrid w:val="0"/>
        <w:ind w:right="208" w:rightChars="99"/>
        <w:jc w:val="center"/>
        <w:rPr>
          <w:rFonts w:ascii="宋体" w:hAnsi="宋体"/>
          <w:color w:val="auto"/>
          <w:sz w:val="32"/>
          <w:szCs w:val="48"/>
          <w:highlight w:val="none"/>
        </w:rPr>
      </w:pPr>
    </w:p>
    <w:p>
      <w:pPr>
        <w:adjustRightInd w:val="0"/>
        <w:snapToGrid w:val="0"/>
        <w:ind w:right="208" w:rightChars="99"/>
        <w:jc w:val="center"/>
        <w:rPr>
          <w:rFonts w:ascii="宋体" w:hAnsi="宋体"/>
          <w:color w:val="auto"/>
          <w:sz w:val="32"/>
          <w:szCs w:val="48"/>
          <w:highlight w:val="none"/>
        </w:rPr>
      </w:pPr>
      <w:r>
        <w:rPr>
          <w:rFonts w:hint="eastAsia" w:ascii="宋体" w:hAnsi="宋体"/>
          <w:color w:val="auto"/>
          <w:sz w:val="32"/>
          <w:szCs w:val="48"/>
          <w:highlight w:val="none"/>
          <w:lang w:eastAsia="zh-CN"/>
        </w:rPr>
        <w:t>二</w:t>
      </w:r>
      <w:r>
        <w:rPr>
          <w:rFonts w:hint="eastAsia" w:ascii="宋体" w:hAnsi="宋体"/>
          <w:color w:val="auto"/>
          <w:sz w:val="32"/>
          <w:szCs w:val="48"/>
          <w:highlight w:val="none"/>
          <w:lang w:val="en-US" w:eastAsia="zh-CN"/>
        </w:rPr>
        <w:t>0二一</w:t>
      </w:r>
      <w:r>
        <w:rPr>
          <w:rFonts w:hint="eastAsia" w:ascii="宋体" w:hAnsi="宋体"/>
          <w:color w:val="auto"/>
          <w:sz w:val="32"/>
          <w:szCs w:val="48"/>
          <w:highlight w:val="none"/>
        </w:rPr>
        <w:t>年</w:t>
      </w:r>
      <w:r>
        <w:rPr>
          <w:rFonts w:hint="eastAsia" w:ascii="宋体" w:hAnsi="宋体"/>
          <w:color w:val="auto"/>
          <w:sz w:val="32"/>
          <w:szCs w:val="48"/>
          <w:highlight w:val="none"/>
          <w:lang w:val="en-US" w:eastAsia="zh-CN"/>
        </w:rPr>
        <w:t>四</w:t>
      </w:r>
      <w:r>
        <w:rPr>
          <w:rFonts w:hint="eastAsia" w:ascii="宋体" w:hAnsi="宋体"/>
          <w:color w:val="auto"/>
          <w:sz w:val="32"/>
          <w:szCs w:val="48"/>
          <w:highlight w:val="none"/>
        </w:rPr>
        <w:t>月</w:t>
      </w:r>
    </w:p>
    <w:p>
      <w:pPr>
        <w:adjustRightInd w:val="0"/>
        <w:snapToGrid w:val="0"/>
        <w:ind w:right="208" w:rightChars="99"/>
        <w:jc w:val="center"/>
        <w:rPr>
          <w:rFonts w:ascii="宋体" w:hAnsi="宋体"/>
          <w:b/>
          <w:color w:val="auto"/>
          <w:sz w:val="28"/>
          <w:szCs w:val="28"/>
          <w:highlight w:val="none"/>
        </w:rPr>
      </w:pPr>
    </w:p>
    <w:p>
      <w:pPr>
        <w:adjustRightInd w:val="0"/>
        <w:snapToGrid w:val="0"/>
        <w:ind w:right="208" w:rightChars="99"/>
        <w:rPr>
          <w:rFonts w:ascii="宋体" w:hAnsi="宋体"/>
          <w:b/>
          <w:color w:val="auto"/>
          <w:sz w:val="28"/>
          <w:szCs w:val="28"/>
          <w:highlight w:val="none"/>
        </w:rPr>
      </w:pPr>
    </w:p>
    <w:p>
      <w:pPr>
        <w:adjustRightInd w:val="0"/>
        <w:snapToGrid w:val="0"/>
        <w:spacing w:line="360" w:lineRule="auto"/>
        <w:ind w:right="208" w:rightChars="99"/>
        <w:jc w:val="center"/>
        <w:rPr>
          <w:rFonts w:hint="eastAsia" w:ascii="宋体" w:hAnsi="宋体"/>
          <w:b/>
          <w:color w:val="auto"/>
          <w:sz w:val="28"/>
          <w:szCs w:val="28"/>
          <w:highlight w:val="none"/>
        </w:rPr>
      </w:pPr>
    </w:p>
    <w:p>
      <w:pPr>
        <w:adjustRightInd w:val="0"/>
        <w:snapToGrid w:val="0"/>
        <w:spacing w:line="360" w:lineRule="auto"/>
        <w:ind w:right="208" w:rightChars="99"/>
        <w:jc w:val="center"/>
        <w:rPr>
          <w:rFonts w:ascii="宋体" w:hAnsi="宋体"/>
          <w:b/>
          <w:color w:val="auto"/>
          <w:sz w:val="28"/>
          <w:szCs w:val="28"/>
          <w:highlight w:val="none"/>
        </w:rPr>
      </w:pPr>
      <w:r>
        <w:rPr>
          <w:rFonts w:hint="eastAsia" w:ascii="宋体" w:hAnsi="宋体"/>
          <w:b/>
          <w:color w:val="auto"/>
          <w:sz w:val="28"/>
          <w:szCs w:val="28"/>
          <w:highlight w:val="none"/>
        </w:rPr>
        <w:t>第一章 遴选公告</w:t>
      </w:r>
    </w:p>
    <w:p>
      <w:pPr>
        <w:spacing w:line="360" w:lineRule="auto"/>
        <w:ind w:firstLine="480" w:firstLineChars="200"/>
        <w:rPr>
          <w:rFonts w:ascii="宋体" w:hAnsi="宋体"/>
          <w:b/>
          <w:color w:val="auto"/>
          <w:sz w:val="24"/>
          <w:highlight w:val="none"/>
        </w:rPr>
      </w:pPr>
      <w:r>
        <w:rPr>
          <w:rFonts w:hint="eastAsia" w:ascii="宋体" w:hAnsi="宋体"/>
          <w:color w:val="auto"/>
          <w:sz w:val="24"/>
          <w:szCs w:val="24"/>
          <w:highlight w:val="none"/>
          <w:lang w:eastAsia="zh-CN"/>
        </w:rPr>
        <w:t xml:space="preserve"> </w:t>
      </w:r>
      <w:r>
        <w:rPr>
          <w:rFonts w:hint="eastAsia" w:ascii="宋体" w:hAnsi="宋体"/>
          <w:color w:val="auto"/>
          <w:sz w:val="24"/>
          <w:highlight w:val="none"/>
          <w:lang w:eastAsia="zh-CN"/>
        </w:rPr>
        <w:t>赣州银行股份有限公司</w:t>
      </w:r>
      <w:r>
        <w:rPr>
          <w:rFonts w:hint="eastAsia" w:ascii="宋体" w:hAnsi="宋体"/>
          <w:color w:val="auto"/>
          <w:sz w:val="24"/>
          <w:highlight w:val="none"/>
        </w:rPr>
        <w:t>拟对</w:t>
      </w:r>
      <w:r>
        <w:rPr>
          <w:rFonts w:hint="eastAsia" w:ascii="宋体" w:hAnsi="宋体"/>
          <w:color w:val="auto"/>
          <w:sz w:val="24"/>
          <w:highlight w:val="none"/>
          <w:lang w:eastAsia="zh-CN"/>
        </w:rPr>
        <w:t>赣州银行股份有限公司集中</w:t>
      </w:r>
      <w:r>
        <w:rPr>
          <w:rFonts w:hint="eastAsia" w:ascii="宋体" w:hAnsi="宋体"/>
          <w:color w:val="auto"/>
          <w:sz w:val="24"/>
          <w:highlight w:val="none"/>
        </w:rPr>
        <w:t>采购及工程招标项目社会代理机构进行公开遴选，特邀请</w:t>
      </w:r>
      <w:r>
        <w:rPr>
          <w:rFonts w:ascii="宋体" w:hAnsi="宋体"/>
          <w:color w:val="auto"/>
          <w:sz w:val="24"/>
          <w:highlight w:val="none"/>
        </w:rPr>
        <w:t>具备相应资质</w:t>
      </w:r>
      <w:r>
        <w:rPr>
          <w:rFonts w:hint="eastAsia" w:ascii="宋体" w:hAnsi="宋体"/>
          <w:color w:val="auto"/>
          <w:sz w:val="24"/>
          <w:highlight w:val="none"/>
        </w:rPr>
        <w:t>的代理机构</w:t>
      </w:r>
      <w:r>
        <w:rPr>
          <w:rFonts w:ascii="宋体" w:hAnsi="宋体"/>
          <w:color w:val="auto"/>
          <w:sz w:val="24"/>
          <w:highlight w:val="none"/>
        </w:rPr>
        <w:t>参加。</w:t>
      </w:r>
      <w:r>
        <w:rPr>
          <w:rFonts w:hint="eastAsia" w:ascii="宋体" w:hAnsi="宋体"/>
          <w:color w:val="auto"/>
          <w:sz w:val="24"/>
          <w:highlight w:val="none"/>
        </w:rPr>
        <w:t>现将有关事项通告如下：</w:t>
      </w:r>
    </w:p>
    <w:p>
      <w:pPr>
        <w:spacing w:line="360" w:lineRule="auto"/>
        <w:rPr>
          <w:rFonts w:ascii="宋体" w:hAnsi="宋体"/>
          <w:b/>
          <w:color w:val="auto"/>
          <w:sz w:val="24"/>
          <w:highlight w:val="none"/>
        </w:rPr>
      </w:pPr>
      <w:r>
        <w:rPr>
          <w:rFonts w:hint="eastAsia" w:ascii="宋体" w:hAnsi="宋体"/>
          <w:b/>
          <w:color w:val="auto"/>
          <w:sz w:val="24"/>
          <w:highlight w:val="none"/>
        </w:rPr>
        <w:t>一、遴选说明和服务范围</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本次代理机构遴选</w:t>
      </w:r>
      <w:r>
        <w:rPr>
          <w:rFonts w:hint="eastAsia" w:ascii="宋体" w:hAnsi="宋体"/>
          <w:color w:val="auto"/>
          <w:sz w:val="24"/>
          <w:highlight w:val="none"/>
          <w:lang w:val="en-US" w:eastAsia="zh-CN"/>
        </w:rPr>
        <w:t>2</w:t>
      </w:r>
      <w:r>
        <w:rPr>
          <w:rFonts w:hint="eastAsia" w:ascii="宋体" w:hAnsi="宋体"/>
          <w:color w:val="auto"/>
          <w:sz w:val="24"/>
          <w:highlight w:val="none"/>
        </w:rPr>
        <w:t>家。</w:t>
      </w:r>
    </w:p>
    <w:p>
      <w:pPr>
        <w:spacing w:line="360" w:lineRule="auto"/>
        <w:ind w:firstLine="480" w:firstLineChars="200"/>
        <w:rPr>
          <w:rFonts w:hint="eastAsia" w:ascii="宋体" w:hAnsi="宋体" w:cs="微软雅黑"/>
          <w:bCs/>
          <w:color w:val="auto"/>
          <w:sz w:val="24"/>
          <w:highlight w:val="none"/>
        </w:rPr>
      </w:pPr>
      <w:r>
        <w:rPr>
          <w:rFonts w:hint="eastAsia" w:ascii="宋体" w:hAnsi="宋体" w:cs="微软雅黑"/>
          <w:bCs/>
          <w:color w:val="auto"/>
          <w:sz w:val="24"/>
          <w:highlight w:val="none"/>
        </w:rPr>
        <w:t>业务范围：采购及工程招标类项目工作</w:t>
      </w:r>
    </w:p>
    <w:p>
      <w:pPr>
        <w:spacing w:line="360" w:lineRule="auto"/>
        <w:ind w:firstLine="480" w:firstLineChars="200"/>
        <w:rPr>
          <w:rFonts w:hint="eastAsia" w:ascii="宋体" w:hAnsi="宋体" w:cs="微软雅黑"/>
          <w:bCs/>
          <w:color w:val="auto"/>
          <w:sz w:val="24"/>
          <w:highlight w:val="none"/>
          <w:lang w:eastAsia="zh-CN"/>
        </w:rPr>
      </w:pPr>
      <w:r>
        <w:rPr>
          <w:rFonts w:hint="eastAsia" w:ascii="宋体" w:hAnsi="宋体" w:cs="微软雅黑"/>
          <w:bCs/>
          <w:color w:val="auto"/>
          <w:sz w:val="24"/>
          <w:highlight w:val="none"/>
        </w:rPr>
        <w:t>遴选</w:t>
      </w:r>
      <w:r>
        <w:rPr>
          <w:rFonts w:hint="eastAsia" w:ascii="宋体" w:hAnsi="宋体" w:cs="微软雅黑"/>
          <w:bCs/>
          <w:color w:val="auto"/>
          <w:sz w:val="24"/>
          <w:highlight w:val="none"/>
          <w:lang w:eastAsia="zh-CN"/>
        </w:rPr>
        <w:t>方式：公开招标</w:t>
      </w:r>
    </w:p>
    <w:p>
      <w:pPr>
        <w:spacing w:line="360" w:lineRule="auto"/>
        <w:ind w:firstLine="480" w:firstLineChars="200"/>
        <w:rPr>
          <w:rFonts w:ascii="宋体" w:hAnsi="宋体"/>
          <w:b/>
          <w:color w:val="auto"/>
          <w:sz w:val="24"/>
          <w:highlight w:val="none"/>
        </w:rPr>
      </w:pPr>
      <w:r>
        <w:rPr>
          <w:rFonts w:hint="eastAsia" w:ascii="宋体" w:hAnsi="宋体"/>
          <w:color w:val="auto"/>
          <w:sz w:val="24"/>
          <w:highlight w:val="none"/>
          <w:lang w:val="en-US" w:eastAsia="zh-CN"/>
        </w:rPr>
        <w:t>项目编号：GZYH2021015</w:t>
      </w:r>
    </w:p>
    <w:p>
      <w:pPr>
        <w:spacing w:line="360" w:lineRule="auto"/>
        <w:rPr>
          <w:rFonts w:ascii="宋体" w:hAnsi="宋体"/>
          <w:b/>
          <w:color w:val="auto"/>
          <w:sz w:val="24"/>
          <w:highlight w:val="none"/>
        </w:rPr>
      </w:pPr>
      <w:r>
        <w:rPr>
          <w:rFonts w:hint="eastAsia" w:ascii="宋体" w:hAnsi="宋体"/>
          <w:b/>
          <w:color w:val="auto"/>
          <w:sz w:val="24"/>
          <w:highlight w:val="none"/>
        </w:rPr>
        <w:t>二、代理机构应具备的资格条件</w:t>
      </w:r>
    </w:p>
    <w:p>
      <w:pPr>
        <w:spacing w:line="360" w:lineRule="auto"/>
        <w:rPr>
          <w:rFonts w:ascii="宋体" w:hAnsi="宋体"/>
          <w:color w:val="auto"/>
          <w:sz w:val="24"/>
          <w:highlight w:val="none"/>
        </w:rPr>
      </w:pPr>
      <w:r>
        <w:rPr>
          <w:rFonts w:hint="eastAsia" w:ascii="宋体" w:hAnsi="宋体"/>
          <w:color w:val="auto"/>
          <w:sz w:val="24"/>
          <w:highlight w:val="none"/>
        </w:rPr>
        <w:t xml:space="preserve">    1、具有企业法人资格（提供有效营业执照、税务登记证、组织机构代码证或三证合一原件复印件并加盖公章）；</w:t>
      </w:r>
    </w:p>
    <w:p>
      <w:pPr>
        <w:spacing w:line="360" w:lineRule="auto"/>
        <w:rPr>
          <w:rFonts w:ascii="宋体" w:hAnsi="宋体"/>
          <w:color w:val="auto"/>
          <w:sz w:val="24"/>
          <w:highlight w:val="none"/>
        </w:rPr>
      </w:pPr>
      <w:r>
        <w:rPr>
          <w:rFonts w:hint="eastAsia" w:ascii="宋体" w:hAnsi="宋体"/>
          <w:color w:val="auto"/>
          <w:sz w:val="24"/>
          <w:highlight w:val="none"/>
        </w:rPr>
        <w:t xml:space="preserve">    2、已在中国政府采购网（www.ccgp.gov.cn）登记并纳入政府采购代理机构名单（提供中国政府采购网截图并加盖公章）；</w:t>
      </w:r>
    </w:p>
    <w:p>
      <w:pPr>
        <w:spacing w:line="360" w:lineRule="auto"/>
        <w:rPr>
          <w:rFonts w:ascii="宋体" w:hAnsi="宋体"/>
          <w:color w:val="auto"/>
          <w:sz w:val="24"/>
          <w:highlight w:val="none"/>
        </w:rPr>
      </w:pPr>
      <w:r>
        <w:rPr>
          <w:rFonts w:hint="eastAsia" w:ascii="宋体" w:hAnsi="宋体"/>
          <w:color w:val="auto"/>
          <w:sz w:val="24"/>
          <w:highlight w:val="none"/>
        </w:rPr>
        <w:t xml:space="preserve">    3、在</w:t>
      </w:r>
      <w:r>
        <w:rPr>
          <w:rFonts w:hint="eastAsia" w:ascii="宋体" w:hAnsi="宋体"/>
          <w:color w:val="auto"/>
          <w:sz w:val="24"/>
          <w:highlight w:val="none"/>
          <w:lang w:eastAsia="zh-CN"/>
        </w:rPr>
        <w:t>赣州市</w:t>
      </w:r>
      <w:r>
        <w:rPr>
          <w:rFonts w:ascii="宋体" w:hAnsi="宋体"/>
          <w:color w:val="auto"/>
          <w:sz w:val="24"/>
          <w:highlight w:val="none"/>
        </w:rPr>
        <w:t>具有固定的</w:t>
      </w:r>
      <w:r>
        <w:rPr>
          <w:rFonts w:hint="eastAsia" w:ascii="宋体" w:hAnsi="宋体"/>
          <w:color w:val="auto"/>
          <w:sz w:val="24"/>
          <w:highlight w:val="none"/>
        </w:rPr>
        <w:t>办公经营</w:t>
      </w:r>
      <w:r>
        <w:rPr>
          <w:rFonts w:ascii="宋体" w:hAnsi="宋体"/>
          <w:color w:val="auto"/>
          <w:sz w:val="24"/>
          <w:highlight w:val="none"/>
        </w:rPr>
        <w:t>场所</w:t>
      </w:r>
      <w:r>
        <w:rPr>
          <w:rFonts w:hint="eastAsia" w:ascii="宋体" w:hAnsi="宋体"/>
          <w:color w:val="auto"/>
          <w:sz w:val="24"/>
          <w:highlight w:val="none"/>
        </w:rPr>
        <w:t>（提供自有房产证或租用房产协议原件复印件并加盖公章）</w:t>
      </w:r>
      <w:r>
        <w:rPr>
          <w:rFonts w:ascii="宋体" w:hAnsi="宋体"/>
          <w:color w:val="auto"/>
          <w:sz w:val="24"/>
          <w:highlight w:val="none"/>
        </w:rPr>
        <w:t>；</w:t>
      </w:r>
    </w:p>
    <w:p>
      <w:pPr>
        <w:spacing w:line="360" w:lineRule="auto"/>
        <w:rPr>
          <w:rFonts w:ascii="宋体" w:hAnsi="宋体"/>
          <w:color w:val="auto"/>
          <w:sz w:val="24"/>
          <w:highlight w:val="none"/>
        </w:rPr>
      </w:pPr>
      <w:r>
        <w:rPr>
          <w:rFonts w:hint="eastAsia" w:ascii="宋体" w:hAnsi="宋体"/>
          <w:color w:val="auto"/>
          <w:sz w:val="24"/>
          <w:highlight w:val="none"/>
        </w:rPr>
        <w:t xml:space="preserve">    4、</w:t>
      </w:r>
      <w:r>
        <w:rPr>
          <w:rFonts w:hint="eastAsia" w:ascii="宋体" w:hAnsi="宋体"/>
          <w:color w:val="auto"/>
          <w:sz w:val="24"/>
          <w:highlight w:val="none"/>
        </w:rPr>
        <w:t>投标人须具备良好</w:t>
      </w:r>
      <w:r>
        <w:rPr>
          <w:rFonts w:hint="eastAsia" w:ascii="宋体" w:hAnsi="宋体"/>
          <w:color w:val="auto"/>
          <w:sz w:val="24"/>
          <w:highlight w:val="none"/>
          <w:lang w:val="en-US" w:eastAsia="zh-CN"/>
        </w:rPr>
        <w:t>的经营情况</w:t>
      </w:r>
      <w:r>
        <w:rPr>
          <w:rFonts w:hint="eastAsia" w:ascii="宋体" w:hAnsi="宋体"/>
          <w:color w:val="auto"/>
          <w:sz w:val="24"/>
          <w:highlight w:val="none"/>
        </w:rPr>
        <w:t>（提供近三年任一年度经具备审计资格的第三方出具的审计报告复印件并加盖公章或公司财务报表复印件加盖公章）；</w:t>
      </w:r>
    </w:p>
    <w:p>
      <w:pPr>
        <w:spacing w:line="360" w:lineRule="auto"/>
        <w:rPr>
          <w:rFonts w:ascii="宋体" w:hAnsi="宋体"/>
          <w:color w:val="auto"/>
          <w:sz w:val="24"/>
          <w:highlight w:val="none"/>
        </w:rPr>
      </w:pPr>
      <w:r>
        <w:rPr>
          <w:rFonts w:hint="eastAsia" w:ascii="宋体" w:hAnsi="宋体"/>
          <w:color w:val="auto"/>
          <w:sz w:val="24"/>
          <w:highlight w:val="none"/>
        </w:rPr>
        <w:t xml:space="preserve">    5、有依法缴纳税收和社会保障资金的良好记录（提供开标截止时间前六个月内任意一个月依法缴纳税收和社会保障资金的证明材料原件复印件并加盖公章）；</w:t>
      </w:r>
    </w:p>
    <w:p>
      <w:pPr>
        <w:spacing w:line="360" w:lineRule="auto"/>
        <w:rPr>
          <w:rFonts w:ascii="宋体" w:hAnsi="宋体"/>
          <w:color w:val="auto"/>
          <w:sz w:val="24"/>
          <w:highlight w:val="none"/>
        </w:rPr>
      </w:pPr>
      <w:r>
        <w:rPr>
          <w:rFonts w:hint="eastAsia" w:ascii="宋体" w:hAnsi="宋体"/>
          <w:color w:val="auto"/>
          <w:sz w:val="24"/>
          <w:highlight w:val="none"/>
        </w:rPr>
        <w:t xml:space="preserve">    6、具有良好商业信誉，在经营活动中没有重大违法违纪记录并与</w:t>
      </w:r>
      <w:r>
        <w:rPr>
          <w:rFonts w:hint="eastAsia" w:ascii="宋体" w:hAnsi="宋体"/>
          <w:color w:val="auto"/>
          <w:sz w:val="24"/>
          <w:highlight w:val="none"/>
          <w:lang w:eastAsia="zh-CN"/>
        </w:rPr>
        <w:t>赣州银行股份有限公司</w:t>
      </w:r>
      <w:r>
        <w:rPr>
          <w:rFonts w:hint="eastAsia" w:ascii="宋体" w:hAnsi="宋体"/>
          <w:color w:val="auto"/>
          <w:sz w:val="24"/>
          <w:highlight w:val="none"/>
        </w:rPr>
        <w:t>无法律诉讼行为（提供承诺函并加盖公章）；</w:t>
      </w:r>
    </w:p>
    <w:p>
      <w:pPr>
        <w:spacing w:line="360" w:lineRule="auto"/>
        <w:rPr>
          <w:rFonts w:ascii="宋体" w:hAnsi="宋体"/>
          <w:color w:val="auto"/>
          <w:sz w:val="24"/>
          <w:highlight w:val="none"/>
        </w:rPr>
      </w:pPr>
      <w:r>
        <w:rPr>
          <w:rFonts w:hint="eastAsia" w:ascii="宋体" w:hAnsi="宋体"/>
          <w:color w:val="auto"/>
          <w:sz w:val="24"/>
          <w:highlight w:val="none"/>
        </w:rPr>
        <w:t xml:space="preserve">    7、提供“信用中国”、“中国政府采购网政府采购代理机构不良行为记录名单”查询截图；</w:t>
      </w:r>
    </w:p>
    <w:p>
      <w:pPr>
        <w:spacing w:line="360" w:lineRule="auto"/>
        <w:ind w:firstLine="480"/>
        <w:rPr>
          <w:rFonts w:hint="eastAsia" w:ascii="宋体" w:hAnsi="宋体"/>
          <w:color w:val="auto"/>
          <w:sz w:val="24"/>
          <w:highlight w:val="none"/>
          <w:lang w:eastAsia="zh-CN"/>
        </w:rPr>
      </w:pPr>
      <w:r>
        <w:rPr>
          <w:rFonts w:hint="eastAsia" w:ascii="宋体" w:hAnsi="宋体"/>
          <w:color w:val="auto"/>
          <w:sz w:val="24"/>
          <w:highlight w:val="none"/>
        </w:rPr>
        <w:t>8、不接受两个或两个以上社会采购代理机构以联合体方式参加遴选。不接受同一自然人名下的两个或两个以上的公司参与遴选</w:t>
      </w:r>
      <w:r>
        <w:rPr>
          <w:rFonts w:hint="eastAsia" w:ascii="宋体" w:hAnsi="宋体"/>
          <w:color w:val="auto"/>
          <w:sz w:val="24"/>
          <w:highlight w:val="none"/>
          <w:lang w:eastAsia="zh-CN"/>
        </w:rPr>
        <w:t>。</w:t>
      </w:r>
    </w:p>
    <w:p>
      <w:pPr>
        <w:spacing w:line="360" w:lineRule="auto"/>
        <w:ind w:firstLine="480"/>
        <w:rPr>
          <w:rFonts w:hint="eastAsia" w:ascii="宋体" w:hAnsi="宋体"/>
          <w:color w:val="auto"/>
          <w:sz w:val="24"/>
          <w:highlight w:val="none"/>
        </w:rPr>
      </w:pPr>
      <w:r>
        <w:rPr>
          <w:rFonts w:hint="eastAsia" w:ascii="宋体" w:hAnsi="宋体"/>
          <w:color w:val="auto"/>
          <w:sz w:val="24"/>
          <w:highlight w:val="none"/>
          <w:lang w:val="en-US" w:eastAsia="zh-CN"/>
        </w:rPr>
        <w:t>9、</w:t>
      </w:r>
      <w:r>
        <w:rPr>
          <w:rFonts w:hint="eastAsia" w:ascii="宋体" w:hAnsi="宋体"/>
          <w:color w:val="auto"/>
          <w:sz w:val="24"/>
          <w:highlight w:val="none"/>
        </w:rPr>
        <w:t>投标报价为一次性不得更改的最终报价，只允许一个报价，任何有选择的报价都</w:t>
      </w:r>
      <w:r>
        <w:rPr>
          <w:rFonts w:hint="eastAsia" w:ascii="宋体" w:hAnsi="宋体"/>
          <w:color w:val="auto"/>
          <w:sz w:val="24"/>
          <w:highlight w:val="none"/>
          <w:lang w:eastAsia="zh-CN"/>
        </w:rPr>
        <w:t>视为无效报价。</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三</w:t>
      </w:r>
      <w:r>
        <w:rPr>
          <w:rFonts w:hint="eastAsia" w:ascii="宋体" w:hAnsi="宋体"/>
          <w:b/>
          <w:color w:val="auto"/>
          <w:sz w:val="24"/>
          <w:szCs w:val="24"/>
          <w:highlight w:val="none"/>
        </w:rPr>
        <w:t xml:space="preserve">、获取遴选文件时间、地点 </w:t>
      </w:r>
    </w:p>
    <w:p>
      <w:pPr>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rPr>
        <w:t>遴选</w:t>
      </w:r>
      <w:r>
        <w:rPr>
          <w:rFonts w:hint="eastAsia" w:ascii="宋体" w:hAnsi="宋体"/>
          <w:color w:val="auto"/>
          <w:sz w:val="24"/>
          <w:szCs w:val="24"/>
          <w:highlight w:val="none"/>
          <w:lang w:val="en-US" w:eastAsia="zh-CN"/>
        </w:rPr>
        <w:t xml:space="preserve">文件的获取: </w:t>
      </w:r>
      <w:r>
        <w:rPr>
          <w:rFonts w:hint="eastAsia" w:ascii="宋体" w:hAnsi="宋体"/>
          <w:color w:val="auto"/>
          <w:sz w:val="24"/>
          <w:szCs w:val="24"/>
          <w:highlight w:val="none"/>
          <w:lang w:val="en-US" w:eastAsia="zh-CN"/>
        </w:rPr>
        <w:t>2021年4 月2日至2021年4月13日</w:t>
      </w:r>
      <w:r>
        <w:rPr>
          <w:rFonts w:hint="eastAsia" w:ascii="宋体" w:hAnsi="宋体"/>
          <w:color w:val="auto"/>
          <w:sz w:val="24"/>
          <w:szCs w:val="24"/>
          <w:highlight w:val="none"/>
          <w:lang w:val="en-US" w:eastAsia="zh-CN"/>
        </w:rPr>
        <w:t>，请投标人自行前往赣州银行官方网站下载(</w:t>
      </w:r>
      <w:r>
        <w:rPr>
          <w:rFonts w:hint="eastAsia" w:ascii="宋体" w:hAnsi="宋体"/>
          <w:color w:val="auto"/>
          <w:sz w:val="24"/>
          <w:szCs w:val="24"/>
          <w:highlight w:val="none"/>
        </w:rPr>
        <w:fldChar w:fldCharType="begin"/>
      </w:r>
      <w:r>
        <w:rPr>
          <w:rFonts w:hint="eastAsia" w:ascii="宋体" w:hAnsi="宋体"/>
          <w:color w:val="auto"/>
          <w:sz w:val="24"/>
          <w:szCs w:val="24"/>
          <w:highlight w:val="none"/>
        </w:rPr>
        <w:instrText xml:space="preserve"> HYPERLINK "http://www.bankgz.com/" </w:instrText>
      </w:r>
      <w:r>
        <w:rPr>
          <w:rFonts w:hint="eastAsia" w:ascii="宋体" w:hAnsi="宋体"/>
          <w:color w:val="auto"/>
          <w:sz w:val="24"/>
          <w:szCs w:val="24"/>
          <w:highlight w:val="none"/>
        </w:rPr>
        <w:fldChar w:fldCharType="separate"/>
      </w:r>
      <w:r>
        <w:rPr>
          <w:rFonts w:hint="eastAsia" w:ascii="宋体" w:hAnsi="宋体"/>
          <w:color w:val="auto"/>
          <w:sz w:val="24"/>
          <w:szCs w:val="24"/>
          <w:highlight w:val="none"/>
        </w:rPr>
        <w:t>http://www.bankgz.com/</w:t>
      </w:r>
      <w:r>
        <w:rPr>
          <w:rFonts w:hint="eastAsia" w:ascii="宋体" w:hAnsi="宋体"/>
          <w:color w:val="auto"/>
          <w:sz w:val="24"/>
          <w:szCs w:val="24"/>
          <w:highlight w:val="none"/>
        </w:rPr>
        <w:fldChar w:fldCharType="end"/>
      </w:r>
      <w:r>
        <w:rPr>
          <w:rFonts w:hint="eastAsia" w:ascii="宋体" w:hAnsi="宋体"/>
          <w:color w:val="auto"/>
          <w:sz w:val="24"/>
          <w:szCs w:val="24"/>
          <w:highlight w:val="none"/>
          <w:lang w:val="en-US" w:eastAsia="zh-CN"/>
        </w:rPr>
        <w:t>)，并按要求编制投标文件。</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四、递交申请书及遴选时间、地点</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（一）递交申请书截止时间：</w:t>
      </w:r>
      <w:r>
        <w:rPr>
          <w:rFonts w:hint="eastAsia" w:ascii="宋体" w:hAnsi="宋体"/>
          <w:color w:val="auto"/>
          <w:sz w:val="24"/>
          <w:szCs w:val="24"/>
          <w:highlight w:val="none"/>
        </w:rPr>
        <w:t>202</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年</w:t>
      </w: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22</w:t>
      </w:r>
      <w:r>
        <w:rPr>
          <w:rFonts w:hint="eastAsia" w:ascii="宋体" w:hAnsi="宋体"/>
          <w:color w:val="auto"/>
          <w:sz w:val="24"/>
          <w:szCs w:val="24"/>
          <w:highlight w:val="none"/>
        </w:rPr>
        <w:t>日9</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3</w:t>
      </w:r>
      <w:r>
        <w:rPr>
          <w:rFonts w:hint="eastAsia" w:ascii="宋体" w:hAnsi="宋体"/>
          <w:color w:val="auto"/>
          <w:sz w:val="24"/>
          <w:highlight w:val="none"/>
        </w:rPr>
        <w:t>0</w:t>
      </w:r>
      <w:r>
        <w:rPr>
          <w:rFonts w:hint="eastAsia" w:ascii="宋体" w:hAnsi="宋体"/>
          <w:color w:val="auto"/>
          <w:sz w:val="24"/>
          <w:highlight w:val="none"/>
          <w:lang w:eastAsia="zh-CN"/>
        </w:rPr>
        <w:t>前</w:t>
      </w:r>
      <w:r>
        <w:rPr>
          <w:rFonts w:hint="eastAsia" w:ascii="宋体" w:hAnsi="宋体"/>
          <w:color w:val="auto"/>
          <w:sz w:val="24"/>
          <w:szCs w:val="24"/>
          <w:highlight w:val="none"/>
        </w:rPr>
        <w:t>（北京时间），过期递交不予受理。</w:t>
      </w:r>
    </w:p>
    <w:p>
      <w:pPr>
        <w:spacing w:line="360" w:lineRule="auto"/>
        <w:ind w:firstLine="480" w:firstLineChars="200"/>
        <w:rPr>
          <w:rFonts w:ascii="宋体" w:hAnsi="宋体"/>
          <w:bCs/>
          <w:color w:val="auto"/>
          <w:sz w:val="24"/>
          <w:szCs w:val="24"/>
          <w:highlight w:val="none"/>
        </w:rPr>
      </w:pPr>
      <w:r>
        <w:rPr>
          <w:rFonts w:hint="eastAsia" w:ascii="宋体" w:hAnsi="宋体"/>
          <w:color w:val="auto"/>
          <w:sz w:val="24"/>
          <w:szCs w:val="24"/>
          <w:highlight w:val="none"/>
        </w:rPr>
        <w:t>（二）</w:t>
      </w:r>
      <w:r>
        <w:rPr>
          <w:rFonts w:hint="eastAsia" w:ascii="宋体" w:hAnsi="宋体"/>
          <w:color w:val="auto"/>
          <w:sz w:val="24"/>
          <w:highlight w:val="none"/>
        </w:rPr>
        <w:t>递交申请书地点：</w:t>
      </w:r>
      <w:r>
        <w:rPr>
          <w:rFonts w:hint="eastAsia" w:ascii="宋体" w:hAnsi="宋体"/>
          <w:bCs/>
          <w:color w:val="auto"/>
          <w:sz w:val="24"/>
          <w:szCs w:val="24"/>
          <w:highlight w:val="none"/>
          <w:lang w:eastAsia="zh-CN"/>
        </w:rPr>
        <w:t>赣州银行股份有限公司三楼</w:t>
      </w:r>
      <w:r>
        <w:rPr>
          <w:rFonts w:hint="eastAsia" w:ascii="宋体" w:hAnsi="宋体"/>
          <w:bCs/>
          <w:color w:val="auto"/>
          <w:sz w:val="24"/>
          <w:szCs w:val="24"/>
          <w:highlight w:val="none"/>
        </w:rPr>
        <w:t>会议室（</w:t>
      </w:r>
      <w:r>
        <w:rPr>
          <w:rFonts w:hint="eastAsia" w:ascii="宋体" w:hAnsi="宋体"/>
          <w:bCs/>
          <w:color w:val="auto"/>
          <w:sz w:val="24"/>
          <w:szCs w:val="24"/>
          <w:highlight w:val="none"/>
          <w:lang w:eastAsia="zh-CN"/>
        </w:rPr>
        <w:t>赣州市赣江源大道26号</w:t>
      </w:r>
      <w:r>
        <w:rPr>
          <w:rFonts w:hint="eastAsia" w:ascii="宋体" w:hAnsi="宋体"/>
          <w:bCs/>
          <w:color w:val="auto"/>
          <w:sz w:val="24"/>
          <w:szCs w:val="24"/>
          <w:highlight w:val="none"/>
        </w:rPr>
        <w:t>）</w:t>
      </w:r>
    </w:p>
    <w:p>
      <w:pPr>
        <w:spacing w:line="360" w:lineRule="auto"/>
        <w:ind w:firstLine="480" w:firstLineChars="200"/>
        <w:rPr>
          <w:rFonts w:ascii="宋体" w:hAnsi="宋体"/>
          <w:bCs/>
          <w:color w:val="auto"/>
          <w:sz w:val="24"/>
          <w:szCs w:val="24"/>
          <w:highlight w:val="none"/>
        </w:rPr>
      </w:pPr>
      <w:r>
        <w:rPr>
          <w:rFonts w:hint="eastAsia" w:ascii="宋体" w:hAnsi="宋体"/>
          <w:color w:val="auto"/>
          <w:sz w:val="24"/>
          <w:highlight w:val="none"/>
        </w:rPr>
        <w:t>（三）遴选地点：</w:t>
      </w:r>
      <w:r>
        <w:rPr>
          <w:rFonts w:hint="eastAsia" w:ascii="宋体" w:hAnsi="宋体"/>
          <w:bCs/>
          <w:color w:val="auto"/>
          <w:sz w:val="24"/>
          <w:szCs w:val="24"/>
          <w:highlight w:val="none"/>
          <w:lang w:eastAsia="zh-CN"/>
        </w:rPr>
        <w:t>赣州银行股份有限公司三楼</w:t>
      </w:r>
      <w:r>
        <w:rPr>
          <w:rFonts w:hint="eastAsia" w:ascii="宋体" w:hAnsi="宋体"/>
          <w:bCs/>
          <w:color w:val="auto"/>
          <w:sz w:val="24"/>
          <w:szCs w:val="24"/>
          <w:highlight w:val="none"/>
        </w:rPr>
        <w:t>会议室（</w:t>
      </w:r>
      <w:r>
        <w:rPr>
          <w:rFonts w:hint="eastAsia" w:ascii="宋体" w:hAnsi="宋体"/>
          <w:bCs/>
          <w:color w:val="auto"/>
          <w:sz w:val="24"/>
          <w:szCs w:val="24"/>
          <w:highlight w:val="none"/>
          <w:lang w:eastAsia="zh-CN"/>
        </w:rPr>
        <w:t>赣州市赣江源大道26号</w:t>
      </w:r>
      <w:r>
        <w:rPr>
          <w:rFonts w:hint="eastAsia" w:ascii="宋体" w:hAnsi="宋体"/>
          <w:bCs/>
          <w:color w:val="auto"/>
          <w:sz w:val="24"/>
          <w:szCs w:val="24"/>
          <w:highlight w:val="none"/>
        </w:rPr>
        <w:t>）</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（四）遴选开始时间：</w:t>
      </w:r>
      <w:r>
        <w:rPr>
          <w:rFonts w:hint="eastAsia" w:ascii="宋体" w:hAnsi="宋体"/>
          <w:color w:val="auto"/>
          <w:sz w:val="24"/>
          <w:highlight w:val="none"/>
        </w:rPr>
        <w:t>202</w:t>
      </w:r>
      <w:r>
        <w:rPr>
          <w:rFonts w:hint="eastAsia" w:ascii="宋体" w:hAnsi="宋体"/>
          <w:color w:val="auto"/>
          <w:sz w:val="24"/>
          <w:highlight w:val="none"/>
          <w:lang w:val="en-US" w:eastAsia="zh-CN"/>
        </w:rPr>
        <w:t>1</w:t>
      </w:r>
      <w:r>
        <w:rPr>
          <w:rFonts w:hint="eastAsia" w:ascii="宋体" w:hAnsi="宋体"/>
          <w:color w:val="auto"/>
          <w:sz w:val="24"/>
          <w:highlight w:val="none"/>
        </w:rPr>
        <w:t>年</w:t>
      </w:r>
      <w:r>
        <w:rPr>
          <w:rFonts w:hint="eastAsia" w:ascii="宋体" w:hAnsi="宋体"/>
          <w:color w:val="auto"/>
          <w:sz w:val="24"/>
          <w:highlight w:val="none"/>
          <w:lang w:val="en-US" w:eastAsia="zh-CN"/>
        </w:rPr>
        <w:t>4</w:t>
      </w:r>
      <w:r>
        <w:rPr>
          <w:rFonts w:hint="eastAsia" w:ascii="宋体" w:hAnsi="宋体"/>
          <w:color w:val="auto"/>
          <w:sz w:val="24"/>
          <w:highlight w:val="none"/>
        </w:rPr>
        <w:t>月</w:t>
      </w:r>
      <w:r>
        <w:rPr>
          <w:rFonts w:hint="eastAsia" w:ascii="宋体" w:hAnsi="宋体"/>
          <w:color w:val="auto"/>
          <w:sz w:val="24"/>
          <w:highlight w:val="none"/>
          <w:lang w:val="en-US" w:eastAsia="zh-CN"/>
        </w:rPr>
        <w:t>22</w:t>
      </w:r>
      <w:r>
        <w:rPr>
          <w:rFonts w:hint="eastAsia" w:ascii="宋体" w:hAnsi="宋体"/>
          <w:color w:val="auto"/>
          <w:sz w:val="24"/>
          <w:highlight w:val="none"/>
        </w:rPr>
        <w:t>日</w:t>
      </w:r>
      <w:r>
        <w:rPr>
          <w:rFonts w:hint="eastAsia" w:ascii="宋体" w:hAnsi="宋体"/>
          <w:color w:val="auto"/>
          <w:sz w:val="24"/>
          <w:szCs w:val="24"/>
          <w:highlight w:val="none"/>
        </w:rPr>
        <w:t>9</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30</w:t>
      </w:r>
      <w:r>
        <w:rPr>
          <w:rFonts w:hint="eastAsia" w:ascii="宋体" w:hAnsi="宋体"/>
          <w:color w:val="auto"/>
          <w:sz w:val="24"/>
          <w:szCs w:val="24"/>
          <w:highlight w:val="none"/>
        </w:rPr>
        <w:t>（北京时间）</w:t>
      </w:r>
      <w:r>
        <w:rPr>
          <w:rFonts w:hint="eastAsia" w:ascii="宋体" w:hAnsi="宋体"/>
          <w:color w:val="auto"/>
          <w:sz w:val="24"/>
          <w:highlight w:val="none"/>
        </w:rPr>
        <w:t>。</w:t>
      </w:r>
    </w:p>
    <w:p>
      <w:pPr>
        <w:pStyle w:val="4"/>
        <w:keepNext w:val="0"/>
        <w:keepLines w:val="0"/>
        <w:pageBreakBefore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both"/>
        <w:textAlignment w:val="auto"/>
        <w:outlineLvl w:val="9"/>
        <w:rPr>
          <w:rFonts w:hint="eastAsia" w:ascii="宋体" w:hAnsi="宋体"/>
          <w:color w:val="auto"/>
          <w:sz w:val="24"/>
          <w:szCs w:val="24"/>
          <w:highlight w:val="none"/>
        </w:rPr>
      </w:pPr>
      <w:r>
        <w:rPr>
          <w:rFonts w:hint="eastAsia" w:ascii="宋体" w:hAnsi="宋体"/>
          <w:color w:val="auto"/>
          <w:sz w:val="24"/>
          <w:highlight w:val="none"/>
        </w:rPr>
        <w:t>（五）</w:t>
      </w:r>
      <w:r>
        <w:rPr>
          <w:rFonts w:hint="eastAsia" w:ascii="宋体" w:hAnsi="宋体"/>
          <w:color w:val="auto"/>
          <w:sz w:val="24"/>
          <w:szCs w:val="24"/>
          <w:highlight w:val="none"/>
        </w:rPr>
        <w:t>获取了本遴选文件，而不参加遴选活动的社会代理机构，请在申请书递交截止时间前</w:t>
      </w:r>
      <w:r>
        <w:rPr>
          <w:rFonts w:ascii="宋体" w:hAnsi="宋体"/>
          <w:color w:val="auto"/>
          <w:sz w:val="24"/>
          <w:szCs w:val="24"/>
          <w:highlight w:val="none"/>
        </w:rPr>
        <w:t>1</w:t>
      </w:r>
      <w:r>
        <w:rPr>
          <w:rFonts w:hint="eastAsia" w:ascii="宋体" w:hAnsi="宋体"/>
          <w:color w:val="auto"/>
          <w:sz w:val="24"/>
          <w:szCs w:val="24"/>
          <w:highlight w:val="none"/>
        </w:rPr>
        <w:t>日以书面形式通知</w:t>
      </w:r>
      <w:r>
        <w:rPr>
          <w:rFonts w:hint="eastAsia" w:ascii="宋体" w:hAnsi="宋体"/>
          <w:color w:val="auto"/>
          <w:sz w:val="24"/>
          <w:szCs w:val="24"/>
          <w:highlight w:val="none"/>
          <w:lang w:eastAsia="zh-CN"/>
        </w:rPr>
        <w:t>赣州银行股份有限公司</w:t>
      </w:r>
      <w:r>
        <w:rPr>
          <w:rFonts w:hint="eastAsia" w:ascii="宋体" w:hAnsi="宋体"/>
          <w:color w:val="auto"/>
          <w:sz w:val="24"/>
          <w:szCs w:val="24"/>
          <w:highlight w:val="none"/>
        </w:rPr>
        <w:t>，未书面通知而放弃的，不得再参加本单位任何有关的遴选活动。</w:t>
      </w:r>
    </w:p>
    <w:p>
      <w:pPr>
        <w:pStyle w:val="4"/>
        <w:keepNext w:val="0"/>
        <w:keepLines w:val="0"/>
        <w:pageBreakBefore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both"/>
        <w:textAlignment w:val="auto"/>
        <w:outlineLvl w:val="9"/>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lang w:eastAsia="zh-CN"/>
        </w:rPr>
        <w:t>（</w:t>
      </w:r>
      <w:r>
        <w:rPr>
          <w:rFonts w:hint="eastAsia" w:ascii="宋体" w:hAnsi="宋体" w:eastAsia="宋体"/>
          <w:color w:val="auto"/>
          <w:sz w:val="24"/>
          <w:szCs w:val="24"/>
          <w:highlight w:val="none"/>
          <w:lang w:eastAsia="zh-CN"/>
        </w:rPr>
        <w:t>六）</w:t>
      </w:r>
      <w:r>
        <w:rPr>
          <w:rFonts w:hint="eastAsia" w:ascii="宋体" w:hAnsi="宋体" w:eastAsia="宋体"/>
          <w:color w:val="auto"/>
          <w:sz w:val="24"/>
          <w:szCs w:val="24"/>
          <w:highlight w:val="none"/>
          <w:lang w:val="en-US" w:eastAsia="zh-CN"/>
        </w:rPr>
        <w:t>投标保证金: 投标供应商的投标保证金人民币</w:t>
      </w:r>
      <w:r>
        <w:rPr>
          <w:rFonts w:hint="eastAsia" w:hAnsi="宋体" w:eastAsia="宋体"/>
          <w:color w:val="auto"/>
          <w:sz w:val="24"/>
          <w:szCs w:val="24"/>
          <w:highlight w:val="none"/>
          <w:lang w:val="en-US" w:eastAsia="zh-CN"/>
        </w:rPr>
        <w:t>壹</w:t>
      </w:r>
      <w:r>
        <w:rPr>
          <w:rFonts w:hint="eastAsia" w:hAnsi="宋体"/>
          <w:color w:val="auto"/>
          <w:sz w:val="24"/>
          <w:szCs w:val="24"/>
          <w:highlight w:val="none"/>
          <w:lang w:val="en-US" w:eastAsia="zh-CN"/>
        </w:rPr>
        <w:t>仟</w:t>
      </w:r>
      <w:r>
        <w:rPr>
          <w:rFonts w:hint="eastAsia" w:ascii="宋体" w:hAnsi="宋体" w:eastAsia="宋体"/>
          <w:color w:val="auto"/>
          <w:sz w:val="24"/>
          <w:szCs w:val="24"/>
          <w:highlight w:val="none"/>
          <w:lang w:val="en-US" w:eastAsia="zh-CN"/>
        </w:rPr>
        <w:t>元整</w:t>
      </w:r>
      <w:r>
        <w:rPr>
          <w:rFonts w:hint="eastAsia" w:ascii="宋体" w:hAnsi="宋体" w:eastAsia="宋体"/>
          <w:color w:val="auto"/>
          <w:sz w:val="24"/>
          <w:szCs w:val="24"/>
          <w:highlight w:val="none"/>
          <w:lang w:val="en-US" w:eastAsia="zh-CN"/>
        </w:rPr>
        <w:t>，须在开标的前一天17：00（北京时间）之前到账</w:t>
      </w:r>
      <w:r>
        <w:rPr>
          <w:rFonts w:hint="eastAsia" w:ascii="宋体" w:hAnsi="宋体" w:eastAsia="宋体"/>
          <w:color w:val="auto"/>
          <w:sz w:val="24"/>
          <w:szCs w:val="24"/>
          <w:highlight w:val="none"/>
        </w:rPr>
        <w:t>（注明“</w:t>
      </w:r>
      <w:r>
        <w:rPr>
          <w:rFonts w:hint="eastAsia" w:ascii="宋体" w:hAnsi="宋体" w:eastAsia="宋体"/>
          <w:color w:val="auto"/>
          <w:sz w:val="24"/>
          <w:szCs w:val="24"/>
          <w:highlight w:val="none"/>
          <w:lang w:eastAsia="zh-CN"/>
        </w:rPr>
        <w:t>某某</w:t>
      </w:r>
      <w:r>
        <w:rPr>
          <w:rFonts w:hint="eastAsia" w:ascii="宋体" w:hAnsi="宋体" w:eastAsia="宋体"/>
          <w:color w:val="auto"/>
          <w:sz w:val="24"/>
          <w:szCs w:val="24"/>
          <w:highlight w:val="none"/>
          <w:lang w:val="en-US" w:eastAsia="zh-CN"/>
        </w:rPr>
        <w:t>”</w:t>
      </w:r>
      <w:r>
        <w:rPr>
          <w:rFonts w:hint="eastAsia" w:ascii="宋体" w:hAnsi="宋体" w:eastAsia="宋体"/>
          <w:color w:val="auto"/>
          <w:sz w:val="24"/>
          <w:szCs w:val="24"/>
          <w:highlight w:val="none"/>
        </w:rPr>
        <w:t>项目</w:t>
      </w:r>
      <w:r>
        <w:rPr>
          <w:rFonts w:hint="eastAsia" w:ascii="宋体" w:hAnsi="宋体" w:eastAsia="宋体"/>
          <w:color w:val="auto"/>
          <w:sz w:val="24"/>
          <w:szCs w:val="24"/>
          <w:highlight w:val="none"/>
          <w:lang w:eastAsia="zh-CN"/>
        </w:rPr>
        <w:t>投标</w:t>
      </w:r>
      <w:r>
        <w:rPr>
          <w:rFonts w:hint="eastAsia" w:ascii="宋体" w:hAnsi="宋体" w:eastAsia="宋体"/>
          <w:color w:val="auto"/>
          <w:sz w:val="24"/>
          <w:szCs w:val="24"/>
          <w:highlight w:val="none"/>
        </w:rPr>
        <w:t>保证金）</w:t>
      </w:r>
      <w:r>
        <w:rPr>
          <w:rFonts w:hint="eastAsia" w:ascii="宋体" w:hAnsi="宋体" w:eastAsia="宋体"/>
          <w:color w:val="auto"/>
          <w:sz w:val="24"/>
          <w:szCs w:val="24"/>
          <w:highlight w:val="none"/>
          <w:lang w:val="en-US" w:eastAsia="zh-CN"/>
        </w:rPr>
        <w:t>，从投标供应商的对公账户转入采购人指定账户，否则投标无效。未中</w:t>
      </w:r>
      <w:r>
        <w:rPr>
          <w:rFonts w:hint="eastAsia" w:hAnsi="宋体"/>
          <w:color w:val="auto"/>
          <w:sz w:val="24"/>
          <w:szCs w:val="24"/>
          <w:highlight w:val="none"/>
          <w:lang w:val="en-US" w:eastAsia="zh-CN"/>
        </w:rPr>
        <w:t>选</w:t>
      </w:r>
      <w:r>
        <w:rPr>
          <w:rFonts w:hint="eastAsia" w:ascii="宋体" w:hAnsi="宋体" w:eastAsia="宋体"/>
          <w:color w:val="auto"/>
          <w:sz w:val="24"/>
          <w:szCs w:val="24"/>
          <w:highlight w:val="none"/>
          <w:lang w:val="en-US" w:eastAsia="zh-CN"/>
        </w:rPr>
        <w:t>供应商的投标保证金,在《</w:t>
      </w:r>
      <w:r>
        <w:rPr>
          <w:rFonts w:hint="eastAsia" w:hAnsi="宋体"/>
          <w:color w:val="auto"/>
          <w:sz w:val="24"/>
          <w:szCs w:val="24"/>
          <w:highlight w:val="none"/>
          <w:lang w:val="en-US" w:eastAsia="zh-CN"/>
        </w:rPr>
        <w:t>遴选结果</w:t>
      </w:r>
      <w:r>
        <w:rPr>
          <w:rFonts w:hint="eastAsia" w:ascii="宋体" w:hAnsi="宋体" w:eastAsia="宋体"/>
          <w:color w:val="auto"/>
          <w:sz w:val="24"/>
          <w:szCs w:val="24"/>
          <w:highlight w:val="none"/>
          <w:lang w:val="en-US" w:eastAsia="zh-CN"/>
        </w:rPr>
        <w:t>通知书》发出之日起五个工作日内无息退还，质疑或投诉时，在质疑或投诉处理完毕后五个工作日内无息退还。</w:t>
      </w:r>
    </w:p>
    <w:p>
      <w:pPr>
        <w:pStyle w:val="4"/>
        <w:keepNext w:val="0"/>
        <w:keepLines w:val="0"/>
        <w:pageBreakBefore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both"/>
        <w:textAlignment w:val="auto"/>
        <w:outlineLvl w:val="9"/>
        <w:rPr>
          <w:rFonts w:hint="eastAsia" w:ascii="宋体" w:hAnsi="宋体" w:eastAsia="宋体" w:cs="Times New Roman"/>
          <w:b w:val="0"/>
          <w:bCs w:val="0"/>
          <w:color w:val="auto"/>
          <w:kern w:val="2"/>
          <w:sz w:val="24"/>
          <w:szCs w:val="24"/>
          <w:highlight w:val="none"/>
          <w:lang w:val="en-US" w:eastAsia="zh-CN" w:bidi="ar-SA"/>
        </w:rPr>
      </w:pPr>
      <w:r>
        <w:rPr>
          <w:rFonts w:hint="eastAsia" w:ascii="宋体" w:hAnsi="宋体" w:eastAsia="宋体" w:cs="Times New Roman"/>
          <w:b w:val="0"/>
          <w:bCs w:val="0"/>
          <w:color w:val="auto"/>
          <w:kern w:val="2"/>
          <w:sz w:val="24"/>
          <w:szCs w:val="24"/>
          <w:highlight w:val="none"/>
          <w:lang w:val="en-US" w:eastAsia="zh-CN" w:bidi="ar-SA"/>
        </w:rPr>
        <w:t>（七）保证金支付形式：保证金应当以支票、汇票、本票或者金融机构、担保机构出具的保函、电汇、银行转账等非现金形式提交</w:t>
      </w:r>
      <w:r>
        <w:rPr>
          <w:rFonts w:hint="eastAsia" w:hAnsi="宋体" w:cs="Times New Roman"/>
          <w:b w:val="0"/>
          <w:bCs w:val="0"/>
          <w:color w:val="auto"/>
          <w:kern w:val="2"/>
          <w:sz w:val="24"/>
          <w:szCs w:val="24"/>
          <w:highlight w:val="none"/>
          <w:lang w:val="en-US" w:eastAsia="zh-CN" w:bidi="ar-SA"/>
        </w:rPr>
        <w:t>。</w:t>
      </w:r>
    </w:p>
    <w:p>
      <w:pPr>
        <w:pStyle w:val="4"/>
        <w:keepNext w:val="0"/>
        <w:keepLines w:val="0"/>
        <w:pageBreakBefore w:val="0"/>
        <w:kinsoku/>
        <w:wordWrap/>
        <w:overflowPunct/>
        <w:topLinePunct w:val="0"/>
        <w:autoSpaceDE/>
        <w:autoSpaceDN/>
        <w:bidi w:val="0"/>
        <w:adjustRightInd w:val="0"/>
        <w:snapToGrid w:val="0"/>
        <w:spacing w:beforeLines="0" w:afterLines="0" w:line="360" w:lineRule="auto"/>
        <w:ind w:right="0" w:rightChars="0"/>
        <w:jc w:val="both"/>
        <w:textAlignment w:val="auto"/>
        <w:outlineLvl w:val="9"/>
        <w:rPr>
          <w:rFonts w:hint="eastAsia" w:ascii="宋体" w:hAnsi="宋体" w:eastAsia="宋体" w:cs="Times New Roman"/>
          <w:b/>
          <w:bCs w:val="0"/>
          <w:color w:val="auto"/>
          <w:kern w:val="2"/>
          <w:sz w:val="24"/>
          <w:szCs w:val="24"/>
          <w:highlight w:val="none"/>
          <w:lang w:val="zh-CN" w:eastAsia="zh-CN" w:bidi="ar-SA"/>
        </w:rPr>
      </w:pPr>
      <w:r>
        <w:rPr>
          <w:rFonts w:hint="eastAsia" w:ascii="宋体" w:hAnsi="宋体" w:eastAsia="宋体" w:cs="Times New Roman"/>
          <w:b/>
          <w:bCs w:val="0"/>
          <w:color w:val="auto"/>
          <w:kern w:val="2"/>
          <w:sz w:val="24"/>
          <w:szCs w:val="24"/>
          <w:highlight w:val="none"/>
          <w:lang w:val="en-US" w:eastAsia="zh-CN" w:bidi="ar-SA"/>
        </w:rPr>
        <w:t>五</w:t>
      </w:r>
      <w:r>
        <w:rPr>
          <w:rFonts w:hint="eastAsia" w:ascii="宋体" w:hAnsi="宋体" w:eastAsia="宋体" w:cs="Times New Roman"/>
          <w:b/>
          <w:bCs w:val="0"/>
          <w:color w:val="auto"/>
          <w:kern w:val="2"/>
          <w:sz w:val="24"/>
          <w:szCs w:val="24"/>
          <w:highlight w:val="none"/>
          <w:lang w:val="zh-CN" w:eastAsia="zh-CN" w:bidi="ar-SA"/>
        </w:rPr>
        <w:t>、联系方式</w:t>
      </w:r>
    </w:p>
    <w:p>
      <w:pPr>
        <w:widowControl/>
        <w:spacing w:line="360" w:lineRule="auto"/>
        <w:ind w:firstLine="480" w:firstLineChars="200"/>
        <w:jc w:val="left"/>
        <w:rPr>
          <w:rFonts w:hint="eastAsia" w:ascii="宋体" w:hAnsi="宋体" w:eastAsia="宋体" w:cs="Times New Roman"/>
          <w:color w:val="auto"/>
          <w:kern w:val="2"/>
          <w:sz w:val="24"/>
          <w:szCs w:val="24"/>
          <w:highlight w:val="none"/>
          <w:lang w:val="zh-CN" w:eastAsia="zh-CN" w:bidi="ar-SA"/>
        </w:rPr>
      </w:pPr>
      <w:r>
        <w:rPr>
          <w:rFonts w:hint="eastAsia" w:ascii="宋体" w:hAnsi="宋体" w:eastAsia="宋体" w:cs="Times New Roman"/>
          <w:color w:val="auto"/>
          <w:kern w:val="2"/>
          <w:sz w:val="24"/>
          <w:szCs w:val="24"/>
          <w:highlight w:val="none"/>
          <w:lang w:val="zh-CN" w:eastAsia="zh-CN" w:bidi="ar-SA"/>
        </w:rPr>
        <w:t>开户行：赣州银行营业部</w:t>
      </w:r>
    </w:p>
    <w:p>
      <w:pPr>
        <w:widowControl/>
        <w:spacing w:line="360" w:lineRule="auto"/>
        <w:ind w:firstLine="480" w:firstLineChars="200"/>
        <w:jc w:val="left"/>
        <w:rPr>
          <w:rFonts w:hint="eastAsia" w:ascii="宋体" w:hAnsi="宋体" w:eastAsia="宋体" w:cs="Times New Roman"/>
          <w:color w:val="auto"/>
          <w:kern w:val="2"/>
          <w:sz w:val="24"/>
          <w:szCs w:val="24"/>
          <w:highlight w:val="none"/>
          <w:lang w:val="zh-CN" w:eastAsia="zh-CN" w:bidi="ar-SA"/>
        </w:rPr>
      </w:pPr>
      <w:r>
        <w:rPr>
          <w:rFonts w:hint="eastAsia" w:ascii="宋体" w:hAnsi="宋体" w:eastAsia="宋体" w:cs="Times New Roman"/>
          <w:color w:val="auto"/>
          <w:kern w:val="2"/>
          <w:sz w:val="24"/>
          <w:szCs w:val="24"/>
          <w:highlight w:val="none"/>
          <w:lang w:val="zh-CN" w:eastAsia="zh-CN" w:bidi="ar-SA"/>
        </w:rPr>
        <w:t>户名：赣州银行股份有限公司</w:t>
      </w:r>
    </w:p>
    <w:p>
      <w:pPr>
        <w:widowControl/>
        <w:spacing w:line="360" w:lineRule="auto"/>
        <w:ind w:firstLine="480" w:firstLineChars="200"/>
        <w:jc w:val="left"/>
        <w:rPr>
          <w:rFonts w:hint="eastAsia" w:ascii="宋体" w:hAnsi="宋体" w:eastAsia="宋体" w:cs="Times New Roman"/>
          <w:color w:val="auto"/>
          <w:kern w:val="2"/>
          <w:sz w:val="24"/>
          <w:szCs w:val="24"/>
          <w:highlight w:val="none"/>
          <w:lang w:val="zh-CN" w:eastAsia="zh-CN" w:bidi="ar-SA"/>
        </w:rPr>
      </w:pPr>
      <w:r>
        <w:rPr>
          <w:rFonts w:hint="eastAsia" w:ascii="宋体" w:hAnsi="宋体" w:eastAsia="宋体" w:cs="Times New Roman"/>
          <w:color w:val="auto"/>
          <w:kern w:val="2"/>
          <w:sz w:val="24"/>
          <w:szCs w:val="24"/>
          <w:highlight w:val="none"/>
          <w:lang w:val="zh-CN" w:eastAsia="zh-CN" w:bidi="ar-SA"/>
        </w:rPr>
        <w:t>账号：</w:t>
      </w:r>
      <w:r>
        <w:rPr>
          <w:rFonts w:hint="eastAsia" w:ascii="宋体" w:hAnsi="宋体" w:eastAsia="宋体" w:cs="Times New Roman"/>
          <w:color w:val="auto"/>
          <w:kern w:val="2"/>
          <w:sz w:val="24"/>
          <w:szCs w:val="24"/>
          <w:highlight w:val="none"/>
          <w:lang w:val="en-GB" w:eastAsia="zh-CN" w:bidi="ar-SA"/>
        </w:rPr>
        <w:t>2886</w:t>
      </w:r>
      <w:r>
        <w:rPr>
          <w:rFonts w:hint="eastAsia" w:ascii="宋体" w:hAnsi="宋体" w:eastAsia="宋体" w:cs="Times New Roman"/>
          <w:color w:val="auto"/>
          <w:kern w:val="2"/>
          <w:sz w:val="24"/>
          <w:szCs w:val="24"/>
          <w:highlight w:val="none"/>
          <w:lang w:val="en-US" w:eastAsia="zh-CN" w:bidi="ar-SA"/>
        </w:rPr>
        <w:t xml:space="preserve"> </w:t>
      </w:r>
      <w:r>
        <w:rPr>
          <w:rFonts w:hint="eastAsia" w:ascii="宋体" w:hAnsi="宋体" w:eastAsia="宋体" w:cs="Times New Roman"/>
          <w:color w:val="auto"/>
          <w:kern w:val="2"/>
          <w:sz w:val="24"/>
          <w:szCs w:val="24"/>
          <w:highlight w:val="none"/>
          <w:lang w:val="en-GB" w:eastAsia="zh-CN" w:bidi="ar-SA"/>
        </w:rPr>
        <w:t>0001</w:t>
      </w:r>
      <w:r>
        <w:rPr>
          <w:rFonts w:hint="eastAsia" w:ascii="宋体" w:hAnsi="宋体" w:eastAsia="宋体" w:cs="Times New Roman"/>
          <w:color w:val="auto"/>
          <w:kern w:val="2"/>
          <w:sz w:val="24"/>
          <w:szCs w:val="24"/>
          <w:highlight w:val="none"/>
          <w:lang w:val="en-US" w:eastAsia="zh-CN" w:bidi="ar-SA"/>
        </w:rPr>
        <w:t xml:space="preserve"> </w:t>
      </w:r>
      <w:r>
        <w:rPr>
          <w:rFonts w:hint="eastAsia" w:ascii="宋体" w:hAnsi="宋体" w:eastAsia="宋体" w:cs="Times New Roman"/>
          <w:color w:val="auto"/>
          <w:kern w:val="2"/>
          <w:sz w:val="24"/>
          <w:szCs w:val="24"/>
          <w:highlight w:val="none"/>
          <w:lang w:val="en-GB" w:eastAsia="zh-CN" w:bidi="ar-SA"/>
        </w:rPr>
        <w:t>0308</w:t>
      </w:r>
      <w:r>
        <w:rPr>
          <w:rFonts w:hint="eastAsia" w:ascii="宋体" w:hAnsi="宋体" w:eastAsia="宋体" w:cs="Times New Roman"/>
          <w:color w:val="auto"/>
          <w:kern w:val="2"/>
          <w:sz w:val="24"/>
          <w:szCs w:val="24"/>
          <w:highlight w:val="none"/>
          <w:lang w:val="en-US" w:eastAsia="zh-CN" w:bidi="ar-SA"/>
        </w:rPr>
        <w:t xml:space="preserve"> </w:t>
      </w:r>
      <w:r>
        <w:rPr>
          <w:rFonts w:hint="eastAsia" w:ascii="宋体" w:hAnsi="宋体" w:eastAsia="宋体" w:cs="Times New Roman"/>
          <w:color w:val="auto"/>
          <w:kern w:val="2"/>
          <w:sz w:val="24"/>
          <w:szCs w:val="24"/>
          <w:highlight w:val="none"/>
          <w:lang w:val="en-GB" w:eastAsia="zh-CN" w:bidi="ar-SA"/>
        </w:rPr>
        <w:t>0000</w:t>
      </w:r>
      <w:r>
        <w:rPr>
          <w:rFonts w:hint="eastAsia" w:ascii="宋体" w:hAnsi="宋体" w:eastAsia="宋体" w:cs="Times New Roman"/>
          <w:color w:val="auto"/>
          <w:kern w:val="2"/>
          <w:sz w:val="24"/>
          <w:szCs w:val="24"/>
          <w:highlight w:val="none"/>
          <w:lang w:val="en-US" w:eastAsia="zh-CN" w:bidi="ar-SA"/>
        </w:rPr>
        <w:t xml:space="preserve"> </w:t>
      </w:r>
      <w:r>
        <w:rPr>
          <w:rFonts w:hint="eastAsia" w:ascii="宋体" w:hAnsi="宋体" w:eastAsia="宋体" w:cs="Times New Roman"/>
          <w:color w:val="auto"/>
          <w:kern w:val="2"/>
          <w:sz w:val="24"/>
          <w:szCs w:val="24"/>
          <w:highlight w:val="none"/>
          <w:lang w:val="en-GB" w:eastAsia="zh-CN" w:bidi="ar-SA"/>
        </w:rPr>
        <w:t>628</w:t>
      </w:r>
    </w:p>
    <w:p>
      <w:pPr>
        <w:widowControl/>
        <w:spacing w:line="360" w:lineRule="auto"/>
        <w:ind w:firstLine="480" w:firstLineChars="200"/>
        <w:jc w:val="left"/>
        <w:rPr>
          <w:rFonts w:hint="eastAsia" w:ascii="宋体" w:hAnsi="宋体" w:eastAsia="宋体" w:cs="Times New Roman"/>
          <w:color w:val="auto"/>
          <w:kern w:val="2"/>
          <w:sz w:val="24"/>
          <w:szCs w:val="24"/>
          <w:highlight w:val="none"/>
          <w:lang w:val="zh-CN" w:eastAsia="zh-CN" w:bidi="ar-SA"/>
        </w:rPr>
      </w:pPr>
      <w:r>
        <w:rPr>
          <w:rFonts w:hint="eastAsia" w:ascii="宋体" w:hAnsi="宋体" w:eastAsia="宋体" w:cs="Times New Roman"/>
          <w:color w:val="auto"/>
          <w:kern w:val="2"/>
          <w:sz w:val="24"/>
          <w:szCs w:val="24"/>
          <w:highlight w:val="none"/>
          <w:lang w:val="zh-CN" w:eastAsia="zh-CN" w:bidi="ar-SA"/>
        </w:rPr>
        <w:t>网址：</w:t>
      </w:r>
      <w:r>
        <w:rPr>
          <w:rFonts w:hint="eastAsia" w:ascii="宋体" w:hAnsi="宋体" w:eastAsia="宋体" w:cs="Times New Roman"/>
          <w:color w:val="auto"/>
          <w:kern w:val="2"/>
          <w:sz w:val="24"/>
          <w:szCs w:val="24"/>
          <w:highlight w:val="none"/>
          <w:lang w:val="zh-CN" w:eastAsia="zh-CN" w:bidi="ar-SA"/>
        </w:rPr>
        <w:fldChar w:fldCharType="begin"/>
      </w:r>
      <w:r>
        <w:rPr>
          <w:rFonts w:hint="eastAsia" w:ascii="宋体" w:hAnsi="宋体" w:eastAsia="宋体" w:cs="Times New Roman"/>
          <w:color w:val="auto"/>
          <w:kern w:val="2"/>
          <w:sz w:val="24"/>
          <w:szCs w:val="24"/>
          <w:highlight w:val="none"/>
          <w:lang w:val="zh-CN" w:eastAsia="zh-CN" w:bidi="ar-SA"/>
        </w:rPr>
        <w:instrText xml:space="preserve"> HYPERLINK "http://www.bankgz.com/" </w:instrText>
      </w:r>
      <w:r>
        <w:rPr>
          <w:rFonts w:hint="eastAsia" w:ascii="宋体" w:hAnsi="宋体" w:eastAsia="宋体" w:cs="Times New Roman"/>
          <w:color w:val="auto"/>
          <w:kern w:val="2"/>
          <w:sz w:val="24"/>
          <w:szCs w:val="24"/>
          <w:highlight w:val="none"/>
          <w:lang w:val="zh-CN" w:eastAsia="zh-CN" w:bidi="ar-SA"/>
        </w:rPr>
        <w:fldChar w:fldCharType="separate"/>
      </w:r>
      <w:r>
        <w:rPr>
          <w:rFonts w:hint="eastAsia" w:ascii="宋体" w:hAnsi="宋体" w:eastAsia="宋体" w:cs="Times New Roman"/>
          <w:color w:val="auto"/>
          <w:kern w:val="2"/>
          <w:sz w:val="24"/>
          <w:szCs w:val="24"/>
          <w:highlight w:val="none"/>
          <w:lang w:val="zh-CN" w:eastAsia="zh-CN" w:bidi="ar-SA"/>
        </w:rPr>
        <w:t>http://www.bankgz.com/</w:t>
      </w:r>
      <w:r>
        <w:rPr>
          <w:rFonts w:hint="eastAsia" w:ascii="宋体" w:hAnsi="宋体" w:eastAsia="宋体" w:cs="Times New Roman"/>
          <w:color w:val="auto"/>
          <w:kern w:val="2"/>
          <w:sz w:val="24"/>
          <w:szCs w:val="24"/>
          <w:highlight w:val="none"/>
          <w:lang w:val="zh-CN" w:eastAsia="zh-CN" w:bidi="ar-SA"/>
        </w:rPr>
        <w:fldChar w:fldCharType="end"/>
      </w:r>
    </w:p>
    <w:p>
      <w:pPr>
        <w:widowControl/>
        <w:spacing w:line="360" w:lineRule="auto"/>
        <w:ind w:firstLine="480" w:firstLineChars="200"/>
        <w:jc w:val="left"/>
        <w:rPr>
          <w:rFonts w:hint="eastAsia" w:ascii="宋体" w:hAnsi="宋体" w:eastAsia="宋体" w:cs="Times New Roman"/>
          <w:color w:val="auto"/>
          <w:kern w:val="2"/>
          <w:sz w:val="24"/>
          <w:szCs w:val="24"/>
          <w:highlight w:val="none"/>
          <w:lang w:val="zh-CN" w:eastAsia="zh-CN" w:bidi="ar-SA"/>
        </w:rPr>
      </w:pPr>
      <w:r>
        <w:rPr>
          <w:rFonts w:hint="eastAsia" w:ascii="宋体" w:hAnsi="宋体" w:eastAsia="宋体" w:cs="Times New Roman"/>
          <w:color w:val="auto"/>
          <w:kern w:val="2"/>
          <w:sz w:val="24"/>
          <w:szCs w:val="24"/>
          <w:highlight w:val="none"/>
          <w:lang w:val="zh-CN" w:eastAsia="zh-CN" w:bidi="ar-SA"/>
        </w:rPr>
        <w:t>采购人名称：赣州银行股份有限公司</w:t>
      </w:r>
    </w:p>
    <w:p>
      <w:pPr>
        <w:widowControl/>
        <w:spacing w:line="360" w:lineRule="auto"/>
        <w:ind w:firstLine="480" w:firstLineChars="200"/>
        <w:jc w:val="left"/>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zh-CN" w:eastAsia="zh-CN" w:bidi="ar-SA"/>
        </w:rPr>
        <w:t>地址：赣州市赣江源大道</w:t>
      </w:r>
      <w:r>
        <w:rPr>
          <w:rFonts w:hint="eastAsia" w:ascii="宋体" w:hAnsi="宋体" w:eastAsia="宋体" w:cs="Times New Roman"/>
          <w:color w:val="auto"/>
          <w:kern w:val="2"/>
          <w:sz w:val="24"/>
          <w:szCs w:val="24"/>
          <w:highlight w:val="none"/>
          <w:lang w:val="en-US" w:eastAsia="zh-CN" w:bidi="ar-SA"/>
        </w:rPr>
        <w:t>26号</w:t>
      </w:r>
    </w:p>
    <w:p>
      <w:pPr>
        <w:widowControl/>
        <w:spacing w:line="360" w:lineRule="auto"/>
        <w:ind w:firstLine="480" w:firstLineChars="200"/>
        <w:jc w:val="left"/>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zh-CN" w:eastAsia="zh-CN" w:bidi="ar-SA"/>
        </w:rPr>
        <w:t>电话：0797-</w:t>
      </w:r>
      <w:r>
        <w:rPr>
          <w:rFonts w:hint="eastAsia" w:ascii="宋体" w:hAnsi="宋体" w:eastAsia="宋体" w:cs="Times New Roman"/>
          <w:color w:val="auto"/>
          <w:kern w:val="2"/>
          <w:sz w:val="24"/>
          <w:szCs w:val="24"/>
          <w:highlight w:val="none"/>
          <w:lang w:val="en-US" w:eastAsia="zh-CN" w:bidi="ar-SA"/>
        </w:rPr>
        <w:t>8100953</w:t>
      </w:r>
    </w:p>
    <w:p>
      <w:pPr>
        <w:widowControl/>
        <w:spacing w:line="360" w:lineRule="auto"/>
        <w:ind w:firstLine="480" w:firstLineChars="200"/>
        <w:jc w:val="left"/>
        <w:rPr>
          <w:rFonts w:hint="eastAsia" w:ascii="宋体" w:hAnsi="宋体" w:eastAsia="宋体" w:cs="Times New Roman"/>
          <w:color w:val="auto"/>
          <w:kern w:val="2"/>
          <w:sz w:val="24"/>
          <w:szCs w:val="24"/>
          <w:highlight w:val="none"/>
          <w:lang w:val="zh-CN" w:eastAsia="zh-CN" w:bidi="ar-SA"/>
        </w:rPr>
      </w:pPr>
      <w:r>
        <w:rPr>
          <w:rFonts w:hint="eastAsia" w:ascii="宋体" w:hAnsi="宋体" w:eastAsia="宋体" w:cs="Times New Roman"/>
          <w:color w:val="auto"/>
          <w:kern w:val="2"/>
          <w:sz w:val="24"/>
          <w:szCs w:val="24"/>
          <w:highlight w:val="none"/>
          <w:lang w:val="zh-CN" w:eastAsia="zh-CN" w:bidi="ar-SA"/>
        </w:rPr>
        <w:t>联系人：李先生</w:t>
      </w:r>
      <w:r>
        <w:rPr>
          <w:rFonts w:hint="eastAsia" w:ascii="宋体" w:hAnsi="宋体" w:cs="Times New Roman"/>
          <w:color w:val="auto"/>
          <w:kern w:val="2"/>
          <w:sz w:val="24"/>
          <w:szCs w:val="24"/>
          <w:highlight w:val="none"/>
          <w:lang w:val="zh-CN" w:eastAsia="zh-CN" w:bidi="ar-SA"/>
        </w:rPr>
        <w:t>、舒女士</w:t>
      </w:r>
    </w:p>
    <w:p>
      <w:pPr>
        <w:widowControl/>
        <w:spacing w:line="360" w:lineRule="auto"/>
        <w:jc w:val="left"/>
        <w:rPr>
          <w:rFonts w:hint="eastAsia" w:ascii="宋体" w:hAnsi="宋体" w:eastAsia="宋体" w:cs="Times New Roman"/>
          <w:b/>
          <w:bCs/>
          <w:color w:val="auto"/>
          <w:kern w:val="2"/>
          <w:sz w:val="24"/>
          <w:szCs w:val="24"/>
          <w:highlight w:val="none"/>
          <w:lang w:val="zh-CN" w:eastAsia="zh-CN" w:bidi="ar-SA"/>
        </w:rPr>
      </w:pPr>
      <w:r>
        <w:rPr>
          <w:rFonts w:hint="eastAsia" w:ascii="宋体" w:hAnsi="宋体" w:eastAsia="宋体" w:cs="Times New Roman"/>
          <w:b/>
          <w:bCs/>
          <w:color w:val="auto"/>
          <w:kern w:val="2"/>
          <w:sz w:val="24"/>
          <w:szCs w:val="24"/>
          <w:highlight w:val="none"/>
          <w:lang w:val="zh-CN" w:eastAsia="zh-CN" w:bidi="ar-SA"/>
        </w:rPr>
        <w:t>六、疫情防控：所有参加人员应当遵守开标当日的新冠病毒防控要求，做好防控措施。近期有发热、乏力、干咳、气促等新型冠状病毒感染疑似症状的，现场测量体（额）温超过37.3℃的，不得进入开评标区</w:t>
      </w:r>
    </w:p>
    <w:p>
      <w:pPr>
        <w:pStyle w:val="2"/>
        <w:rPr>
          <w:rFonts w:hint="eastAsia" w:ascii="宋体" w:hAnsi="宋体" w:eastAsia="宋体" w:cs="Times New Roman"/>
          <w:b w:val="0"/>
          <w:bCs w:val="0"/>
          <w:color w:val="auto"/>
          <w:kern w:val="2"/>
          <w:sz w:val="24"/>
          <w:szCs w:val="24"/>
          <w:highlight w:val="none"/>
          <w:lang w:val="en-US" w:eastAsia="zh-CN" w:bidi="ar-SA"/>
        </w:rPr>
      </w:pPr>
      <w:r>
        <w:rPr>
          <w:rFonts w:hint="eastAsia" w:ascii="宋体" w:hAnsi="宋体" w:eastAsia="宋体" w:cs="Times New Roman"/>
          <w:b w:val="0"/>
          <w:bCs w:val="0"/>
          <w:color w:val="auto"/>
          <w:kern w:val="2"/>
          <w:sz w:val="24"/>
          <w:szCs w:val="24"/>
          <w:highlight w:val="none"/>
          <w:lang w:val="en-US" w:eastAsia="zh-CN" w:bidi="ar-SA"/>
        </w:rPr>
        <w:t xml:space="preserve">                                            </w:t>
      </w:r>
      <w:r>
        <w:rPr>
          <w:rFonts w:hint="eastAsia" w:ascii="宋体" w:hAnsi="宋体" w:eastAsia="宋体" w:cs="Times New Roman"/>
          <w:b w:val="0"/>
          <w:bCs w:val="0"/>
          <w:color w:val="auto"/>
          <w:kern w:val="2"/>
          <w:sz w:val="24"/>
          <w:szCs w:val="24"/>
          <w:highlight w:val="none"/>
          <w:lang w:val="en-US" w:eastAsia="zh-CN" w:bidi="ar-SA"/>
        </w:rPr>
        <w:t xml:space="preserve">  2021年4月2日</w:t>
      </w:r>
    </w:p>
    <w:p>
      <w:pPr>
        <w:pageBreakBefore/>
        <w:jc w:val="center"/>
        <w:rPr>
          <w:rFonts w:ascii="宋体" w:hAnsi="宋体"/>
          <w:b/>
          <w:color w:val="auto"/>
          <w:sz w:val="28"/>
          <w:szCs w:val="28"/>
          <w:highlight w:val="none"/>
        </w:rPr>
      </w:pPr>
      <w:r>
        <w:rPr>
          <w:rFonts w:hint="eastAsia" w:ascii="宋体" w:hAnsi="宋体"/>
          <w:b/>
          <w:color w:val="auto"/>
          <w:sz w:val="28"/>
          <w:szCs w:val="28"/>
          <w:highlight w:val="none"/>
        </w:rPr>
        <w:t>第二章　申请须知</w:t>
      </w:r>
    </w:p>
    <w:p>
      <w:pPr>
        <w:rPr>
          <w:rFonts w:ascii="宋体" w:hAnsi="宋体"/>
          <w:b/>
          <w:color w:val="auto"/>
          <w:sz w:val="24"/>
          <w:szCs w:val="24"/>
          <w:highlight w:val="none"/>
        </w:rPr>
      </w:pPr>
      <w:r>
        <w:rPr>
          <w:rFonts w:hint="eastAsia" w:ascii="宋体" w:hAnsi="宋体"/>
          <w:b/>
          <w:color w:val="auto"/>
          <w:sz w:val="24"/>
          <w:highlight w:val="none"/>
        </w:rPr>
        <w:t>一</w:t>
      </w:r>
      <w:r>
        <w:rPr>
          <w:rFonts w:hint="eastAsia" w:ascii="宋体" w:hAnsi="宋体"/>
          <w:b/>
          <w:color w:val="auto"/>
          <w:sz w:val="24"/>
          <w:szCs w:val="24"/>
          <w:highlight w:val="none"/>
        </w:rPr>
        <w:t>、申请书编制及递交</w:t>
      </w:r>
    </w:p>
    <w:p>
      <w:pPr>
        <w:ind w:firstLine="480" w:firstLineChars="200"/>
        <w:rPr>
          <w:rFonts w:ascii="宋体" w:hAnsi="宋体"/>
          <w:color w:val="auto"/>
          <w:sz w:val="24"/>
          <w:highlight w:val="none"/>
        </w:rPr>
      </w:pPr>
      <w:r>
        <w:rPr>
          <w:rFonts w:hint="eastAsia" w:ascii="宋体" w:hAnsi="宋体"/>
          <w:color w:val="auto"/>
          <w:sz w:val="24"/>
          <w:szCs w:val="24"/>
          <w:highlight w:val="none"/>
        </w:rPr>
        <w:t>（一）</w:t>
      </w:r>
      <w:r>
        <w:rPr>
          <w:rFonts w:hint="eastAsia" w:ascii="宋体" w:hAnsi="宋体"/>
          <w:color w:val="auto"/>
          <w:sz w:val="24"/>
          <w:highlight w:val="none"/>
        </w:rPr>
        <w:t>请代理机构严格按本遴选文件第三章“申请书格式”的要求、内容和顺序编制。</w:t>
      </w:r>
    </w:p>
    <w:p>
      <w:pPr>
        <w:ind w:firstLine="480" w:firstLineChars="200"/>
        <w:rPr>
          <w:rFonts w:ascii="宋体" w:hAnsi="宋体"/>
          <w:color w:val="auto"/>
          <w:sz w:val="24"/>
          <w:highlight w:val="none"/>
        </w:rPr>
      </w:pPr>
      <w:r>
        <w:rPr>
          <w:rFonts w:hint="eastAsia" w:ascii="宋体" w:hAnsi="宋体"/>
          <w:color w:val="auto"/>
          <w:sz w:val="24"/>
          <w:highlight w:val="none"/>
        </w:rPr>
        <w:t>（二）</w:t>
      </w:r>
      <w:r>
        <w:rPr>
          <w:rFonts w:hint="eastAsia" w:ascii="宋体" w:hAnsi="宋体"/>
          <w:color w:val="auto"/>
          <w:sz w:val="24"/>
          <w:szCs w:val="24"/>
          <w:highlight w:val="none"/>
        </w:rPr>
        <w:t>申请书一式3份，其中正本1份，副本2份。每套申请书必须清楚标明“正本”或“副本”</w:t>
      </w:r>
      <w:r>
        <w:rPr>
          <w:rFonts w:hint="eastAsia" w:ascii="宋体" w:hAnsi="宋体"/>
          <w:color w:val="auto"/>
          <w:sz w:val="24"/>
          <w:highlight w:val="none"/>
        </w:rPr>
        <w:t>，若正本与副本不符，以正本为准。</w:t>
      </w:r>
    </w:p>
    <w:p>
      <w:pPr>
        <w:ind w:firstLine="480" w:firstLineChars="200"/>
        <w:rPr>
          <w:rFonts w:ascii="宋体" w:hAnsi="宋体"/>
          <w:color w:val="auto"/>
          <w:sz w:val="24"/>
          <w:highlight w:val="none"/>
        </w:rPr>
      </w:pPr>
      <w:r>
        <w:rPr>
          <w:rFonts w:hint="eastAsia" w:ascii="宋体" w:hAnsi="宋体"/>
          <w:color w:val="auto"/>
          <w:sz w:val="24"/>
          <w:highlight w:val="none"/>
        </w:rPr>
        <w:t>（三）申请书正、副本一并装入响应文件袋中，并在文件袋封贴处密封签章（加盖单位公章，否则视为无效申请）。</w:t>
      </w:r>
    </w:p>
    <w:p>
      <w:pPr>
        <w:ind w:firstLine="480" w:firstLineChars="200"/>
        <w:rPr>
          <w:rFonts w:ascii="宋体" w:hAnsi="宋体"/>
          <w:color w:val="auto"/>
          <w:sz w:val="24"/>
          <w:highlight w:val="none"/>
        </w:rPr>
      </w:pPr>
      <w:r>
        <w:rPr>
          <w:rFonts w:hint="eastAsia" w:ascii="宋体" w:hAnsi="宋体"/>
          <w:color w:val="auto"/>
          <w:sz w:val="24"/>
          <w:highlight w:val="none"/>
        </w:rPr>
        <w:t>（四）响应文件袋封面应按顺序标注以下内容：</w:t>
      </w:r>
    </w:p>
    <w:p>
      <w:pPr>
        <w:ind w:firstLine="480" w:firstLineChars="200"/>
        <w:rPr>
          <w:rFonts w:ascii="宋体" w:hAnsi="宋体"/>
          <w:color w:val="auto"/>
          <w:sz w:val="24"/>
          <w:highlight w:val="none"/>
        </w:rPr>
      </w:pPr>
      <w:r>
        <w:rPr>
          <w:rFonts w:hint="eastAsia" w:ascii="宋体" w:hAnsi="宋体"/>
          <w:color w:val="auto"/>
          <w:sz w:val="24"/>
          <w:highlight w:val="none"/>
        </w:rPr>
        <w:t>1、代理机构名称（盖章）；</w:t>
      </w:r>
    </w:p>
    <w:p>
      <w:pPr>
        <w:ind w:firstLine="480" w:firstLineChars="200"/>
        <w:rPr>
          <w:rFonts w:ascii="宋体" w:hAnsi="宋体"/>
          <w:color w:val="auto"/>
          <w:sz w:val="24"/>
          <w:highlight w:val="none"/>
        </w:rPr>
      </w:pPr>
      <w:r>
        <w:rPr>
          <w:rFonts w:hint="eastAsia" w:ascii="宋体" w:hAnsi="宋体"/>
          <w:color w:val="auto"/>
          <w:sz w:val="24"/>
          <w:highlight w:val="none"/>
        </w:rPr>
        <w:t>2、法定代表人或委托代理人名称（签名）；</w:t>
      </w:r>
    </w:p>
    <w:p>
      <w:pPr>
        <w:ind w:firstLine="480" w:firstLineChars="200"/>
        <w:rPr>
          <w:rFonts w:ascii="宋体" w:hAnsi="宋体"/>
          <w:color w:val="auto"/>
          <w:sz w:val="24"/>
          <w:highlight w:val="none"/>
        </w:rPr>
      </w:pPr>
      <w:r>
        <w:rPr>
          <w:rFonts w:hint="eastAsia" w:ascii="宋体" w:hAnsi="宋体"/>
          <w:color w:val="auto"/>
          <w:sz w:val="24"/>
          <w:highlight w:val="none"/>
        </w:rPr>
        <w:t>3、“遴选时启封”字样。</w:t>
      </w:r>
    </w:p>
    <w:p>
      <w:pPr>
        <w:ind w:firstLine="480" w:firstLineChars="200"/>
        <w:rPr>
          <w:rFonts w:ascii="宋体" w:hAnsi="宋体"/>
          <w:color w:val="auto"/>
          <w:sz w:val="24"/>
          <w:highlight w:val="none"/>
        </w:rPr>
      </w:pPr>
    </w:p>
    <w:p>
      <w:pPr>
        <w:rPr>
          <w:rFonts w:ascii="宋体" w:hAnsi="宋体"/>
          <w:b/>
          <w:color w:val="auto"/>
          <w:sz w:val="24"/>
          <w:szCs w:val="24"/>
          <w:highlight w:val="none"/>
        </w:rPr>
      </w:pPr>
      <w:r>
        <w:rPr>
          <w:rFonts w:hint="eastAsia" w:ascii="宋体" w:hAnsi="宋体"/>
          <w:b/>
          <w:color w:val="auto"/>
          <w:sz w:val="24"/>
          <w:szCs w:val="24"/>
          <w:highlight w:val="none"/>
        </w:rPr>
        <w:t>二、</w:t>
      </w:r>
      <w:bookmarkStart w:id="0" w:name="_Toc483220562"/>
      <w:r>
        <w:rPr>
          <w:rFonts w:hint="eastAsia" w:ascii="宋体" w:hAnsi="宋体"/>
          <w:b/>
          <w:color w:val="auto"/>
          <w:sz w:val="24"/>
          <w:szCs w:val="24"/>
          <w:highlight w:val="none"/>
        </w:rPr>
        <w:t>技术标准和要求</w:t>
      </w:r>
      <w:bookmarkEnd w:id="0"/>
    </w:p>
    <w:p>
      <w:pPr>
        <w:rPr>
          <w:rFonts w:ascii="宋体" w:hAnsi="宋体"/>
          <w:bCs/>
          <w:color w:val="auto"/>
          <w:sz w:val="24"/>
          <w:szCs w:val="24"/>
          <w:highlight w:val="none"/>
        </w:rPr>
      </w:pPr>
      <w:r>
        <w:rPr>
          <w:rFonts w:hint="eastAsia" w:ascii="宋体" w:hAnsi="宋体"/>
          <w:bCs/>
          <w:color w:val="auto"/>
          <w:sz w:val="24"/>
          <w:szCs w:val="24"/>
          <w:highlight w:val="none"/>
        </w:rPr>
        <w:t>（一） 基本要求</w:t>
      </w:r>
    </w:p>
    <w:p>
      <w:pPr>
        <w:rPr>
          <w:rFonts w:ascii="宋体" w:hAnsi="宋体"/>
          <w:bCs/>
          <w:color w:val="auto"/>
          <w:sz w:val="24"/>
          <w:szCs w:val="24"/>
          <w:highlight w:val="none"/>
        </w:rPr>
      </w:pPr>
      <w:r>
        <w:rPr>
          <w:rFonts w:hint="eastAsia" w:ascii="宋体" w:hAnsi="宋体"/>
          <w:bCs/>
          <w:color w:val="auto"/>
          <w:sz w:val="24"/>
          <w:szCs w:val="24"/>
          <w:highlight w:val="none"/>
        </w:rPr>
        <w:t xml:space="preserve">   1、代理业务范围：采购</w:t>
      </w:r>
      <w:r>
        <w:rPr>
          <w:rFonts w:hint="eastAsia" w:ascii="宋体" w:hAnsi="宋体"/>
          <w:bCs/>
          <w:color w:val="auto"/>
          <w:sz w:val="24"/>
          <w:szCs w:val="24"/>
          <w:highlight w:val="none"/>
          <w:lang w:eastAsia="zh-CN"/>
        </w:rPr>
        <w:t>类</w:t>
      </w:r>
      <w:r>
        <w:rPr>
          <w:rFonts w:hint="eastAsia" w:ascii="宋体" w:hAnsi="宋体"/>
          <w:bCs/>
          <w:color w:val="auto"/>
          <w:sz w:val="24"/>
          <w:szCs w:val="24"/>
          <w:highlight w:val="none"/>
        </w:rPr>
        <w:t>及工程招标类项目工作。</w:t>
      </w:r>
    </w:p>
    <w:p>
      <w:pPr>
        <w:rPr>
          <w:rFonts w:ascii="宋体" w:hAnsi="宋体"/>
          <w:bCs/>
          <w:color w:val="auto"/>
          <w:sz w:val="24"/>
          <w:szCs w:val="24"/>
          <w:highlight w:val="none"/>
        </w:rPr>
      </w:pPr>
      <w:r>
        <w:rPr>
          <w:rFonts w:hint="eastAsia" w:ascii="宋体" w:hAnsi="宋体"/>
          <w:bCs/>
          <w:color w:val="auto"/>
          <w:sz w:val="24"/>
          <w:szCs w:val="24"/>
          <w:highlight w:val="none"/>
        </w:rPr>
        <w:t xml:space="preserve">   2、代理服务有效期：</w:t>
      </w:r>
      <w:r>
        <w:rPr>
          <w:rFonts w:hint="eastAsia" w:ascii="宋体" w:hAnsi="宋体"/>
          <w:bCs/>
          <w:color w:val="auto"/>
          <w:sz w:val="24"/>
          <w:szCs w:val="24"/>
          <w:highlight w:val="none"/>
        </w:rPr>
        <w:t>两年</w:t>
      </w:r>
      <w:r>
        <w:rPr>
          <w:rFonts w:hint="eastAsia" w:ascii="宋体" w:hAnsi="宋体"/>
          <w:bCs/>
          <w:color w:val="auto"/>
          <w:sz w:val="24"/>
          <w:szCs w:val="24"/>
          <w:highlight w:val="none"/>
        </w:rPr>
        <w:t>；</w:t>
      </w:r>
    </w:p>
    <w:p>
      <w:pPr>
        <w:rPr>
          <w:rFonts w:ascii="宋体" w:hAnsi="宋体"/>
          <w:bCs/>
          <w:color w:val="auto"/>
          <w:sz w:val="24"/>
          <w:szCs w:val="24"/>
          <w:highlight w:val="none"/>
        </w:rPr>
      </w:pPr>
      <w:r>
        <w:rPr>
          <w:rFonts w:hint="eastAsia" w:ascii="宋体" w:hAnsi="宋体"/>
          <w:bCs/>
          <w:color w:val="auto"/>
          <w:sz w:val="24"/>
          <w:szCs w:val="24"/>
          <w:highlight w:val="none"/>
        </w:rPr>
        <w:t xml:space="preserve">   3、代理服务费按不高于以下基数进行收取:</w:t>
      </w:r>
    </w:p>
    <w:tbl>
      <w:tblPr>
        <w:tblStyle w:val="8"/>
        <w:tblW w:w="9000" w:type="dxa"/>
        <w:jc w:val="center"/>
        <w:tblInd w:w="0" w:type="dxa"/>
        <w:tblLayout w:type="fixed"/>
        <w:tblCellMar>
          <w:top w:w="15" w:type="dxa"/>
          <w:left w:w="15" w:type="dxa"/>
          <w:bottom w:w="15" w:type="dxa"/>
          <w:right w:w="15" w:type="dxa"/>
        </w:tblCellMar>
      </w:tblPr>
      <w:tblGrid>
        <w:gridCol w:w="2970"/>
        <w:gridCol w:w="2070"/>
        <w:gridCol w:w="1980"/>
        <w:gridCol w:w="1980"/>
      </w:tblGrid>
      <w:tr>
        <w:tblPrEx>
          <w:tblLayout w:type="fixed"/>
          <w:tblCellMar>
            <w:top w:w="15" w:type="dxa"/>
            <w:left w:w="15" w:type="dxa"/>
            <w:bottom w:w="15" w:type="dxa"/>
            <w:right w:w="15" w:type="dxa"/>
          </w:tblCellMar>
        </w:tblPrEx>
        <w:trPr>
          <w:trHeight w:val="737" w:hRule="atLeast"/>
          <w:jc w:val="center"/>
        </w:trPr>
        <w:tc>
          <w:tcPr>
            <w:tcW w:w="2970" w:type="dxa"/>
            <w:tcBorders>
              <w:top w:val="single" w:color="000000" w:sz="6" w:space="0"/>
              <w:left w:val="single" w:color="000000" w:sz="6" w:space="0"/>
              <w:bottom w:val="single" w:color="000000" w:sz="6" w:space="0"/>
              <w:right w:val="single" w:color="000000" w:sz="6" w:space="0"/>
            </w:tcBorders>
          </w:tcPr>
          <w:p>
            <w:pPr>
              <w:rPr>
                <w:rFonts w:ascii="Arial" w:hAnsi="Arial" w:eastAsia="Times New Roman" w:cs="Arial"/>
                <w:color w:val="auto"/>
                <w:sz w:val="20"/>
                <w:szCs w:val="24"/>
                <w:highlight w:val="none"/>
              </w:rPr>
            </w:pPr>
            <w:r>
              <w:rPr>
                <w:rFonts w:ascii="宋体" w:hAnsi="宋体" w:cs="Arial"/>
                <w:b/>
                <w:bCs/>
                <w:color w:val="auto"/>
                <w:sz w:val="20"/>
                <w:szCs w:val="21"/>
                <w:highlight w:val="none"/>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3810</wp:posOffset>
                      </wp:positionV>
                      <wp:extent cx="1859915" cy="577850"/>
                      <wp:effectExtent l="1270" t="4445" r="5715" b="8255"/>
                      <wp:wrapNone/>
                      <wp:docPr id="1" name="直接箭头连接符 1"/>
                      <wp:cNvGraphicFramePr/>
                      <a:graphic xmlns:a="http://schemas.openxmlformats.org/drawingml/2006/main">
                        <a:graphicData uri="http://schemas.microsoft.com/office/word/2010/wordprocessingShape">
                          <wps:wsp>
                            <wps:cNvCnPr/>
                            <wps:spPr>
                              <a:xfrm flipH="1" flipV="1">
                                <a:off x="0" y="0"/>
                                <a:ext cx="1859915" cy="5778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 y;margin-left:2.05pt;margin-top:0.3pt;height:45.5pt;width:146.45pt;z-index:251658240;mso-width-relative:page;mso-height-relative:page;" filled="f" stroked="t" coordsize="21600,21600" o:gfxdata="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tL9f1QAAAAUBAAAPAAAAAAAAAAEAIAAAACIAAABkcnMvZG93bnJldi54bWxQSwECFAAUAAAA&#10;CACHTuJA9j/BivEBAAC3AwAADgAAAAAAAAABACAAAAAkAQAAZHJzL2Uyb0RvYy54bWxQSwUGAAAA&#10;AAYABgBZAQAAhwUAAAAA&#10;">
                      <v:fill on="f" focussize="0,0"/>
                      <v:stroke color="#000000" joinstyle="round"/>
                      <v:imagedata o:title=""/>
                      <o:lock v:ext="edit" aspectratio="f"/>
                    </v:shape>
                  </w:pict>
                </mc:Fallback>
              </mc:AlternateContent>
            </w:r>
            <w:r>
              <w:rPr>
                <w:rFonts w:hint="eastAsia" w:ascii="宋体" w:hAnsi="宋体" w:cs="Arial"/>
                <w:b/>
                <w:bCs/>
                <w:color w:val="auto"/>
                <w:sz w:val="20"/>
                <w:szCs w:val="21"/>
                <w:highlight w:val="none"/>
              </w:rPr>
              <w:t>    服务类型</w:t>
            </w:r>
          </w:p>
          <w:p>
            <w:pPr>
              <w:rPr>
                <w:rFonts w:ascii="Arial" w:hAnsi="Arial" w:eastAsia="Times New Roman" w:cs="Arial"/>
                <w:color w:val="auto"/>
                <w:sz w:val="20"/>
                <w:szCs w:val="24"/>
                <w:highlight w:val="none"/>
              </w:rPr>
            </w:pPr>
            <w:r>
              <w:rPr>
                <w:rFonts w:ascii="宋体" w:hAnsi="宋体" w:cs="Arial"/>
                <w:b/>
                <w:bCs/>
                <w:color w:val="auto"/>
                <w:sz w:val="20"/>
                <w:szCs w:val="21"/>
                <w:highlight w:val="none"/>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153035</wp:posOffset>
                      </wp:positionV>
                      <wp:extent cx="1914525" cy="230505"/>
                      <wp:effectExtent l="635" t="4445" r="8890" b="12700"/>
                      <wp:wrapNone/>
                      <wp:docPr id="2" name="直接箭头连接符 2"/>
                      <wp:cNvGraphicFramePr/>
                      <a:graphic xmlns:a="http://schemas.openxmlformats.org/drawingml/2006/main">
                        <a:graphicData uri="http://schemas.microsoft.com/office/word/2010/wordprocessingShape">
                          <wps:wsp>
                            <wps:cNvCnPr/>
                            <wps:spPr>
                              <a:xfrm flipH="1" flipV="1">
                                <a:off x="0" y="0"/>
                                <a:ext cx="1914525" cy="23050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 y;margin-left:-2.25pt;margin-top:12.05pt;height:18.15pt;width:150.75pt;z-index:251659264;mso-width-relative:page;mso-height-relative:page;" filled="f" stroked="t" coordsize="21600,21600" o:gfxdata="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igQ/jZAAAACAEAAA8AAAAAAAAAAQAgAAAAIgAAAGRycy9kb3ducmV2LnhtbFBLAQIUABQA&#10;AAAIAIdO4kAr7UHQ7wEAALcDAAAOAAAAAAAAAAEAIAAAACgBAABkcnMvZTJvRG9jLnhtbFBLBQYA&#10;AAAABgAGAFkBAACJBQAAAAA=&#10;">
                      <v:fill on="f" focussize="0,0"/>
                      <v:stroke color="#000000" joinstyle="round"/>
                      <v:imagedata o:title=""/>
                      <o:lock v:ext="edit" aspectratio="f"/>
                    </v:shape>
                  </w:pict>
                </mc:Fallback>
              </mc:AlternateContent>
            </w:r>
            <w:r>
              <w:rPr>
                <w:rFonts w:hint="eastAsia" w:ascii="宋体" w:hAnsi="宋体" w:cs="Arial"/>
                <w:b/>
                <w:bCs/>
                <w:color w:val="auto"/>
                <w:sz w:val="20"/>
                <w:szCs w:val="21"/>
                <w:highlight w:val="none"/>
              </w:rPr>
              <w:t>   费率</w:t>
            </w:r>
          </w:p>
          <w:p>
            <w:pPr>
              <w:rPr>
                <w:rFonts w:ascii="Arial" w:hAnsi="Arial" w:eastAsia="Times New Roman" w:cs="Arial"/>
                <w:color w:val="auto"/>
                <w:sz w:val="20"/>
                <w:szCs w:val="24"/>
                <w:highlight w:val="none"/>
              </w:rPr>
            </w:pPr>
            <w:r>
              <w:rPr>
                <w:rFonts w:hint="eastAsia" w:ascii="宋体" w:hAnsi="宋体" w:cs="Arial"/>
                <w:b/>
                <w:bCs/>
                <w:color w:val="auto"/>
                <w:sz w:val="20"/>
                <w:szCs w:val="21"/>
                <w:highlight w:val="none"/>
              </w:rPr>
              <w:t>中标金额（万元）</w:t>
            </w:r>
          </w:p>
        </w:tc>
        <w:tc>
          <w:tcPr>
            <w:tcW w:w="2070" w:type="dxa"/>
            <w:tcBorders>
              <w:top w:val="single" w:color="000000" w:sz="6" w:space="0"/>
              <w:left w:val="single" w:color="000000" w:sz="6" w:space="0"/>
              <w:bottom w:val="single" w:color="000000" w:sz="6" w:space="0"/>
              <w:right w:val="single" w:color="000000" w:sz="6" w:space="0"/>
            </w:tcBorders>
            <w:vAlign w:val="center"/>
          </w:tcPr>
          <w:p>
            <w:pPr>
              <w:jc w:val="center"/>
              <w:rPr>
                <w:rFonts w:ascii="Arial" w:hAnsi="Arial" w:eastAsia="Times New Roman" w:cs="Arial"/>
                <w:color w:val="auto"/>
                <w:sz w:val="20"/>
                <w:szCs w:val="24"/>
                <w:highlight w:val="none"/>
              </w:rPr>
            </w:pPr>
            <w:r>
              <w:rPr>
                <w:rFonts w:hint="eastAsia" w:ascii="宋体" w:hAnsi="宋体" w:cs="Arial"/>
                <w:b/>
                <w:bCs/>
                <w:color w:val="auto"/>
                <w:sz w:val="20"/>
                <w:szCs w:val="21"/>
                <w:highlight w:val="none"/>
              </w:rPr>
              <w:t>货物招标</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rPr>
                <w:rFonts w:ascii="Arial" w:hAnsi="Arial" w:eastAsia="Times New Roman" w:cs="Arial"/>
                <w:color w:val="auto"/>
                <w:sz w:val="20"/>
                <w:szCs w:val="24"/>
                <w:highlight w:val="none"/>
              </w:rPr>
            </w:pPr>
            <w:r>
              <w:rPr>
                <w:rFonts w:hint="eastAsia" w:ascii="宋体" w:hAnsi="宋体" w:cs="Arial"/>
                <w:b/>
                <w:bCs/>
                <w:color w:val="auto"/>
                <w:sz w:val="20"/>
                <w:szCs w:val="21"/>
                <w:highlight w:val="none"/>
              </w:rPr>
              <w:t>服务招标</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rPr>
                <w:rFonts w:ascii="Arial" w:hAnsi="Arial" w:eastAsia="Times New Roman" w:cs="Arial"/>
                <w:color w:val="auto"/>
                <w:sz w:val="20"/>
                <w:szCs w:val="24"/>
                <w:highlight w:val="none"/>
              </w:rPr>
            </w:pPr>
            <w:r>
              <w:rPr>
                <w:rFonts w:hint="eastAsia" w:ascii="宋体" w:hAnsi="宋体" w:cs="Arial"/>
                <w:b/>
                <w:bCs/>
                <w:color w:val="auto"/>
                <w:sz w:val="20"/>
                <w:szCs w:val="21"/>
                <w:highlight w:val="none"/>
              </w:rPr>
              <w:t>工程招标</w:t>
            </w:r>
          </w:p>
        </w:tc>
      </w:tr>
      <w:tr>
        <w:tblPrEx>
          <w:tblLayout w:type="fixed"/>
          <w:tblCellMar>
            <w:top w:w="15" w:type="dxa"/>
            <w:left w:w="15" w:type="dxa"/>
            <w:bottom w:w="15" w:type="dxa"/>
            <w:right w:w="15" w:type="dxa"/>
          </w:tblCellMar>
        </w:tblPrEx>
        <w:trPr>
          <w:jc w:val="center"/>
        </w:trPr>
        <w:tc>
          <w:tcPr>
            <w:tcW w:w="2970" w:type="dxa"/>
            <w:tcBorders>
              <w:top w:val="single" w:color="000000" w:sz="6" w:space="0"/>
              <w:left w:val="single" w:color="000000" w:sz="6" w:space="0"/>
              <w:bottom w:val="single" w:color="000000" w:sz="6" w:space="0"/>
              <w:right w:val="single" w:color="000000" w:sz="6" w:space="0"/>
            </w:tcBorders>
          </w:tcPr>
          <w:p>
            <w:pPr>
              <w:jc w:val="center"/>
              <w:rPr>
                <w:rFonts w:ascii="Arial" w:hAnsi="Arial" w:eastAsia="Times New Roman" w:cs="Arial"/>
                <w:color w:val="auto"/>
                <w:sz w:val="24"/>
                <w:szCs w:val="24"/>
                <w:highlight w:val="none"/>
              </w:rPr>
            </w:pPr>
            <w:r>
              <w:rPr>
                <w:rFonts w:hint="eastAsia" w:ascii="宋体" w:hAnsi="宋体" w:cs="Arial"/>
                <w:color w:val="auto"/>
                <w:szCs w:val="21"/>
                <w:highlight w:val="none"/>
              </w:rPr>
              <w:t>100以下</w:t>
            </w:r>
          </w:p>
        </w:tc>
        <w:tc>
          <w:tcPr>
            <w:tcW w:w="2070" w:type="dxa"/>
            <w:tcBorders>
              <w:top w:val="single" w:color="000000" w:sz="6" w:space="0"/>
              <w:left w:val="single" w:color="000000" w:sz="6" w:space="0"/>
              <w:bottom w:val="single" w:color="000000" w:sz="6" w:space="0"/>
              <w:right w:val="single" w:color="000000" w:sz="6" w:space="0"/>
            </w:tcBorders>
          </w:tcPr>
          <w:p>
            <w:pPr>
              <w:jc w:val="center"/>
              <w:rPr>
                <w:rFonts w:ascii="Arial" w:hAnsi="Arial" w:eastAsia="Times New Roman" w:cs="Arial"/>
                <w:color w:val="auto"/>
                <w:sz w:val="24"/>
                <w:szCs w:val="24"/>
                <w:highlight w:val="none"/>
              </w:rPr>
            </w:pPr>
            <w:r>
              <w:rPr>
                <w:rFonts w:hint="eastAsia" w:ascii="宋体" w:hAnsi="宋体" w:cs="Arial"/>
                <w:color w:val="auto"/>
                <w:szCs w:val="21"/>
                <w:highlight w:val="none"/>
              </w:rPr>
              <w:t>1.5%</w:t>
            </w:r>
          </w:p>
        </w:tc>
        <w:tc>
          <w:tcPr>
            <w:tcW w:w="1980" w:type="dxa"/>
            <w:tcBorders>
              <w:top w:val="single" w:color="000000" w:sz="6" w:space="0"/>
              <w:left w:val="single" w:color="000000" w:sz="6" w:space="0"/>
              <w:bottom w:val="single" w:color="000000" w:sz="6" w:space="0"/>
              <w:right w:val="single" w:color="000000" w:sz="6" w:space="0"/>
            </w:tcBorders>
          </w:tcPr>
          <w:p>
            <w:pPr>
              <w:jc w:val="center"/>
              <w:rPr>
                <w:rFonts w:ascii="Arial" w:hAnsi="Arial" w:eastAsia="Times New Roman" w:cs="Arial"/>
                <w:color w:val="auto"/>
                <w:sz w:val="24"/>
                <w:szCs w:val="24"/>
                <w:highlight w:val="none"/>
              </w:rPr>
            </w:pPr>
            <w:r>
              <w:rPr>
                <w:rFonts w:hint="eastAsia" w:ascii="宋体" w:hAnsi="宋体" w:cs="Arial"/>
                <w:color w:val="auto"/>
                <w:szCs w:val="21"/>
                <w:highlight w:val="none"/>
              </w:rPr>
              <w:t>1.5%</w:t>
            </w:r>
          </w:p>
        </w:tc>
        <w:tc>
          <w:tcPr>
            <w:tcW w:w="1980" w:type="dxa"/>
            <w:tcBorders>
              <w:top w:val="single" w:color="000000" w:sz="6" w:space="0"/>
              <w:left w:val="single" w:color="000000" w:sz="6" w:space="0"/>
              <w:bottom w:val="single" w:color="000000" w:sz="6" w:space="0"/>
              <w:right w:val="single" w:color="000000" w:sz="6" w:space="0"/>
            </w:tcBorders>
          </w:tcPr>
          <w:p>
            <w:pPr>
              <w:jc w:val="center"/>
              <w:rPr>
                <w:rFonts w:ascii="Arial" w:hAnsi="Arial" w:eastAsia="Times New Roman" w:cs="Arial"/>
                <w:color w:val="auto"/>
                <w:sz w:val="24"/>
                <w:szCs w:val="24"/>
                <w:highlight w:val="none"/>
              </w:rPr>
            </w:pPr>
            <w:r>
              <w:rPr>
                <w:rFonts w:hint="eastAsia" w:ascii="宋体" w:hAnsi="宋体" w:cs="Arial"/>
                <w:color w:val="auto"/>
                <w:szCs w:val="21"/>
                <w:highlight w:val="none"/>
              </w:rPr>
              <w:t>1.0%</w:t>
            </w:r>
          </w:p>
        </w:tc>
      </w:tr>
      <w:tr>
        <w:tblPrEx>
          <w:tblLayout w:type="fixed"/>
          <w:tblCellMar>
            <w:top w:w="15" w:type="dxa"/>
            <w:left w:w="15" w:type="dxa"/>
            <w:bottom w:w="15" w:type="dxa"/>
            <w:right w:w="15" w:type="dxa"/>
          </w:tblCellMar>
        </w:tblPrEx>
        <w:trPr>
          <w:jc w:val="center"/>
        </w:trPr>
        <w:tc>
          <w:tcPr>
            <w:tcW w:w="2970" w:type="dxa"/>
            <w:tcBorders>
              <w:top w:val="single" w:color="000000" w:sz="6" w:space="0"/>
              <w:left w:val="single" w:color="000000" w:sz="6" w:space="0"/>
              <w:bottom w:val="single" w:color="000000" w:sz="6" w:space="0"/>
              <w:right w:val="single" w:color="000000" w:sz="6" w:space="0"/>
            </w:tcBorders>
          </w:tcPr>
          <w:p>
            <w:pPr>
              <w:jc w:val="center"/>
              <w:rPr>
                <w:rFonts w:ascii="Arial" w:hAnsi="Arial" w:eastAsia="Times New Roman" w:cs="Arial"/>
                <w:color w:val="auto"/>
                <w:sz w:val="24"/>
                <w:szCs w:val="24"/>
                <w:highlight w:val="none"/>
              </w:rPr>
            </w:pPr>
            <w:r>
              <w:rPr>
                <w:rFonts w:hint="eastAsia" w:ascii="宋体" w:hAnsi="宋体" w:cs="Arial"/>
                <w:color w:val="auto"/>
                <w:szCs w:val="21"/>
                <w:highlight w:val="none"/>
              </w:rPr>
              <w:t>100-500</w:t>
            </w:r>
          </w:p>
        </w:tc>
        <w:tc>
          <w:tcPr>
            <w:tcW w:w="2070" w:type="dxa"/>
            <w:tcBorders>
              <w:top w:val="single" w:color="000000" w:sz="6" w:space="0"/>
              <w:left w:val="single" w:color="000000" w:sz="6" w:space="0"/>
              <w:bottom w:val="single" w:color="000000" w:sz="6" w:space="0"/>
              <w:right w:val="single" w:color="000000" w:sz="6" w:space="0"/>
            </w:tcBorders>
          </w:tcPr>
          <w:p>
            <w:pPr>
              <w:jc w:val="center"/>
              <w:rPr>
                <w:rFonts w:ascii="Arial" w:hAnsi="Arial" w:eastAsia="Times New Roman" w:cs="Arial"/>
                <w:color w:val="auto"/>
                <w:sz w:val="24"/>
                <w:szCs w:val="24"/>
                <w:highlight w:val="none"/>
              </w:rPr>
            </w:pPr>
            <w:r>
              <w:rPr>
                <w:rFonts w:hint="eastAsia" w:ascii="宋体" w:hAnsi="宋体" w:cs="Arial"/>
                <w:color w:val="auto"/>
                <w:szCs w:val="21"/>
                <w:highlight w:val="none"/>
              </w:rPr>
              <w:t>1.1%</w:t>
            </w:r>
          </w:p>
        </w:tc>
        <w:tc>
          <w:tcPr>
            <w:tcW w:w="1980" w:type="dxa"/>
            <w:tcBorders>
              <w:top w:val="single" w:color="000000" w:sz="6" w:space="0"/>
              <w:left w:val="single" w:color="000000" w:sz="6" w:space="0"/>
              <w:bottom w:val="single" w:color="000000" w:sz="6" w:space="0"/>
              <w:right w:val="single" w:color="000000" w:sz="6" w:space="0"/>
            </w:tcBorders>
          </w:tcPr>
          <w:p>
            <w:pPr>
              <w:jc w:val="center"/>
              <w:rPr>
                <w:rFonts w:ascii="Arial" w:hAnsi="Arial" w:eastAsia="Times New Roman" w:cs="Arial"/>
                <w:color w:val="auto"/>
                <w:sz w:val="24"/>
                <w:szCs w:val="24"/>
                <w:highlight w:val="none"/>
              </w:rPr>
            </w:pPr>
            <w:r>
              <w:rPr>
                <w:rFonts w:hint="eastAsia" w:ascii="宋体" w:hAnsi="宋体" w:cs="Arial"/>
                <w:color w:val="auto"/>
                <w:szCs w:val="21"/>
                <w:highlight w:val="none"/>
              </w:rPr>
              <w:t>0.8%</w:t>
            </w:r>
          </w:p>
        </w:tc>
        <w:tc>
          <w:tcPr>
            <w:tcW w:w="1980" w:type="dxa"/>
            <w:tcBorders>
              <w:top w:val="single" w:color="000000" w:sz="6" w:space="0"/>
              <w:left w:val="single" w:color="000000" w:sz="6" w:space="0"/>
              <w:bottom w:val="single" w:color="000000" w:sz="6" w:space="0"/>
              <w:right w:val="single" w:color="000000" w:sz="6" w:space="0"/>
            </w:tcBorders>
          </w:tcPr>
          <w:p>
            <w:pPr>
              <w:jc w:val="center"/>
              <w:rPr>
                <w:rFonts w:ascii="Arial" w:hAnsi="Arial" w:eastAsia="Times New Roman" w:cs="Arial"/>
                <w:color w:val="auto"/>
                <w:sz w:val="24"/>
                <w:szCs w:val="24"/>
                <w:highlight w:val="none"/>
              </w:rPr>
            </w:pPr>
            <w:r>
              <w:rPr>
                <w:rFonts w:hint="eastAsia" w:ascii="宋体" w:hAnsi="宋体" w:cs="Arial"/>
                <w:color w:val="auto"/>
                <w:szCs w:val="21"/>
                <w:highlight w:val="none"/>
              </w:rPr>
              <w:t>0.7%</w:t>
            </w:r>
          </w:p>
        </w:tc>
      </w:tr>
      <w:tr>
        <w:tblPrEx>
          <w:tblLayout w:type="fixed"/>
          <w:tblCellMar>
            <w:top w:w="15" w:type="dxa"/>
            <w:left w:w="15" w:type="dxa"/>
            <w:bottom w:w="15" w:type="dxa"/>
            <w:right w:w="15" w:type="dxa"/>
          </w:tblCellMar>
        </w:tblPrEx>
        <w:trPr>
          <w:jc w:val="center"/>
        </w:trPr>
        <w:tc>
          <w:tcPr>
            <w:tcW w:w="2970" w:type="dxa"/>
            <w:tcBorders>
              <w:top w:val="single" w:color="000000" w:sz="6" w:space="0"/>
              <w:left w:val="single" w:color="000000" w:sz="6" w:space="0"/>
              <w:bottom w:val="single" w:color="000000" w:sz="6" w:space="0"/>
              <w:right w:val="single" w:color="000000" w:sz="6" w:space="0"/>
            </w:tcBorders>
          </w:tcPr>
          <w:p>
            <w:pPr>
              <w:jc w:val="center"/>
              <w:rPr>
                <w:rFonts w:ascii="Arial" w:hAnsi="Arial" w:eastAsia="Times New Roman" w:cs="Arial"/>
                <w:color w:val="auto"/>
                <w:sz w:val="24"/>
                <w:szCs w:val="24"/>
                <w:highlight w:val="none"/>
              </w:rPr>
            </w:pPr>
            <w:r>
              <w:rPr>
                <w:rFonts w:hint="eastAsia" w:ascii="宋体" w:hAnsi="宋体" w:cs="Arial"/>
                <w:color w:val="auto"/>
                <w:szCs w:val="21"/>
                <w:highlight w:val="none"/>
              </w:rPr>
              <w:t>500-1000</w:t>
            </w:r>
          </w:p>
        </w:tc>
        <w:tc>
          <w:tcPr>
            <w:tcW w:w="2070" w:type="dxa"/>
            <w:tcBorders>
              <w:top w:val="single" w:color="000000" w:sz="6" w:space="0"/>
              <w:left w:val="single" w:color="000000" w:sz="6" w:space="0"/>
              <w:bottom w:val="single" w:color="000000" w:sz="6" w:space="0"/>
              <w:right w:val="single" w:color="000000" w:sz="6" w:space="0"/>
            </w:tcBorders>
          </w:tcPr>
          <w:p>
            <w:pPr>
              <w:jc w:val="center"/>
              <w:rPr>
                <w:rFonts w:ascii="Arial" w:hAnsi="Arial" w:eastAsia="Times New Roman" w:cs="Arial"/>
                <w:color w:val="auto"/>
                <w:sz w:val="24"/>
                <w:szCs w:val="24"/>
                <w:highlight w:val="none"/>
              </w:rPr>
            </w:pPr>
            <w:r>
              <w:rPr>
                <w:rFonts w:hint="eastAsia" w:ascii="宋体" w:hAnsi="宋体" w:cs="Arial"/>
                <w:color w:val="auto"/>
                <w:szCs w:val="21"/>
                <w:highlight w:val="none"/>
              </w:rPr>
              <w:t>0.8%</w:t>
            </w:r>
          </w:p>
        </w:tc>
        <w:tc>
          <w:tcPr>
            <w:tcW w:w="1980" w:type="dxa"/>
            <w:tcBorders>
              <w:top w:val="single" w:color="000000" w:sz="6" w:space="0"/>
              <w:left w:val="single" w:color="000000" w:sz="6" w:space="0"/>
              <w:bottom w:val="single" w:color="000000" w:sz="6" w:space="0"/>
              <w:right w:val="single" w:color="000000" w:sz="6" w:space="0"/>
            </w:tcBorders>
          </w:tcPr>
          <w:p>
            <w:pPr>
              <w:jc w:val="center"/>
              <w:rPr>
                <w:rFonts w:ascii="Arial" w:hAnsi="Arial" w:eastAsia="Times New Roman" w:cs="Arial"/>
                <w:color w:val="auto"/>
                <w:sz w:val="24"/>
                <w:szCs w:val="24"/>
                <w:highlight w:val="none"/>
              </w:rPr>
            </w:pPr>
            <w:r>
              <w:rPr>
                <w:rFonts w:hint="eastAsia" w:ascii="宋体" w:hAnsi="宋体" w:cs="Arial"/>
                <w:color w:val="auto"/>
                <w:szCs w:val="21"/>
                <w:highlight w:val="none"/>
              </w:rPr>
              <w:t>0.45%</w:t>
            </w:r>
          </w:p>
        </w:tc>
        <w:tc>
          <w:tcPr>
            <w:tcW w:w="1980" w:type="dxa"/>
            <w:tcBorders>
              <w:top w:val="single" w:color="000000" w:sz="6" w:space="0"/>
              <w:left w:val="single" w:color="000000" w:sz="6" w:space="0"/>
              <w:bottom w:val="single" w:color="000000" w:sz="6" w:space="0"/>
              <w:right w:val="single" w:color="000000" w:sz="6" w:space="0"/>
            </w:tcBorders>
          </w:tcPr>
          <w:p>
            <w:pPr>
              <w:jc w:val="center"/>
              <w:rPr>
                <w:rFonts w:ascii="Arial" w:hAnsi="Arial" w:eastAsia="Times New Roman" w:cs="Arial"/>
                <w:color w:val="auto"/>
                <w:sz w:val="24"/>
                <w:szCs w:val="24"/>
                <w:highlight w:val="none"/>
              </w:rPr>
            </w:pPr>
            <w:r>
              <w:rPr>
                <w:rFonts w:hint="eastAsia" w:ascii="宋体" w:hAnsi="宋体" w:cs="Arial"/>
                <w:color w:val="auto"/>
                <w:szCs w:val="21"/>
                <w:highlight w:val="none"/>
              </w:rPr>
              <w:t>0.55%</w:t>
            </w:r>
          </w:p>
        </w:tc>
      </w:tr>
      <w:tr>
        <w:tblPrEx>
          <w:tblLayout w:type="fixed"/>
          <w:tblCellMar>
            <w:top w:w="15" w:type="dxa"/>
            <w:left w:w="15" w:type="dxa"/>
            <w:bottom w:w="15" w:type="dxa"/>
            <w:right w:w="15" w:type="dxa"/>
          </w:tblCellMar>
        </w:tblPrEx>
        <w:trPr>
          <w:jc w:val="center"/>
        </w:trPr>
        <w:tc>
          <w:tcPr>
            <w:tcW w:w="2970" w:type="dxa"/>
            <w:tcBorders>
              <w:top w:val="single" w:color="000000" w:sz="6" w:space="0"/>
              <w:left w:val="single" w:color="000000" w:sz="6" w:space="0"/>
              <w:bottom w:val="single" w:color="000000" w:sz="6" w:space="0"/>
              <w:right w:val="single" w:color="000000" w:sz="6" w:space="0"/>
            </w:tcBorders>
          </w:tcPr>
          <w:p>
            <w:pPr>
              <w:jc w:val="center"/>
              <w:rPr>
                <w:rFonts w:ascii="Arial" w:hAnsi="Arial" w:eastAsia="Times New Roman" w:cs="Arial"/>
                <w:color w:val="auto"/>
                <w:sz w:val="24"/>
                <w:szCs w:val="24"/>
                <w:highlight w:val="none"/>
              </w:rPr>
            </w:pPr>
            <w:r>
              <w:rPr>
                <w:rFonts w:hint="eastAsia" w:ascii="宋体" w:hAnsi="宋体" w:cs="Arial"/>
                <w:color w:val="auto"/>
                <w:szCs w:val="21"/>
                <w:highlight w:val="none"/>
              </w:rPr>
              <w:t>1000-5000</w:t>
            </w:r>
          </w:p>
        </w:tc>
        <w:tc>
          <w:tcPr>
            <w:tcW w:w="2070" w:type="dxa"/>
            <w:tcBorders>
              <w:top w:val="single" w:color="000000" w:sz="6" w:space="0"/>
              <w:left w:val="single" w:color="000000" w:sz="6" w:space="0"/>
              <w:bottom w:val="single" w:color="000000" w:sz="6" w:space="0"/>
              <w:right w:val="single" w:color="000000" w:sz="6" w:space="0"/>
            </w:tcBorders>
          </w:tcPr>
          <w:p>
            <w:pPr>
              <w:jc w:val="center"/>
              <w:rPr>
                <w:rFonts w:ascii="Arial" w:hAnsi="Arial" w:eastAsia="Times New Roman" w:cs="Arial"/>
                <w:color w:val="auto"/>
                <w:sz w:val="24"/>
                <w:szCs w:val="24"/>
                <w:highlight w:val="none"/>
              </w:rPr>
            </w:pPr>
            <w:r>
              <w:rPr>
                <w:rFonts w:hint="eastAsia" w:ascii="宋体" w:hAnsi="宋体" w:cs="Arial"/>
                <w:color w:val="auto"/>
                <w:szCs w:val="21"/>
                <w:highlight w:val="none"/>
              </w:rPr>
              <w:t>0.5%</w:t>
            </w:r>
          </w:p>
        </w:tc>
        <w:tc>
          <w:tcPr>
            <w:tcW w:w="1980" w:type="dxa"/>
            <w:tcBorders>
              <w:top w:val="single" w:color="000000" w:sz="6" w:space="0"/>
              <w:left w:val="single" w:color="000000" w:sz="6" w:space="0"/>
              <w:bottom w:val="single" w:color="000000" w:sz="6" w:space="0"/>
              <w:right w:val="single" w:color="000000" w:sz="6" w:space="0"/>
            </w:tcBorders>
          </w:tcPr>
          <w:p>
            <w:pPr>
              <w:jc w:val="center"/>
              <w:rPr>
                <w:rFonts w:ascii="Arial" w:hAnsi="Arial" w:eastAsia="Times New Roman" w:cs="Arial"/>
                <w:color w:val="auto"/>
                <w:sz w:val="24"/>
                <w:szCs w:val="24"/>
                <w:highlight w:val="none"/>
              </w:rPr>
            </w:pPr>
            <w:r>
              <w:rPr>
                <w:rFonts w:hint="eastAsia" w:ascii="宋体" w:hAnsi="宋体" w:cs="Arial"/>
                <w:color w:val="auto"/>
                <w:szCs w:val="21"/>
                <w:highlight w:val="none"/>
              </w:rPr>
              <w:t>0.25%</w:t>
            </w:r>
          </w:p>
        </w:tc>
        <w:tc>
          <w:tcPr>
            <w:tcW w:w="1980" w:type="dxa"/>
            <w:tcBorders>
              <w:top w:val="single" w:color="000000" w:sz="6" w:space="0"/>
              <w:left w:val="single" w:color="000000" w:sz="6" w:space="0"/>
              <w:bottom w:val="single" w:color="000000" w:sz="6" w:space="0"/>
              <w:right w:val="single" w:color="000000" w:sz="6" w:space="0"/>
            </w:tcBorders>
          </w:tcPr>
          <w:p>
            <w:pPr>
              <w:jc w:val="center"/>
              <w:rPr>
                <w:rFonts w:ascii="Arial" w:hAnsi="Arial" w:eastAsia="Times New Roman" w:cs="Arial"/>
                <w:color w:val="auto"/>
                <w:sz w:val="24"/>
                <w:szCs w:val="24"/>
                <w:highlight w:val="none"/>
              </w:rPr>
            </w:pPr>
            <w:r>
              <w:rPr>
                <w:rFonts w:hint="eastAsia" w:ascii="宋体" w:hAnsi="宋体" w:cs="Arial"/>
                <w:color w:val="auto"/>
                <w:szCs w:val="21"/>
                <w:highlight w:val="none"/>
              </w:rPr>
              <w:t>0.35%</w:t>
            </w:r>
          </w:p>
        </w:tc>
      </w:tr>
      <w:tr>
        <w:tblPrEx>
          <w:tblLayout w:type="fixed"/>
          <w:tblCellMar>
            <w:top w:w="15" w:type="dxa"/>
            <w:left w:w="15" w:type="dxa"/>
            <w:bottom w:w="15" w:type="dxa"/>
            <w:right w:w="15" w:type="dxa"/>
          </w:tblCellMar>
        </w:tblPrEx>
        <w:trPr>
          <w:jc w:val="center"/>
        </w:trPr>
        <w:tc>
          <w:tcPr>
            <w:tcW w:w="2970" w:type="dxa"/>
            <w:tcBorders>
              <w:top w:val="single" w:color="000000" w:sz="6" w:space="0"/>
              <w:left w:val="single" w:color="000000" w:sz="6" w:space="0"/>
              <w:bottom w:val="single" w:color="000000" w:sz="6" w:space="0"/>
              <w:right w:val="single" w:color="000000" w:sz="6" w:space="0"/>
            </w:tcBorders>
          </w:tcPr>
          <w:p>
            <w:pPr>
              <w:jc w:val="center"/>
              <w:rPr>
                <w:rFonts w:ascii="Arial" w:hAnsi="Arial" w:eastAsia="Times New Roman" w:cs="Arial"/>
                <w:color w:val="auto"/>
                <w:sz w:val="24"/>
                <w:szCs w:val="24"/>
                <w:highlight w:val="none"/>
              </w:rPr>
            </w:pPr>
            <w:r>
              <w:rPr>
                <w:rFonts w:hint="eastAsia" w:ascii="宋体" w:hAnsi="宋体" w:cs="Arial"/>
                <w:color w:val="auto"/>
                <w:szCs w:val="21"/>
                <w:highlight w:val="none"/>
              </w:rPr>
              <w:t>5000-10000</w:t>
            </w:r>
          </w:p>
        </w:tc>
        <w:tc>
          <w:tcPr>
            <w:tcW w:w="2070" w:type="dxa"/>
            <w:tcBorders>
              <w:top w:val="single" w:color="000000" w:sz="6" w:space="0"/>
              <w:left w:val="single" w:color="000000" w:sz="6" w:space="0"/>
              <w:bottom w:val="single" w:color="000000" w:sz="6" w:space="0"/>
              <w:right w:val="single" w:color="000000" w:sz="6" w:space="0"/>
            </w:tcBorders>
          </w:tcPr>
          <w:p>
            <w:pPr>
              <w:jc w:val="center"/>
              <w:rPr>
                <w:rFonts w:ascii="Arial" w:hAnsi="Arial" w:eastAsia="Times New Roman" w:cs="Arial"/>
                <w:color w:val="auto"/>
                <w:sz w:val="24"/>
                <w:szCs w:val="24"/>
                <w:highlight w:val="none"/>
              </w:rPr>
            </w:pPr>
            <w:r>
              <w:rPr>
                <w:rFonts w:hint="eastAsia" w:ascii="宋体" w:hAnsi="宋体" w:cs="Arial"/>
                <w:color w:val="auto"/>
                <w:szCs w:val="21"/>
                <w:highlight w:val="none"/>
              </w:rPr>
              <w:t>0.25%</w:t>
            </w:r>
          </w:p>
        </w:tc>
        <w:tc>
          <w:tcPr>
            <w:tcW w:w="1980" w:type="dxa"/>
            <w:tcBorders>
              <w:top w:val="single" w:color="000000" w:sz="6" w:space="0"/>
              <w:left w:val="single" w:color="000000" w:sz="6" w:space="0"/>
              <w:bottom w:val="single" w:color="000000" w:sz="6" w:space="0"/>
              <w:right w:val="single" w:color="000000" w:sz="6" w:space="0"/>
            </w:tcBorders>
          </w:tcPr>
          <w:p>
            <w:pPr>
              <w:jc w:val="center"/>
              <w:rPr>
                <w:rFonts w:ascii="Arial" w:hAnsi="Arial" w:eastAsia="Times New Roman" w:cs="Arial"/>
                <w:color w:val="auto"/>
                <w:sz w:val="24"/>
                <w:szCs w:val="24"/>
                <w:highlight w:val="none"/>
              </w:rPr>
            </w:pPr>
            <w:r>
              <w:rPr>
                <w:rFonts w:hint="eastAsia" w:ascii="宋体" w:hAnsi="宋体" w:cs="Arial"/>
                <w:color w:val="auto"/>
                <w:szCs w:val="21"/>
                <w:highlight w:val="none"/>
              </w:rPr>
              <w:t>0.1%</w:t>
            </w:r>
          </w:p>
        </w:tc>
        <w:tc>
          <w:tcPr>
            <w:tcW w:w="1980" w:type="dxa"/>
            <w:tcBorders>
              <w:top w:val="single" w:color="000000" w:sz="6" w:space="0"/>
              <w:left w:val="single" w:color="000000" w:sz="6" w:space="0"/>
              <w:bottom w:val="single" w:color="000000" w:sz="6" w:space="0"/>
              <w:right w:val="single" w:color="000000" w:sz="6" w:space="0"/>
            </w:tcBorders>
          </w:tcPr>
          <w:p>
            <w:pPr>
              <w:jc w:val="center"/>
              <w:rPr>
                <w:rFonts w:ascii="Arial" w:hAnsi="Arial" w:eastAsia="Times New Roman" w:cs="Arial"/>
                <w:color w:val="auto"/>
                <w:sz w:val="24"/>
                <w:szCs w:val="24"/>
                <w:highlight w:val="none"/>
              </w:rPr>
            </w:pPr>
            <w:r>
              <w:rPr>
                <w:rFonts w:hint="eastAsia" w:ascii="宋体" w:hAnsi="宋体" w:cs="Arial"/>
                <w:color w:val="auto"/>
                <w:szCs w:val="21"/>
                <w:highlight w:val="none"/>
              </w:rPr>
              <w:t>0.2%</w:t>
            </w:r>
          </w:p>
        </w:tc>
      </w:tr>
      <w:tr>
        <w:tblPrEx>
          <w:tblLayout w:type="fixed"/>
          <w:tblCellMar>
            <w:top w:w="15" w:type="dxa"/>
            <w:left w:w="15" w:type="dxa"/>
            <w:bottom w:w="15" w:type="dxa"/>
            <w:right w:w="15" w:type="dxa"/>
          </w:tblCellMar>
        </w:tblPrEx>
        <w:trPr>
          <w:jc w:val="center"/>
        </w:trPr>
        <w:tc>
          <w:tcPr>
            <w:tcW w:w="2970" w:type="dxa"/>
            <w:tcBorders>
              <w:top w:val="single" w:color="000000" w:sz="6" w:space="0"/>
              <w:left w:val="single" w:color="000000" w:sz="6" w:space="0"/>
              <w:bottom w:val="single" w:color="000000" w:sz="6" w:space="0"/>
              <w:right w:val="single" w:color="000000" w:sz="6" w:space="0"/>
            </w:tcBorders>
          </w:tcPr>
          <w:p>
            <w:pPr>
              <w:jc w:val="center"/>
              <w:rPr>
                <w:rFonts w:ascii="Arial" w:hAnsi="Arial" w:eastAsia="Times New Roman" w:cs="Arial"/>
                <w:color w:val="auto"/>
                <w:sz w:val="24"/>
                <w:szCs w:val="24"/>
                <w:highlight w:val="none"/>
              </w:rPr>
            </w:pPr>
            <w:r>
              <w:rPr>
                <w:rFonts w:hint="eastAsia" w:ascii="宋体" w:hAnsi="宋体" w:cs="Arial"/>
                <w:color w:val="auto"/>
                <w:szCs w:val="21"/>
                <w:highlight w:val="none"/>
              </w:rPr>
              <w:t>10000-100000</w:t>
            </w:r>
          </w:p>
        </w:tc>
        <w:tc>
          <w:tcPr>
            <w:tcW w:w="2070" w:type="dxa"/>
            <w:tcBorders>
              <w:top w:val="single" w:color="000000" w:sz="6" w:space="0"/>
              <w:left w:val="single" w:color="000000" w:sz="6" w:space="0"/>
              <w:bottom w:val="single" w:color="000000" w:sz="6" w:space="0"/>
              <w:right w:val="single" w:color="000000" w:sz="6" w:space="0"/>
            </w:tcBorders>
          </w:tcPr>
          <w:p>
            <w:pPr>
              <w:jc w:val="center"/>
              <w:rPr>
                <w:rFonts w:ascii="Arial" w:hAnsi="Arial" w:eastAsia="Times New Roman" w:cs="Arial"/>
                <w:color w:val="auto"/>
                <w:sz w:val="24"/>
                <w:szCs w:val="24"/>
                <w:highlight w:val="none"/>
              </w:rPr>
            </w:pPr>
            <w:r>
              <w:rPr>
                <w:rFonts w:hint="eastAsia" w:ascii="宋体" w:hAnsi="宋体" w:cs="Arial"/>
                <w:color w:val="auto"/>
                <w:szCs w:val="21"/>
                <w:highlight w:val="none"/>
              </w:rPr>
              <w:t>0.05%</w:t>
            </w:r>
          </w:p>
        </w:tc>
        <w:tc>
          <w:tcPr>
            <w:tcW w:w="1980" w:type="dxa"/>
            <w:tcBorders>
              <w:top w:val="single" w:color="000000" w:sz="6" w:space="0"/>
              <w:left w:val="single" w:color="000000" w:sz="6" w:space="0"/>
              <w:bottom w:val="single" w:color="000000" w:sz="6" w:space="0"/>
              <w:right w:val="single" w:color="000000" w:sz="6" w:space="0"/>
            </w:tcBorders>
          </w:tcPr>
          <w:p>
            <w:pPr>
              <w:jc w:val="center"/>
              <w:rPr>
                <w:rFonts w:ascii="Arial" w:hAnsi="Arial" w:eastAsia="Times New Roman" w:cs="Arial"/>
                <w:color w:val="auto"/>
                <w:sz w:val="24"/>
                <w:szCs w:val="24"/>
                <w:highlight w:val="none"/>
              </w:rPr>
            </w:pPr>
            <w:r>
              <w:rPr>
                <w:rFonts w:hint="eastAsia" w:ascii="宋体" w:hAnsi="宋体" w:cs="Arial"/>
                <w:color w:val="auto"/>
                <w:szCs w:val="21"/>
                <w:highlight w:val="none"/>
              </w:rPr>
              <w:t>0.05%</w:t>
            </w:r>
          </w:p>
        </w:tc>
        <w:tc>
          <w:tcPr>
            <w:tcW w:w="1980" w:type="dxa"/>
            <w:tcBorders>
              <w:top w:val="single" w:color="000000" w:sz="6" w:space="0"/>
              <w:left w:val="single" w:color="000000" w:sz="6" w:space="0"/>
              <w:bottom w:val="single" w:color="000000" w:sz="6" w:space="0"/>
              <w:right w:val="single" w:color="000000" w:sz="6" w:space="0"/>
            </w:tcBorders>
          </w:tcPr>
          <w:p>
            <w:pPr>
              <w:jc w:val="center"/>
              <w:rPr>
                <w:rFonts w:ascii="Arial" w:hAnsi="Arial" w:eastAsia="Times New Roman" w:cs="Arial"/>
                <w:color w:val="auto"/>
                <w:sz w:val="24"/>
                <w:szCs w:val="24"/>
                <w:highlight w:val="none"/>
              </w:rPr>
            </w:pPr>
            <w:r>
              <w:rPr>
                <w:rFonts w:hint="eastAsia" w:ascii="宋体" w:hAnsi="宋体" w:cs="Arial"/>
                <w:color w:val="auto"/>
                <w:szCs w:val="21"/>
                <w:highlight w:val="none"/>
              </w:rPr>
              <w:t>0.05%</w:t>
            </w:r>
          </w:p>
        </w:tc>
      </w:tr>
      <w:tr>
        <w:tblPrEx>
          <w:tblLayout w:type="fixed"/>
          <w:tblCellMar>
            <w:top w:w="15" w:type="dxa"/>
            <w:left w:w="15" w:type="dxa"/>
            <w:bottom w:w="15" w:type="dxa"/>
            <w:right w:w="15" w:type="dxa"/>
          </w:tblCellMar>
        </w:tblPrEx>
        <w:trPr>
          <w:jc w:val="center"/>
        </w:trPr>
        <w:tc>
          <w:tcPr>
            <w:tcW w:w="2970" w:type="dxa"/>
            <w:tcBorders>
              <w:top w:val="single" w:color="000000" w:sz="6" w:space="0"/>
              <w:left w:val="single" w:color="000000" w:sz="6" w:space="0"/>
              <w:bottom w:val="single" w:color="000000" w:sz="6" w:space="0"/>
              <w:right w:val="single" w:color="000000" w:sz="6" w:space="0"/>
            </w:tcBorders>
          </w:tcPr>
          <w:p>
            <w:pPr>
              <w:jc w:val="center"/>
              <w:rPr>
                <w:rFonts w:ascii="Arial" w:hAnsi="Arial" w:eastAsia="Times New Roman" w:cs="Arial"/>
                <w:color w:val="auto"/>
                <w:sz w:val="24"/>
                <w:szCs w:val="24"/>
                <w:highlight w:val="none"/>
              </w:rPr>
            </w:pPr>
            <w:r>
              <w:rPr>
                <w:rFonts w:hint="eastAsia" w:ascii="宋体" w:hAnsi="宋体" w:cs="Arial"/>
                <w:color w:val="auto"/>
                <w:szCs w:val="21"/>
                <w:highlight w:val="none"/>
              </w:rPr>
              <w:t>1000000以上</w:t>
            </w:r>
          </w:p>
        </w:tc>
        <w:tc>
          <w:tcPr>
            <w:tcW w:w="2070" w:type="dxa"/>
            <w:tcBorders>
              <w:top w:val="single" w:color="000000" w:sz="6" w:space="0"/>
              <w:left w:val="single" w:color="000000" w:sz="6" w:space="0"/>
              <w:bottom w:val="single" w:color="000000" w:sz="6" w:space="0"/>
              <w:right w:val="single" w:color="000000" w:sz="6" w:space="0"/>
            </w:tcBorders>
          </w:tcPr>
          <w:p>
            <w:pPr>
              <w:jc w:val="center"/>
              <w:rPr>
                <w:rFonts w:ascii="Arial" w:hAnsi="Arial" w:eastAsia="Times New Roman" w:cs="Arial"/>
                <w:color w:val="auto"/>
                <w:sz w:val="24"/>
                <w:szCs w:val="24"/>
                <w:highlight w:val="none"/>
              </w:rPr>
            </w:pPr>
            <w:r>
              <w:rPr>
                <w:rFonts w:hint="eastAsia" w:ascii="宋体" w:hAnsi="宋体" w:cs="Arial"/>
                <w:color w:val="auto"/>
                <w:szCs w:val="21"/>
                <w:highlight w:val="none"/>
              </w:rPr>
              <w:t>0.01%</w:t>
            </w:r>
          </w:p>
        </w:tc>
        <w:tc>
          <w:tcPr>
            <w:tcW w:w="1980" w:type="dxa"/>
            <w:tcBorders>
              <w:top w:val="single" w:color="000000" w:sz="6" w:space="0"/>
              <w:left w:val="single" w:color="000000" w:sz="6" w:space="0"/>
              <w:bottom w:val="single" w:color="000000" w:sz="6" w:space="0"/>
              <w:right w:val="single" w:color="000000" w:sz="6" w:space="0"/>
            </w:tcBorders>
          </w:tcPr>
          <w:p>
            <w:pPr>
              <w:jc w:val="center"/>
              <w:rPr>
                <w:rFonts w:ascii="Arial" w:hAnsi="Arial" w:eastAsia="Times New Roman" w:cs="Arial"/>
                <w:color w:val="auto"/>
                <w:sz w:val="24"/>
                <w:szCs w:val="24"/>
                <w:highlight w:val="none"/>
              </w:rPr>
            </w:pPr>
            <w:r>
              <w:rPr>
                <w:rFonts w:hint="eastAsia" w:ascii="宋体" w:hAnsi="宋体" w:cs="Arial"/>
                <w:color w:val="auto"/>
                <w:szCs w:val="21"/>
                <w:highlight w:val="none"/>
              </w:rPr>
              <w:t>0.01%</w:t>
            </w:r>
          </w:p>
        </w:tc>
        <w:tc>
          <w:tcPr>
            <w:tcW w:w="1980" w:type="dxa"/>
            <w:tcBorders>
              <w:top w:val="single" w:color="000000" w:sz="6" w:space="0"/>
              <w:left w:val="single" w:color="000000" w:sz="6" w:space="0"/>
              <w:bottom w:val="single" w:color="000000" w:sz="6" w:space="0"/>
              <w:right w:val="single" w:color="000000" w:sz="6" w:space="0"/>
            </w:tcBorders>
          </w:tcPr>
          <w:p>
            <w:pPr>
              <w:jc w:val="center"/>
              <w:rPr>
                <w:rFonts w:ascii="Arial" w:hAnsi="Arial" w:eastAsia="Times New Roman" w:cs="Arial"/>
                <w:color w:val="auto"/>
                <w:sz w:val="24"/>
                <w:szCs w:val="24"/>
                <w:highlight w:val="none"/>
              </w:rPr>
            </w:pPr>
            <w:r>
              <w:rPr>
                <w:rFonts w:hint="eastAsia" w:ascii="宋体" w:hAnsi="宋体" w:cs="Arial"/>
                <w:color w:val="auto"/>
                <w:szCs w:val="21"/>
                <w:highlight w:val="none"/>
              </w:rPr>
              <w:t>0.01%</w:t>
            </w:r>
          </w:p>
        </w:tc>
      </w:tr>
    </w:tbl>
    <w:p>
      <w:pPr>
        <w:rPr>
          <w:rFonts w:hint="eastAsia" w:ascii="宋体" w:hAnsi="宋体"/>
          <w:bCs/>
          <w:color w:val="auto"/>
          <w:sz w:val="24"/>
          <w:szCs w:val="24"/>
          <w:highlight w:val="none"/>
        </w:rPr>
      </w:pPr>
      <w:r>
        <w:rPr>
          <w:rFonts w:hint="eastAsia" w:ascii="宋体" w:hAnsi="宋体"/>
          <w:bCs/>
          <w:color w:val="auto"/>
          <w:sz w:val="24"/>
          <w:szCs w:val="24"/>
          <w:highlight w:val="none"/>
        </w:rPr>
        <w:t xml:space="preserve">   </w:t>
      </w:r>
      <w:r>
        <w:rPr>
          <w:rFonts w:hint="eastAsia" w:ascii="宋体" w:hAnsi="宋体"/>
          <w:bCs/>
          <w:color w:val="auto"/>
          <w:sz w:val="24"/>
          <w:szCs w:val="24"/>
          <w:highlight w:val="none"/>
        </w:rPr>
        <w:t xml:space="preserve"> </w:t>
      </w:r>
      <w:r>
        <w:rPr>
          <w:rFonts w:hint="eastAsia" w:ascii="宋体" w:hAnsi="宋体"/>
          <w:b/>
          <w:bCs w:val="0"/>
          <w:color w:val="auto"/>
          <w:sz w:val="24"/>
          <w:szCs w:val="24"/>
          <w:highlight w:val="none"/>
        </w:rPr>
        <w:t>代理费最高限价按照收费标准差额定率累进法的7折（70%）计取。</w:t>
      </w:r>
      <w:r>
        <w:rPr>
          <w:rFonts w:hint="eastAsia" w:ascii="宋体" w:hAnsi="宋体"/>
          <w:b/>
          <w:bCs w:val="0"/>
          <w:color w:val="auto"/>
          <w:sz w:val="24"/>
          <w:szCs w:val="24"/>
          <w:highlight w:val="none"/>
          <w:lang w:eastAsia="zh-CN"/>
        </w:rPr>
        <w:t>（注：</w:t>
      </w:r>
      <w:r>
        <w:rPr>
          <w:rFonts w:hint="eastAsia" w:ascii="宋体" w:hAnsi="宋体"/>
          <w:b/>
          <w:bCs w:val="0"/>
          <w:color w:val="auto"/>
          <w:sz w:val="24"/>
          <w:szCs w:val="24"/>
          <w:highlight w:val="none"/>
        </w:rPr>
        <w:t>货物招标</w:t>
      </w:r>
      <w:r>
        <w:rPr>
          <w:rFonts w:hint="eastAsia" w:ascii="宋体" w:hAnsi="宋体"/>
          <w:b/>
          <w:bCs w:val="0"/>
          <w:color w:val="auto"/>
          <w:sz w:val="24"/>
          <w:szCs w:val="24"/>
          <w:highlight w:val="none"/>
          <w:lang w:eastAsia="zh-CN"/>
        </w:rPr>
        <w:t>、</w:t>
      </w:r>
      <w:r>
        <w:rPr>
          <w:rFonts w:hint="eastAsia" w:ascii="宋体" w:hAnsi="宋体"/>
          <w:b/>
          <w:bCs w:val="0"/>
          <w:color w:val="auto"/>
          <w:sz w:val="24"/>
          <w:szCs w:val="24"/>
          <w:highlight w:val="none"/>
        </w:rPr>
        <w:t>服务招标</w:t>
      </w:r>
      <w:r>
        <w:rPr>
          <w:rFonts w:hint="eastAsia" w:ascii="宋体" w:hAnsi="宋体"/>
          <w:b/>
          <w:bCs w:val="0"/>
          <w:color w:val="auto"/>
          <w:sz w:val="24"/>
          <w:szCs w:val="24"/>
          <w:highlight w:val="none"/>
          <w:lang w:eastAsia="zh-CN"/>
        </w:rPr>
        <w:t>、</w:t>
      </w:r>
      <w:r>
        <w:rPr>
          <w:rFonts w:hint="eastAsia" w:ascii="宋体" w:hAnsi="宋体"/>
          <w:b/>
          <w:bCs w:val="0"/>
          <w:color w:val="auto"/>
          <w:sz w:val="24"/>
          <w:szCs w:val="24"/>
          <w:highlight w:val="none"/>
        </w:rPr>
        <w:t>工程招标</w:t>
      </w:r>
      <w:r>
        <w:rPr>
          <w:rFonts w:hint="eastAsia" w:ascii="宋体" w:hAnsi="宋体"/>
          <w:b/>
          <w:bCs w:val="0"/>
          <w:color w:val="auto"/>
          <w:sz w:val="24"/>
          <w:szCs w:val="24"/>
          <w:highlight w:val="none"/>
          <w:lang w:eastAsia="zh-CN"/>
        </w:rPr>
        <w:t>均按统一折扣计取）</w:t>
      </w:r>
    </w:p>
    <w:p>
      <w:pPr>
        <w:rPr>
          <w:rFonts w:ascii="宋体" w:hAnsi="宋体"/>
          <w:bCs/>
          <w:color w:val="auto"/>
          <w:sz w:val="24"/>
          <w:szCs w:val="24"/>
          <w:highlight w:val="none"/>
        </w:rPr>
      </w:pPr>
      <w:r>
        <w:rPr>
          <w:rFonts w:hint="eastAsia" w:ascii="宋体" w:hAnsi="宋体"/>
          <w:bCs/>
          <w:color w:val="auto"/>
          <w:sz w:val="24"/>
          <w:szCs w:val="24"/>
          <w:highlight w:val="none"/>
        </w:rPr>
        <w:t xml:space="preserve">    4、能根据《中华人民共和国政府采购法》及有关规定，依法独立组织政府采购代理活动，维护采购当事人的合法权益，熟悉采购法律法规和操作流程；</w:t>
      </w:r>
    </w:p>
    <w:p>
      <w:pPr>
        <w:rPr>
          <w:rFonts w:ascii="宋体" w:hAnsi="宋体"/>
          <w:bCs/>
          <w:color w:val="auto"/>
          <w:sz w:val="24"/>
          <w:szCs w:val="24"/>
          <w:highlight w:val="none"/>
        </w:rPr>
      </w:pPr>
      <w:r>
        <w:rPr>
          <w:rFonts w:hint="eastAsia" w:ascii="宋体" w:hAnsi="宋体"/>
          <w:bCs/>
          <w:color w:val="auto"/>
          <w:sz w:val="24"/>
          <w:szCs w:val="24"/>
          <w:highlight w:val="none"/>
        </w:rPr>
        <w:t xml:space="preserve">    5、选定的采购代理机构不得将采购人委托的项目转包或分包。</w:t>
      </w:r>
    </w:p>
    <w:p>
      <w:pPr>
        <w:ind w:firstLine="480"/>
        <w:rPr>
          <w:rFonts w:hint="eastAsia" w:ascii="宋体" w:hAnsi="宋体"/>
          <w:bCs/>
          <w:color w:val="auto"/>
          <w:sz w:val="24"/>
          <w:szCs w:val="24"/>
          <w:highlight w:val="none"/>
        </w:rPr>
      </w:pPr>
      <w:r>
        <w:rPr>
          <w:rFonts w:hint="eastAsia" w:ascii="宋体" w:hAnsi="宋体"/>
          <w:bCs/>
          <w:color w:val="auto"/>
          <w:sz w:val="24"/>
          <w:szCs w:val="24"/>
          <w:highlight w:val="none"/>
        </w:rPr>
        <w:t>6、</w:t>
      </w:r>
      <w:r>
        <w:rPr>
          <w:rFonts w:hint="eastAsia" w:ascii="宋体" w:hAnsi="宋体"/>
          <w:bCs/>
          <w:color w:val="auto"/>
          <w:sz w:val="24"/>
          <w:szCs w:val="24"/>
          <w:highlight w:val="none"/>
        </w:rPr>
        <w:t>代理服务费高于5万元的按照5万元收取；代理服务费折后价格低于2000元的按2000元计取</w:t>
      </w:r>
      <w:r>
        <w:rPr>
          <w:rFonts w:hint="eastAsia" w:ascii="宋体" w:hAnsi="宋体"/>
          <w:bCs/>
          <w:color w:val="auto"/>
          <w:sz w:val="24"/>
          <w:szCs w:val="24"/>
          <w:highlight w:val="none"/>
        </w:rPr>
        <w:t>。</w:t>
      </w:r>
    </w:p>
    <w:p>
      <w:pPr>
        <w:ind w:firstLine="480"/>
        <w:rPr>
          <w:rFonts w:hint="eastAsia" w:ascii="宋体" w:hAnsi="宋体" w:eastAsia="宋体"/>
          <w:bCs/>
          <w:color w:val="auto"/>
          <w:sz w:val="24"/>
          <w:szCs w:val="24"/>
          <w:highlight w:val="none"/>
          <w:lang w:val="en-US" w:eastAsia="zh-CN"/>
        </w:rPr>
      </w:pPr>
      <w:r>
        <w:rPr>
          <w:rFonts w:hint="eastAsia" w:ascii="宋体" w:hAnsi="宋体"/>
          <w:bCs/>
          <w:color w:val="auto"/>
          <w:sz w:val="24"/>
          <w:szCs w:val="24"/>
          <w:highlight w:val="none"/>
          <w:lang w:val="en-US" w:eastAsia="zh-CN"/>
        </w:rPr>
        <w:t>7、工程招标项目控制价编制费参照赣州银行造价咨询标准执行。</w:t>
      </w:r>
    </w:p>
    <w:p>
      <w:pPr>
        <w:rPr>
          <w:rFonts w:ascii="宋体" w:hAnsi="宋体"/>
          <w:bCs/>
          <w:color w:val="auto"/>
          <w:sz w:val="24"/>
          <w:szCs w:val="24"/>
          <w:highlight w:val="none"/>
        </w:rPr>
      </w:pPr>
      <w:r>
        <w:rPr>
          <w:rFonts w:hint="eastAsia" w:ascii="宋体" w:hAnsi="宋体"/>
          <w:bCs/>
          <w:color w:val="auto"/>
          <w:sz w:val="24"/>
          <w:szCs w:val="24"/>
          <w:highlight w:val="none"/>
        </w:rPr>
        <w:t xml:space="preserve">    </w:t>
      </w:r>
      <w:r>
        <w:rPr>
          <w:rFonts w:ascii="宋体" w:hAnsi="宋体"/>
          <w:bCs/>
          <w:color w:val="auto"/>
          <w:sz w:val="24"/>
          <w:szCs w:val="24"/>
          <w:highlight w:val="none"/>
        </w:rPr>
        <w:t xml:space="preserve">（二） </w:t>
      </w:r>
      <w:r>
        <w:rPr>
          <w:rFonts w:hint="eastAsia" w:ascii="宋体" w:hAnsi="宋体"/>
          <w:bCs/>
          <w:color w:val="auto"/>
          <w:sz w:val="24"/>
          <w:szCs w:val="24"/>
          <w:highlight w:val="none"/>
        </w:rPr>
        <w:t>技术要求</w:t>
      </w:r>
    </w:p>
    <w:p>
      <w:pPr>
        <w:rPr>
          <w:rFonts w:ascii="宋体" w:hAnsi="宋体"/>
          <w:bCs/>
          <w:color w:val="auto"/>
          <w:sz w:val="24"/>
          <w:szCs w:val="24"/>
          <w:highlight w:val="none"/>
        </w:rPr>
      </w:pPr>
      <w:r>
        <w:rPr>
          <w:rFonts w:hint="eastAsia" w:ascii="宋体" w:hAnsi="宋体"/>
          <w:bCs/>
          <w:color w:val="auto"/>
          <w:sz w:val="24"/>
          <w:szCs w:val="24"/>
          <w:highlight w:val="none"/>
        </w:rPr>
        <w:t>1、服务内容：发布项目公告、编制招标文件，</w:t>
      </w:r>
      <w:r>
        <w:rPr>
          <w:rFonts w:hint="eastAsia" w:ascii="宋体" w:hAnsi="宋体"/>
          <w:bCs/>
          <w:color w:val="auto"/>
          <w:sz w:val="24"/>
          <w:szCs w:val="24"/>
          <w:highlight w:val="none"/>
          <w:lang w:eastAsia="zh-CN"/>
        </w:rPr>
        <w:t>招标控制价，</w:t>
      </w:r>
      <w:r>
        <w:rPr>
          <w:rFonts w:hint="eastAsia" w:ascii="宋体" w:hAnsi="宋体"/>
          <w:bCs/>
          <w:color w:val="auto"/>
          <w:sz w:val="24"/>
          <w:szCs w:val="24"/>
          <w:highlight w:val="none"/>
        </w:rPr>
        <w:t>参与重大项目的招标文件会审，审查参选人资格，组织采购前期咨询、开标、评标等活动，处理招投标过程中的质疑，需要配合与采购活动相关的其他业务。</w:t>
      </w:r>
    </w:p>
    <w:p>
      <w:pPr>
        <w:rPr>
          <w:rFonts w:ascii="宋体" w:hAnsi="宋体"/>
          <w:bCs/>
          <w:color w:val="auto"/>
          <w:sz w:val="24"/>
          <w:szCs w:val="24"/>
          <w:highlight w:val="none"/>
        </w:rPr>
      </w:pPr>
      <w:r>
        <w:rPr>
          <w:rFonts w:hint="eastAsia" w:ascii="宋体" w:hAnsi="宋体"/>
          <w:bCs/>
          <w:color w:val="auto"/>
          <w:sz w:val="24"/>
          <w:szCs w:val="24"/>
          <w:highlight w:val="none"/>
        </w:rPr>
        <w:t>2、业务能力要求</w:t>
      </w:r>
    </w:p>
    <w:p>
      <w:pPr>
        <w:rPr>
          <w:rFonts w:ascii="宋体" w:hAnsi="宋体"/>
          <w:bCs/>
          <w:color w:val="auto"/>
          <w:sz w:val="24"/>
          <w:szCs w:val="24"/>
          <w:highlight w:val="none"/>
        </w:rPr>
      </w:pPr>
      <w:r>
        <w:rPr>
          <w:rFonts w:ascii="宋体" w:hAnsi="宋体"/>
          <w:bCs/>
          <w:color w:val="auto"/>
          <w:sz w:val="24"/>
          <w:szCs w:val="24"/>
          <w:highlight w:val="none"/>
        </w:rPr>
        <w:t>（</w:t>
      </w:r>
      <w:r>
        <w:rPr>
          <w:rFonts w:hint="eastAsia" w:ascii="宋体" w:hAnsi="宋体"/>
          <w:bCs/>
          <w:color w:val="auto"/>
          <w:sz w:val="24"/>
          <w:szCs w:val="24"/>
          <w:highlight w:val="none"/>
        </w:rPr>
        <w:t>1</w:t>
      </w:r>
      <w:r>
        <w:rPr>
          <w:rFonts w:ascii="宋体" w:hAnsi="宋体"/>
          <w:bCs/>
          <w:color w:val="auto"/>
          <w:sz w:val="24"/>
          <w:szCs w:val="24"/>
          <w:highlight w:val="none"/>
        </w:rPr>
        <w:t>）</w:t>
      </w:r>
      <w:r>
        <w:rPr>
          <w:rFonts w:hint="eastAsia" w:ascii="宋体" w:hAnsi="宋体"/>
          <w:bCs/>
          <w:color w:val="auto"/>
          <w:sz w:val="24"/>
          <w:szCs w:val="24"/>
          <w:highlight w:val="none"/>
        </w:rPr>
        <w:t>熟悉招投标法律法规和操作流程，具备良好的依法招标能力，保障公开、公平、公正。</w:t>
      </w:r>
    </w:p>
    <w:p>
      <w:pPr>
        <w:rPr>
          <w:rFonts w:ascii="宋体" w:hAnsi="宋体"/>
          <w:bCs/>
          <w:color w:val="auto"/>
          <w:sz w:val="24"/>
          <w:szCs w:val="24"/>
          <w:highlight w:val="none"/>
        </w:rPr>
      </w:pPr>
      <w:r>
        <w:rPr>
          <w:rFonts w:hint="eastAsia" w:ascii="宋体" w:hAnsi="宋体"/>
          <w:bCs/>
          <w:color w:val="auto"/>
          <w:sz w:val="24"/>
          <w:szCs w:val="24"/>
          <w:highlight w:val="none"/>
        </w:rPr>
        <w:t>（2）具有起草招标公告、编制</w:t>
      </w:r>
      <w:r>
        <w:rPr>
          <w:rFonts w:hint="eastAsia" w:ascii="宋体" w:hAnsi="宋体"/>
          <w:bCs/>
          <w:color w:val="auto"/>
          <w:sz w:val="24"/>
          <w:szCs w:val="24"/>
          <w:highlight w:val="none"/>
          <w:lang w:eastAsia="zh-CN"/>
        </w:rPr>
        <w:t>招标控制价和编制</w:t>
      </w:r>
      <w:r>
        <w:rPr>
          <w:rFonts w:hint="eastAsia" w:ascii="宋体" w:hAnsi="宋体"/>
          <w:bCs/>
          <w:color w:val="auto"/>
          <w:sz w:val="24"/>
          <w:szCs w:val="24"/>
          <w:highlight w:val="none"/>
        </w:rPr>
        <w:t>招标文件的能力。</w:t>
      </w:r>
    </w:p>
    <w:p>
      <w:pPr>
        <w:ind w:right="-315" w:rightChars="-150"/>
        <w:rPr>
          <w:rFonts w:ascii="宋体" w:hAnsi="宋体"/>
          <w:bCs/>
          <w:color w:val="auto"/>
          <w:sz w:val="24"/>
          <w:szCs w:val="24"/>
          <w:highlight w:val="none"/>
        </w:rPr>
      </w:pPr>
      <w:r>
        <w:rPr>
          <w:rFonts w:hint="eastAsia" w:ascii="宋体" w:hAnsi="宋体"/>
          <w:bCs/>
          <w:color w:val="auto"/>
          <w:sz w:val="24"/>
          <w:szCs w:val="24"/>
          <w:highlight w:val="none"/>
        </w:rPr>
        <w:t>（3）能够妥善处理采购活动过程中出现的各种问题，能有效地保障</w:t>
      </w:r>
      <w:r>
        <w:rPr>
          <w:rFonts w:hint="eastAsia" w:ascii="宋体" w:hAnsi="宋体"/>
          <w:bCs/>
          <w:color w:val="auto"/>
          <w:sz w:val="24"/>
          <w:szCs w:val="24"/>
          <w:highlight w:val="none"/>
          <w:lang w:eastAsia="zh-CN"/>
        </w:rPr>
        <w:t>赣州银行股份有限公司</w:t>
      </w:r>
      <w:r>
        <w:rPr>
          <w:rFonts w:hint="eastAsia" w:ascii="宋体" w:hAnsi="宋体"/>
          <w:bCs/>
          <w:color w:val="auto"/>
          <w:sz w:val="24"/>
          <w:szCs w:val="24"/>
          <w:highlight w:val="none"/>
        </w:rPr>
        <w:t>的合法权益和经济利益。</w:t>
      </w:r>
    </w:p>
    <w:p>
      <w:pPr>
        <w:rPr>
          <w:rFonts w:ascii="宋体" w:hAnsi="宋体"/>
          <w:bCs/>
          <w:color w:val="auto"/>
          <w:sz w:val="24"/>
          <w:szCs w:val="24"/>
          <w:highlight w:val="none"/>
        </w:rPr>
      </w:pPr>
      <w:r>
        <w:rPr>
          <w:rFonts w:hint="eastAsia" w:ascii="宋体" w:hAnsi="宋体"/>
          <w:bCs/>
          <w:color w:val="auto"/>
          <w:sz w:val="24"/>
          <w:szCs w:val="24"/>
          <w:highlight w:val="none"/>
        </w:rPr>
        <w:t>（4）能够较好的完成主持开标、评标、定标工作。</w:t>
      </w:r>
    </w:p>
    <w:p>
      <w:pPr>
        <w:rPr>
          <w:rFonts w:ascii="宋体" w:hAnsi="宋体"/>
          <w:bCs/>
          <w:color w:val="auto"/>
          <w:sz w:val="24"/>
          <w:szCs w:val="24"/>
          <w:highlight w:val="none"/>
        </w:rPr>
      </w:pPr>
      <w:r>
        <w:rPr>
          <w:rFonts w:hint="eastAsia" w:ascii="宋体" w:hAnsi="宋体"/>
          <w:bCs/>
          <w:color w:val="auto"/>
          <w:sz w:val="24"/>
          <w:szCs w:val="24"/>
          <w:highlight w:val="none"/>
        </w:rPr>
        <w:t>3、服务质量要求</w:t>
      </w:r>
    </w:p>
    <w:p>
      <w:pPr>
        <w:rPr>
          <w:rFonts w:ascii="宋体" w:hAnsi="宋体"/>
          <w:bCs/>
          <w:color w:val="auto"/>
          <w:sz w:val="24"/>
          <w:szCs w:val="24"/>
          <w:highlight w:val="none"/>
        </w:rPr>
      </w:pPr>
      <w:r>
        <w:rPr>
          <w:rFonts w:hint="eastAsia" w:ascii="宋体" w:hAnsi="宋体"/>
          <w:bCs/>
          <w:color w:val="auto"/>
          <w:sz w:val="24"/>
          <w:szCs w:val="24"/>
          <w:highlight w:val="none"/>
        </w:rPr>
        <w:t>（1）工作严谨、认真、时效性强，工作效率高。</w:t>
      </w:r>
    </w:p>
    <w:p>
      <w:pPr>
        <w:rPr>
          <w:rFonts w:ascii="宋体" w:hAnsi="宋体"/>
          <w:bCs/>
          <w:color w:val="auto"/>
          <w:sz w:val="24"/>
          <w:szCs w:val="24"/>
          <w:highlight w:val="none"/>
        </w:rPr>
      </w:pPr>
      <w:r>
        <w:rPr>
          <w:rFonts w:hint="eastAsia" w:ascii="宋体" w:hAnsi="宋体"/>
          <w:bCs/>
          <w:color w:val="auto"/>
          <w:sz w:val="24"/>
          <w:szCs w:val="24"/>
          <w:highlight w:val="none"/>
        </w:rPr>
        <w:t>（2）能依法依规实现采购人的设计思想和效果。</w:t>
      </w:r>
    </w:p>
    <w:p>
      <w:pPr>
        <w:rPr>
          <w:rFonts w:ascii="宋体" w:hAnsi="宋体"/>
          <w:bCs/>
          <w:color w:val="auto"/>
          <w:sz w:val="24"/>
          <w:szCs w:val="24"/>
          <w:highlight w:val="none"/>
        </w:rPr>
      </w:pPr>
      <w:r>
        <w:rPr>
          <w:rFonts w:hint="eastAsia" w:ascii="宋体" w:hAnsi="宋体"/>
          <w:bCs/>
          <w:color w:val="auto"/>
          <w:sz w:val="24"/>
          <w:szCs w:val="24"/>
          <w:highlight w:val="none"/>
        </w:rPr>
        <w:t>（3）工作积极主动，密切配合采购人，按照招投标法律法规要求编制招标文件，依法依规妥善处理代理采购过程中出现的各种问题。</w:t>
      </w:r>
    </w:p>
    <w:p>
      <w:pPr>
        <w:rPr>
          <w:rFonts w:ascii="宋体" w:hAnsi="宋体"/>
          <w:bCs/>
          <w:color w:val="auto"/>
          <w:sz w:val="24"/>
          <w:szCs w:val="24"/>
          <w:highlight w:val="none"/>
        </w:rPr>
      </w:pPr>
      <w:r>
        <w:rPr>
          <w:rFonts w:hint="eastAsia" w:ascii="宋体" w:hAnsi="宋体"/>
          <w:bCs/>
          <w:color w:val="auto"/>
          <w:sz w:val="24"/>
          <w:szCs w:val="24"/>
          <w:highlight w:val="none"/>
        </w:rPr>
        <w:t>（4）招标结束后，按要求向采购人提交有关采购文件归档资料。</w:t>
      </w:r>
    </w:p>
    <w:p>
      <w:pPr>
        <w:rPr>
          <w:rFonts w:ascii="宋体" w:hAnsi="宋体"/>
          <w:color w:val="auto"/>
          <w:sz w:val="24"/>
          <w:szCs w:val="24"/>
          <w:highlight w:val="none"/>
        </w:rPr>
      </w:pPr>
      <w:r>
        <w:rPr>
          <w:rFonts w:hint="eastAsia" w:ascii="宋体" w:hAnsi="宋体"/>
          <w:color w:val="auto"/>
          <w:sz w:val="24"/>
          <w:szCs w:val="24"/>
          <w:highlight w:val="none"/>
        </w:rPr>
        <w:t>注：1、以上要求为必须满足项，否则作无效投标处理。</w:t>
      </w:r>
    </w:p>
    <w:p>
      <w:pPr>
        <w:rPr>
          <w:rFonts w:ascii="宋体" w:hAnsi="宋体"/>
          <w:bCs/>
          <w:color w:val="auto"/>
          <w:sz w:val="24"/>
          <w:szCs w:val="24"/>
          <w:highlight w:val="none"/>
        </w:rPr>
      </w:pPr>
    </w:p>
    <w:p>
      <w:pPr>
        <w:rPr>
          <w:rFonts w:ascii="宋体" w:hAnsi="宋体"/>
          <w:b/>
          <w:color w:val="auto"/>
          <w:sz w:val="24"/>
          <w:szCs w:val="24"/>
          <w:highlight w:val="none"/>
        </w:rPr>
      </w:pPr>
      <w:r>
        <w:rPr>
          <w:rFonts w:hint="eastAsia" w:ascii="宋体" w:hAnsi="宋体"/>
          <w:b/>
          <w:color w:val="auto"/>
          <w:sz w:val="24"/>
          <w:szCs w:val="24"/>
          <w:highlight w:val="none"/>
        </w:rPr>
        <w:t>三、遴选</w:t>
      </w:r>
    </w:p>
    <w:p>
      <w:pPr>
        <w:spacing w:line="276" w:lineRule="auto"/>
        <w:ind w:firstLine="480" w:firstLineChars="200"/>
        <w:rPr>
          <w:rFonts w:ascii="宋体" w:hAnsi="宋体"/>
          <w:color w:val="auto"/>
          <w:sz w:val="24"/>
          <w:highlight w:val="none"/>
        </w:rPr>
      </w:pPr>
      <w:r>
        <w:rPr>
          <w:rFonts w:hint="eastAsia" w:ascii="宋体" w:hAnsi="宋体"/>
          <w:color w:val="auto"/>
          <w:sz w:val="24"/>
          <w:highlight w:val="none"/>
        </w:rPr>
        <w:t>（一）资格审查。</w:t>
      </w:r>
    </w:p>
    <w:p>
      <w:pPr>
        <w:spacing w:line="276" w:lineRule="auto"/>
        <w:ind w:firstLine="480" w:firstLineChars="200"/>
        <w:rPr>
          <w:rFonts w:ascii="宋体" w:hAnsi="宋体"/>
          <w:color w:val="auto"/>
          <w:sz w:val="24"/>
          <w:highlight w:val="none"/>
        </w:rPr>
      </w:pPr>
      <w:r>
        <w:rPr>
          <w:rFonts w:hint="eastAsia" w:ascii="宋体" w:hAnsi="宋体"/>
          <w:color w:val="auto"/>
          <w:sz w:val="24"/>
          <w:highlight w:val="none"/>
        </w:rPr>
        <w:t>1、检查证件。对照代理机构递交的文件袋封面标注的内容（</w:t>
      </w:r>
      <w:r>
        <w:rPr>
          <w:rFonts w:hint="eastAsia" w:ascii="宋体" w:hAnsi="宋体"/>
          <w:color w:val="auto"/>
          <w:sz w:val="24"/>
          <w:szCs w:val="24"/>
          <w:highlight w:val="none"/>
        </w:rPr>
        <w:t>法定代表人或委托代理人名称</w:t>
      </w:r>
      <w:r>
        <w:rPr>
          <w:rFonts w:hint="eastAsia" w:ascii="宋体" w:hAnsi="宋体"/>
          <w:color w:val="auto"/>
          <w:sz w:val="24"/>
          <w:highlight w:val="none"/>
        </w:rPr>
        <w:t>），当场查验申请书递交人（</w:t>
      </w:r>
      <w:r>
        <w:rPr>
          <w:rFonts w:hint="eastAsia" w:ascii="宋体" w:hAnsi="宋体"/>
          <w:color w:val="auto"/>
          <w:sz w:val="24"/>
          <w:szCs w:val="24"/>
          <w:highlight w:val="none"/>
        </w:rPr>
        <w:t>法定代表人或委托代理人）</w:t>
      </w:r>
      <w:r>
        <w:rPr>
          <w:rFonts w:hint="eastAsia" w:ascii="宋体" w:hAnsi="宋体"/>
          <w:color w:val="auto"/>
          <w:sz w:val="24"/>
          <w:highlight w:val="none"/>
        </w:rPr>
        <w:t>的身份证原件。</w:t>
      </w:r>
    </w:p>
    <w:p>
      <w:pPr>
        <w:spacing w:line="276" w:lineRule="auto"/>
        <w:ind w:firstLine="480" w:firstLineChars="200"/>
        <w:rPr>
          <w:rFonts w:ascii="宋体" w:hAnsi="宋体"/>
          <w:color w:val="auto"/>
          <w:sz w:val="24"/>
          <w:highlight w:val="none"/>
        </w:rPr>
      </w:pPr>
      <w:r>
        <w:rPr>
          <w:rFonts w:hint="eastAsia" w:ascii="宋体" w:hAnsi="宋体"/>
          <w:color w:val="auto"/>
          <w:sz w:val="24"/>
          <w:highlight w:val="none"/>
        </w:rPr>
        <w:t>2、检查响应文件袋。文件袋未按要求签章的，视为无效申请。</w:t>
      </w:r>
    </w:p>
    <w:p>
      <w:pPr>
        <w:spacing w:line="276" w:lineRule="auto"/>
        <w:ind w:firstLine="480" w:firstLineChars="200"/>
        <w:rPr>
          <w:rFonts w:ascii="宋体" w:hAnsi="宋体"/>
          <w:color w:val="auto"/>
          <w:sz w:val="24"/>
          <w:highlight w:val="none"/>
        </w:rPr>
      </w:pPr>
      <w:r>
        <w:rPr>
          <w:rFonts w:hint="eastAsia" w:ascii="宋体" w:hAnsi="宋体"/>
          <w:color w:val="auto"/>
          <w:sz w:val="24"/>
          <w:highlight w:val="none"/>
        </w:rPr>
        <w:t>3、对照第一章“遴选公告”第二条“代理机构应具备的资格条件”进行资格审查。代理机构未按要求提供有效资质或证明材料，或资质证明文件不全，或不具备规定的资格要求的，均以无效申请处理。</w:t>
      </w:r>
    </w:p>
    <w:p>
      <w:pPr>
        <w:spacing w:line="276" w:lineRule="auto"/>
        <w:ind w:firstLine="480" w:firstLineChars="200"/>
        <w:rPr>
          <w:rFonts w:ascii="宋体" w:hAnsi="宋体"/>
          <w:color w:val="auto"/>
          <w:sz w:val="24"/>
          <w:highlight w:val="none"/>
        </w:rPr>
      </w:pPr>
      <w:r>
        <w:rPr>
          <w:rFonts w:hint="eastAsia" w:ascii="宋体" w:hAnsi="宋体"/>
          <w:color w:val="auto"/>
          <w:sz w:val="24"/>
          <w:highlight w:val="none"/>
        </w:rPr>
        <w:t>4、资格审查合格的，才有资格进入下一步的遴选程序。</w:t>
      </w:r>
    </w:p>
    <w:p>
      <w:pPr>
        <w:spacing w:line="276" w:lineRule="auto"/>
        <w:ind w:firstLine="470" w:firstLineChars="196"/>
        <w:rPr>
          <w:rFonts w:ascii="宋体" w:hAnsi="宋体"/>
          <w:color w:val="auto"/>
          <w:sz w:val="24"/>
          <w:highlight w:val="none"/>
        </w:rPr>
      </w:pPr>
      <w:r>
        <w:rPr>
          <w:rFonts w:hint="eastAsia" w:ascii="宋体" w:hAnsi="宋体"/>
          <w:color w:val="auto"/>
          <w:sz w:val="24"/>
          <w:highlight w:val="none"/>
        </w:rPr>
        <w:t>（二）依据遴选文件规定，遴选小组对经资格审查合格的社会采购代理机构递交的申请文件的有效性、完整性和对遴选文件的响应程度、有无错误等进行检查，以确定是否对遴选文件的实质性要求作出响应，剔除无效申请文件。</w:t>
      </w:r>
    </w:p>
    <w:p>
      <w:pPr>
        <w:spacing w:line="276" w:lineRule="auto"/>
        <w:ind w:firstLine="480" w:firstLineChars="200"/>
        <w:rPr>
          <w:rFonts w:ascii="宋体" w:hAnsi="宋体"/>
          <w:color w:val="auto"/>
          <w:sz w:val="24"/>
          <w:szCs w:val="24"/>
          <w:highlight w:val="none"/>
        </w:rPr>
      </w:pPr>
      <w:r>
        <w:rPr>
          <w:rFonts w:hint="eastAsia" w:ascii="宋体" w:hAnsi="宋体"/>
          <w:color w:val="auto"/>
          <w:sz w:val="24"/>
          <w:highlight w:val="none"/>
        </w:rPr>
        <w:t>（三）</w:t>
      </w:r>
      <w:r>
        <w:rPr>
          <w:rFonts w:hint="eastAsia" w:ascii="宋体" w:hAnsi="宋体"/>
          <w:color w:val="auto"/>
          <w:sz w:val="24"/>
          <w:szCs w:val="24"/>
          <w:highlight w:val="none"/>
        </w:rPr>
        <w:t>申请书未对本遴选文件作实质性响应，或出现下列情况之一的，按无效申请处理：</w:t>
      </w:r>
    </w:p>
    <w:p>
      <w:pPr>
        <w:spacing w:line="276"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1、申请书没有法定代表人签字或委托代理人没有法定代表人签署委托授权书的。</w:t>
      </w:r>
    </w:p>
    <w:p>
      <w:pPr>
        <w:spacing w:line="276"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2、申请书正本未用不褪色的墨水书写或打印的。</w:t>
      </w:r>
    </w:p>
    <w:p>
      <w:pPr>
        <w:spacing w:line="276"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3、申请书修改处没有法定代表人或委托代理人签名并加盖公章的。</w:t>
      </w:r>
    </w:p>
    <w:p>
      <w:pPr>
        <w:spacing w:line="276" w:lineRule="auto"/>
        <w:ind w:firstLine="480" w:firstLineChars="200"/>
        <w:rPr>
          <w:rFonts w:ascii="宋体" w:hAnsi="宋体"/>
          <w:color w:val="auto"/>
          <w:sz w:val="24"/>
          <w:highlight w:val="none"/>
        </w:rPr>
      </w:pPr>
      <w:r>
        <w:rPr>
          <w:rFonts w:hint="eastAsia" w:ascii="宋体" w:hAnsi="宋体"/>
          <w:color w:val="auto"/>
          <w:sz w:val="24"/>
          <w:szCs w:val="24"/>
          <w:highlight w:val="none"/>
        </w:rPr>
        <w:t>4、响应文件袋封</w:t>
      </w:r>
      <w:r>
        <w:rPr>
          <w:rFonts w:hint="eastAsia" w:ascii="宋体" w:hAnsi="宋体"/>
          <w:color w:val="auto"/>
          <w:sz w:val="24"/>
          <w:highlight w:val="none"/>
        </w:rPr>
        <w:t>贴处没有按要求密封签章的。</w:t>
      </w:r>
    </w:p>
    <w:p>
      <w:pPr>
        <w:spacing w:line="276" w:lineRule="auto"/>
        <w:ind w:firstLine="480" w:firstLineChars="200"/>
        <w:rPr>
          <w:rFonts w:ascii="宋体" w:hAnsi="宋体"/>
          <w:color w:val="auto"/>
          <w:sz w:val="24"/>
          <w:highlight w:val="none"/>
        </w:rPr>
      </w:pPr>
      <w:r>
        <w:rPr>
          <w:rFonts w:hint="eastAsia" w:ascii="宋体" w:hAnsi="宋体"/>
          <w:color w:val="auto"/>
          <w:sz w:val="24"/>
          <w:highlight w:val="none"/>
        </w:rPr>
        <w:t>5、申请书编制不符合本遴选文件要求，或字迹潦草、表达不清的。</w:t>
      </w:r>
    </w:p>
    <w:p>
      <w:pPr>
        <w:spacing w:line="276" w:lineRule="auto"/>
        <w:ind w:firstLine="480" w:firstLineChars="200"/>
        <w:rPr>
          <w:rFonts w:ascii="宋体" w:hAnsi="宋体"/>
          <w:color w:val="auto"/>
          <w:sz w:val="24"/>
          <w:highlight w:val="none"/>
        </w:rPr>
      </w:pPr>
      <w:r>
        <w:rPr>
          <w:rFonts w:hint="eastAsia" w:ascii="宋体" w:hAnsi="宋体"/>
          <w:color w:val="auto"/>
          <w:sz w:val="24"/>
          <w:highlight w:val="none"/>
        </w:rPr>
        <w:t>6、提交的申请内容不真实，或超出其经营范围，或出现其他违反国家法律、法规行为的。</w:t>
      </w:r>
    </w:p>
    <w:p>
      <w:pPr>
        <w:spacing w:line="276" w:lineRule="auto"/>
        <w:ind w:firstLine="480" w:firstLineChars="200"/>
        <w:rPr>
          <w:rFonts w:ascii="宋体" w:hAnsi="宋体"/>
          <w:color w:val="auto"/>
          <w:sz w:val="24"/>
          <w:highlight w:val="none"/>
        </w:rPr>
      </w:pPr>
      <w:r>
        <w:rPr>
          <w:rFonts w:hint="eastAsia" w:ascii="宋体" w:hAnsi="宋体"/>
          <w:color w:val="auto"/>
          <w:sz w:val="24"/>
          <w:highlight w:val="none"/>
        </w:rPr>
        <w:t>7、本遴选文件规定的其他视为无效的情况。</w:t>
      </w:r>
    </w:p>
    <w:p>
      <w:pPr>
        <w:spacing w:line="276" w:lineRule="auto"/>
        <w:ind w:firstLine="470" w:firstLineChars="196"/>
        <w:rPr>
          <w:rFonts w:ascii="宋体" w:hAnsi="宋体"/>
          <w:color w:val="auto"/>
          <w:sz w:val="24"/>
          <w:highlight w:val="none"/>
        </w:rPr>
      </w:pPr>
      <w:r>
        <w:rPr>
          <w:rFonts w:hint="eastAsia" w:ascii="宋体" w:hAnsi="宋体"/>
          <w:color w:val="auto"/>
          <w:sz w:val="24"/>
          <w:highlight w:val="none"/>
        </w:rPr>
        <w:t>（五）根据本条第六款 “评分办法和标准”审查社会代理机构提供的所有材料，采用综合评分法进行综合评分，按照评审得分由高到低顺序推荐采购代理机构</w:t>
      </w:r>
      <w:r>
        <w:rPr>
          <w:rFonts w:hint="eastAsia" w:ascii="宋体" w:hAnsi="宋体"/>
          <w:color w:val="auto"/>
          <w:sz w:val="24"/>
          <w:highlight w:val="none"/>
          <w:lang w:val="en-US" w:eastAsia="zh-CN"/>
        </w:rPr>
        <w:t>2</w:t>
      </w:r>
      <w:r>
        <w:rPr>
          <w:rFonts w:hint="eastAsia" w:ascii="宋体" w:hAnsi="宋体"/>
          <w:color w:val="auto"/>
          <w:sz w:val="24"/>
          <w:highlight w:val="none"/>
        </w:rPr>
        <w:t>家作为预中选人。评审得分相同的，采用随机抽取方式现场确定排名顺序。</w:t>
      </w:r>
    </w:p>
    <w:p>
      <w:pPr>
        <w:jc w:val="center"/>
        <w:rPr>
          <w:rFonts w:ascii="宋体" w:hAnsi="宋体"/>
          <w:b/>
          <w:color w:val="auto"/>
          <w:sz w:val="32"/>
          <w:szCs w:val="32"/>
          <w:highlight w:val="none"/>
        </w:rPr>
      </w:pPr>
    </w:p>
    <w:p>
      <w:pPr>
        <w:jc w:val="center"/>
        <w:rPr>
          <w:rFonts w:ascii="宋体" w:hAnsi="宋体"/>
          <w:b/>
          <w:color w:val="auto"/>
          <w:sz w:val="32"/>
          <w:szCs w:val="32"/>
          <w:highlight w:val="none"/>
        </w:rPr>
      </w:pPr>
    </w:p>
    <w:p>
      <w:pPr>
        <w:jc w:val="center"/>
        <w:rPr>
          <w:rFonts w:ascii="宋体" w:hAnsi="宋体"/>
          <w:b/>
          <w:color w:val="auto"/>
          <w:sz w:val="32"/>
          <w:szCs w:val="32"/>
          <w:highlight w:val="none"/>
        </w:rPr>
      </w:pPr>
    </w:p>
    <w:p>
      <w:pPr>
        <w:rPr>
          <w:rFonts w:ascii="宋体" w:hAnsi="宋体"/>
          <w:b/>
          <w:color w:val="auto"/>
          <w:sz w:val="32"/>
          <w:szCs w:val="32"/>
          <w:highlight w:val="none"/>
        </w:rPr>
      </w:pPr>
    </w:p>
    <w:tbl>
      <w:tblPr>
        <w:tblStyle w:val="8"/>
        <w:tblW w:w="1020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
        <w:gridCol w:w="1133"/>
        <w:gridCol w:w="7796"/>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559" w:type="dxa"/>
            <w:gridSpan w:val="2"/>
            <w:vAlign w:val="center"/>
          </w:tcPr>
          <w:p>
            <w:pPr>
              <w:jc w:val="center"/>
              <w:rPr>
                <w:rFonts w:ascii="宋体" w:hAnsi="宋体"/>
                <w:b/>
                <w:color w:val="auto"/>
                <w:sz w:val="24"/>
                <w:szCs w:val="28"/>
                <w:highlight w:val="none"/>
              </w:rPr>
            </w:pPr>
            <w:r>
              <w:rPr>
                <w:rFonts w:hint="eastAsia" w:ascii="宋体" w:hAnsi="宋体"/>
                <w:b/>
                <w:color w:val="auto"/>
                <w:sz w:val="24"/>
                <w:szCs w:val="28"/>
                <w:highlight w:val="none"/>
              </w:rPr>
              <w:t>内容</w:t>
            </w:r>
          </w:p>
        </w:tc>
        <w:tc>
          <w:tcPr>
            <w:tcW w:w="7796" w:type="dxa"/>
            <w:vAlign w:val="center"/>
          </w:tcPr>
          <w:p>
            <w:pPr>
              <w:jc w:val="center"/>
              <w:rPr>
                <w:rFonts w:ascii="宋体" w:hAnsi="宋体"/>
                <w:b/>
                <w:color w:val="auto"/>
                <w:sz w:val="24"/>
                <w:szCs w:val="28"/>
                <w:highlight w:val="none"/>
              </w:rPr>
            </w:pPr>
            <w:r>
              <w:rPr>
                <w:rFonts w:hint="eastAsia" w:ascii="宋体" w:hAnsi="宋体"/>
                <w:b/>
                <w:color w:val="auto"/>
                <w:sz w:val="24"/>
                <w:szCs w:val="28"/>
                <w:highlight w:val="none"/>
              </w:rPr>
              <w:t>要求</w:t>
            </w:r>
          </w:p>
        </w:tc>
        <w:tc>
          <w:tcPr>
            <w:tcW w:w="851" w:type="dxa"/>
            <w:vAlign w:val="center"/>
          </w:tcPr>
          <w:p>
            <w:pPr>
              <w:jc w:val="center"/>
              <w:rPr>
                <w:rFonts w:ascii="宋体" w:hAnsi="宋体"/>
                <w:b/>
                <w:color w:val="auto"/>
                <w:sz w:val="24"/>
                <w:szCs w:val="28"/>
                <w:highlight w:val="none"/>
              </w:rPr>
            </w:pPr>
            <w:r>
              <w:rPr>
                <w:rFonts w:hint="eastAsia" w:ascii="宋体" w:hAnsi="宋体"/>
                <w:b/>
                <w:color w:val="auto"/>
                <w:sz w:val="24"/>
                <w:szCs w:val="28"/>
                <w:highlight w:val="none"/>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1" w:hRule="atLeast"/>
          <w:jc w:val="center"/>
        </w:trPr>
        <w:tc>
          <w:tcPr>
            <w:tcW w:w="1559" w:type="dxa"/>
            <w:gridSpan w:val="2"/>
            <w:vAlign w:val="center"/>
          </w:tcPr>
          <w:p>
            <w:pPr>
              <w:jc w:val="center"/>
              <w:rPr>
                <w:rFonts w:ascii="宋体" w:hAnsi="宋体"/>
                <w:b/>
                <w:color w:val="auto"/>
                <w:sz w:val="24"/>
                <w:szCs w:val="28"/>
                <w:highlight w:val="none"/>
              </w:rPr>
            </w:pPr>
            <w:r>
              <w:rPr>
                <w:rFonts w:hint="eastAsia" w:ascii="宋体" w:hAnsi="宋体"/>
                <w:b/>
                <w:color w:val="auto"/>
                <w:sz w:val="24"/>
                <w:szCs w:val="28"/>
                <w:highlight w:val="none"/>
              </w:rPr>
              <w:t>投标报价</w:t>
            </w:r>
          </w:p>
        </w:tc>
        <w:tc>
          <w:tcPr>
            <w:tcW w:w="7796" w:type="dxa"/>
            <w:vAlign w:val="center"/>
          </w:tcPr>
          <w:p>
            <w:pPr>
              <w:ind w:firstLine="440" w:firstLineChars="200"/>
              <w:jc w:val="left"/>
              <w:rPr>
                <w:rFonts w:ascii="宋体" w:hAnsi="宋体"/>
                <w:color w:val="auto"/>
                <w:sz w:val="24"/>
                <w:szCs w:val="28"/>
                <w:highlight w:val="none"/>
              </w:rPr>
            </w:pPr>
            <w:r>
              <w:rPr>
                <w:rFonts w:hint="eastAsia" w:ascii="宋体" w:hAnsi="宋体"/>
                <w:color w:val="auto"/>
                <w:sz w:val="22"/>
                <w:szCs w:val="28"/>
                <w:highlight w:val="none"/>
              </w:rPr>
              <w:t>投标报价按照从低到高排序，最低报价得</w:t>
            </w:r>
            <w:r>
              <w:rPr>
                <w:rFonts w:hint="eastAsia" w:ascii="宋体" w:hAnsi="宋体"/>
                <w:color w:val="auto"/>
                <w:sz w:val="22"/>
                <w:szCs w:val="28"/>
                <w:highlight w:val="none"/>
                <w:lang w:val="en-US" w:eastAsia="zh-CN"/>
              </w:rPr>
              <w:t>30</w:t>
            </w:r>
            <w:r>
              <w:rPr>
                <w:rFonts w:hint="eastAsia" w:ascii="宋体" w:hAnsi="宋体"/>
                <w:color w:val="auto"/>
                <w:sz w:val="22"/>
                <w:szCs w:val="28"/>
                <w:highlight w:val="none"/>
              </w:rPr>
              <w:t>分，其次得</w:t>
            </w:r>
            <w:r>
              <w:rPr>
                <w:rFonts w:hint="eastAsia" w:ascii="宋体" w:hAnsi="宋体"/>
                <w:color w:val="auto"/>
                <w:sz w:val="22"/>
                <w:szCs w:val="28"/>
                <w:highlight w:val="none"/>
                <w:lang w:val="en-US" w:eastAsia="zh-CN"/>
              </w:rPr>
              <w:t>20</w:t>
            </w:r>
            <w:r>
              <w:rPr>
                <w:rFonts w:hint="eastAsia" w:ascii="宋体" w:hAnsi="宋体"/>
                <w:color w:val="auto"/>
                <w:sz w:val="22"/>
                <w:szCs w:val="28"/>
                <w:highlight w:val="none"/>
              </w:rPr>
              <w:t>分，其余报价均按</w:t>
            </w:r>
            <w:r>
              <w:rPr>
                <w:rFonts w:hint="eastAsia" w:ascii="宋体" w:hAnsi="宋体"/>
                <w:color w:val="auto"/>
                <w:sz w:val="22"/>
                <w:szCs w:val="28"/>
                <w:highlight w:val="none"/>
                <w:lang w:val="en-US" w:eastAsia="zh-CN"/>
              </w:rPr>
              <w:t>10</w:t>
            </w:r>
            <w:r>
              <w:rPr>
                <w:rFonts w:hint="eastAsia" w:ascii="宋体" w:hAnsi="宋体"/>
                <w:color w:val="auto"/>
                <w:sz w:val="22"/>
                <w:szCs w:val="28"/>
                <w:highlight w:val="none"/>
              </w:rPr>
              <w:t>分计取，最终以中标排序前</w:t>
            </w:r>
            <w:r>
              <w:rPr>
                <w:rFonts w:hint="eastAsia" w:ascii="宋体" w:hAnsi="宋体"/>
                <w:color w:val="auto"/>
                <w:sz w:val="22"/>
                <w:szCs w:val="28"/>
                <w:highlight w:val="none"/>
                <w:lang w:eastAsia="zh-CN"/>
              </w:rPr>
              <w:t>二</w:t>
            </w:r>
            <w:r>
              <w:rPr>
                <w:rFonts w:hint="eastAsia" w:ascii="宋体" w:hAnsi="宋体"/>
                <w:color w:val="auto"/>
                <w:sz w:val="22"/>
                <w:szCs w:val="28"/>
                <w:highlight w:val="none"/>
              </w:rPr>
              <w:t>名报价中最低报价作为合同价。</w:t>
            </w:r>
            <w:r>
              <w:rPr>
                <w:rFonts w:hint="eastAsia" w:ascii="宋体" w:hAnsi="宋体"/>
                <w:b/>
                <w:bCs/>
                <w:color w:val="auto"/>
                <w:sz w:val="22"/>
                <w:szCs w:val="28"/>
                <w:highlight w:val="none"/>
                <w:lang w:eastAsia="zh-CN"/>
              </w:rPr>
              <w:t>（注：</w:t>
            </w:r>
            <w:r>
              <w:rPr>
                <w:rFonts w:hint="eastAsia" w:ascii="宋体" w:hAnsi="宋体" w:cs="Arial"/>
                <w:b/>
                <w:bCs/>
                <w:color w:val="auto"/>
                <w:sz w:val="20"/>
                <w:szCs w:val="21"/>
                <w:highlight w:val="none"/>
              </w:rPr>
              <w:t>货物招标</w:t>
            </w:r>
            <w:r>
              <w:rPr>
                <w:rFonts w:hint="eastAsia" w:ascii="宋体" w:hAnsi="宋体" w:cs="Arial"/>
                <w:b/>
                <w:bCs/>
                <w:color w:val="auto"/>
                <w:sz w:val="20"/>
                <w:szCs w:val="21"/>
                <w:highlight w:val="none"/>
                <w:lang w:eastAsia="zh-CN"/>
              </w:rPr>
              <w:t>、</w:t>
            </w:r>
            <w:r>
              <w:rPr>
                <w:rFonts w:hint="eastAsia" w:ascii="宋体" w:hAnsi="宋体" w:cs="Arial"/>
                <w:b/>
                <w:bCs/>
                <w:color w:val="auto"/>
                <w:sz w:val="20"/>
                <w:szCs w:val="21"/>
                <w:highlight w:val="none"/>
              </w:rPr>
              <w:t>服务招标</w:t>
            </w:r>
            <w:r>
              <w:rPr>
                <w:rFonts w:hint="eastAsia" w:ascii="宋体" w:hAnsi="宋体" w:cs="Arial"/>
                <w:b/>
                <w:bCs/>
                <w:color w:val="auto"/>
                <w:sz w:val="20"/>
                <w:szCs w:val="21"/>
                <w:highlight w:val="none"/>
                <w:lang w:eastAsia="zh-CN"/>
              </w:rPr>
              <w:t>、</w:t>
            </w:r>
            <w:r>
              <w:rPr>
                <w:rFonts w:hint="eastAsia" w:ascii="宋体" w:hAnsi="宋体" w:cs="Arial"/>
                <w:b/>
                <w:bCs/>
                <w:color w:val="auto"/>
                <w:sz w:val="20"/>
                <w:szCs w:val="21"/>
                <w:highlight w:val="none"/>
              </w:rPr>
              <w:t>工程招标</w:t>
            </w:r>
            <w:r>
              <w:rPr>
                <w:rFonts w:hint="eastAsia" w:ascii="宋体" w:hAnsi="宋体" w:cs="Arial"/>
                <w:b/>
                <w:bCs/>
                <w:color w:val="auto"/>
                <w:sz w:val="20"/>
                <w:szCs w:val="21"/>
                <w:highlight w:val="none"/>
                <w:lang w:eastAsia="zh-CN"/>
              </w:rPr>
              <w:t>均按统一折扣报价，</w:t>
            </w:r>
            <w:r>
              <w:rPr>
                <w:rFonts w:hint="eastAsia" w:ascii="宋体" w:hAnsi="宋体" w:cs="Arial"/>
                <w:b/>
                <w:bCs/>
                <w:color w:val="auto"/>
                <w:sz w:val="20"/>
                <w:szCs w:val="21"/>
                <w:highlight w:val="none"/>
              </w:rPr>
              <w:t>任何有选择的报价都</w:t>
            </w:r>
            <w:r>
              <w:rPr>
                <w:rFonts w:hint="eastAsia" w:ascii="宋体" w:hAnsi="宋体" w:cs="Arial"/>
                <w:b/>
                <w:bCs/>
                <w:color w:val="auto"/>
                <w:sz w:val="20"/>
                <w:szCs w:val="21"/>
                <w:highlight w:val="none"/>
                <w:lang w:eastAsia="zh-CN"/>
              </w:rPr>
              <w:t>视为无效报价）</w:t>
            </w:r>
          </w:p>
        </w:tc>
        <w:tc>
          <w:tcPr>
            <w:tcW w:w="851" w:type="dxa"/>
            <w:vAlign w:val="center"/>
          </w:tcPr>
          <w:p>
            <w:pPr>
              <w:jc w:val="center"/>
              <w:rPr>
                <w:rFonts w:ascii="宋体" w:hAnsi="宋体"/>
                <w:color w:val="auto"/>
                <w:highlight w:val="none"/>
              </w:rPr>
            </w:pPr>
            <w:r>
              <w:rPr>
                <w:rFonts w:hint="eastAsia" w:ascii="宋体" w:hAnsi="宋体"/>
                <w:color w:val="auto"/>
                <w:highlight w:val="none"/>
                <w:lang w:val="en-US" w:eastAsia="zh-CN"/>
              </w:rPr>
              <w:t>30</w:t>
            </w:r>
            <w:r>
              <w:rPr>
                <w:rFonts w:hint="eastAsia" w:ascii="宋体" w:hAnsi="宋体"/>
                <w:color w:val="auto"/>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6" w:hRule="atLeast"/>
          <w:jc w:val="center"/>
        </w:trPr>
        <w:tc>
          <w:tcPr>
            <w:tcW w:w="1559" w:type="dxa"/>
            <w:gridSpan w:val="2"/>
            <w:vAlign w:val="center"/>
          </w:tcPr>
          <w:p>
            <w:pPr>
              <w:jc w:val="center"/>
              <w:rPr>
                <w:rFonts w:ascii="宋体" w:hAnsi="宋体"/>
                <w:b/>
                <w:color w:val="auto"/>
                <w:highlight w:val="none"/>
              </w:rPr>
            </w:pPr>
            <w:r>
              <w:rPr>
                <w:rFonts w:hint="eastAsia" w:ascii="宋体" w:hAnsi="宋体"/>
                <w:b/>
                <w:color w:val="auto"/>
                <w:highlight w:val="none"/>
              </w:rPr>
              <w:t>综合实力</w:t>
            </w:r>
          </w:p>
        </w:tc>
        <w:tc>
          <w:tcPr>
            <w:tcW w:w="7796" w:type="dxa"/>
            <w:vAlign w:val="center"/>
          </w:tcPr>
          <w:p>
            <w:pPr>
              <w:ind w:firstLine="420" w:firstLineChars="200"/>
              <w:jc w:val="left"/>
              <w:rPr>
                <w:rFonts w:ascii="宋体" w:hAnsi="宋体"/>
                <w:color w:val="auto"/>
                <w:highlight w:val="none"/>
              </w:rPr>
            </w:pPr>
            <w:r>
              <w:rPr>
                <w:rFonts w:hint="eastAsia" w:ascii="宋体" w:hAnsi="宋体"/>
                <w:color w:val="auto"/>
                <w:highlight w:val="none"/>
              </w:rPr>
              <w:t>公司架构（成立时间、部门设置、人员结构）、制度体系（有内部流程控制体系）、行业声誉、社会(政府)资源整合能力等四个方面情况综合评审，每项视情况计0-3 分，计满 12 分为止。</w:t>
            </w:r>
          </w:p>
          <w:p>
            <w:pPr>
              <w:jc w:val="left"/>
              <w:rPr>
                <w:rFonts w:ascii="宋体" w:hAnsi="宋体"/>
                <w:color w:val="auto"/>
                <w:highlight w:val="none"/>
              </w:rPr>
            </w:pPr>
            <w:r>
              <w:rPr>
                <w:rFonts w:hint="eastAsia" w:ascii="宋体" w:hAnsi="宋体"/>
                <w:b/>
                <w:color w:val="auto"/>
                <w:highlight w:val="none"/>
              </w:rPr>
              <w:t>评分依据：</w:t>
            </w:r>
            <w:r>
              <w:rPr>
                <w:rFonts w:hint="eastAsia" w:ascii="宋体" w:hAnsi="宋体"/>
                <w:color w:val="auto"/>
                <w:highlight w:val="none"/>
              </w:rPr>
              <w:t>政府采购代理机构简介(请按以上四个方面提供准确素材,否则可能影响得分。)</w:t>
            </w:r>
          </w:p>
        </w:tc>
        <w:tc>
          <w:tcPr>
            <w:tcW w:w="851" w:type="dxa"/>
            <w:vAlign w:val="center"/>
          </w:tcPr>
          <w:p>
            <w:pPr>
              <w:jc w:val="center"/>
              <w:rPr>
                <w:rFonts w:ascii="宋体" w:hAnsi="宋体"/>
                <w:color w:val="auto"/>
                <w:highlight w:val="none"/>
              </w:rPr>
            </w:pPr>
            <w:r>
              <w:rPr>
                <w:rFonts w:hint="eastAsia" w:ascii="宋体" w:hAnsi="宋体"/>
                <w:color w:val="auto"/>
                <w:highlight w:val="none"/>
              </w:rPr>
              <w:t>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6" w:hRule="atLeast"/>
          <w:jc w:val="center"/>
        </w:trPr>
        <w:tc>
          <w:tcPr>
            <w:tcW w:w="426" w:type="dxa"/>
            <w:vMerge w:val="restart"/>
            <w:vAlign w:val="center"/>
          </w:tcPr>
          <w:p>
            <w:pPr>
              <w:jc w:val="center"/>
              <w:rPr>
                <w:rFonts w:ascii="宋体" w:hAnsi="宋体"/>
                <w:b/>
                <w:color w:val="auto"/>
                <w:highlight w:val="none"/>
              </w:rPr>
            </w:pPr>
            <w:r>
              <w:rPr>
                <w:rFonts w:hint="eastAsia" w:ascii="宋体" w:hAnsi="宋体"/>
                <w:b/>
                <w:color w:val="auto"/>
                <w:highlight w:val="none"/>
              </w:rPr>
              <w:t>代理实力</w:t>
            </w:r>
          </w:p>
        </w:tc>
        <w:tc>
          <w:tcPr>
            <w:tcW w:w="1133" w:type="dxa"/>
            <w:vAlign w:val="center"/>
          </w:tcPr>
          <w:p>
            <w:pPr>
              <w:jc w:val="center"/>
              <w:rPr>
                <w:rFonts w:ascii="宋体" w:hAnsi="宋体"/>
                <w:color w:val="auto"/>
                <w:highlight w:val="none"/>
              </w:rPr>
            </w:pPr>
            <w:r>
              <w:rPr>
                <w:rFonts w:hint="eastAsia" w:ascii="宋体" w:hAnsi="宋体"/>
                <w:color w:val="auto"/>
                <w:highlight w:val="none"/>
              </w:rPr>
              <w:t>具有从业</w:t>
            </w:r>
          </w:p>
          <w:p>
            <w:pPr>
              <w:jc w:val="center"/>
              <w:rPr>
                <w:rFonts w:ascii="宋体" w:hAnsi="宋体"/>
                <w:color w:val="auto"/>
                <w:highlight w:val="none"/>
              </w:rPr>
            </w:pPr>
            <w:r>
              <w:rPr>
                <w:rFonts w:hint="eastAsia" w:ascii="宋体" w:hAnsi="宋体"/>
                <w:color w:val="auto"/>
                <w:highlight w:val="none"/>
              </w:rPr>
              <w:t>资格的专</w:t>
            </w:r>
          </w:p>
          <w:p>
            <w:pPr>
              <w:jc w:val="center"/>
              <w:rPr>
                <w:rFonts w:ascii="宋体" w:hAnsi="宋体"/>
                <w:color w:val="auto"/>
                <w:highlight w:val="none"/>
              </w:rPr>
            </w:pPr>
            <w:r>
              <w:rPr>
                <w:rFonts w:hint="eastAsia" w:ascii="宋体" w:hAnsi="宋体"/>
                <w:color w:val="auto"/>
                <w:highlight w:val="none"/>
              </w:rPr>
              <w:t>职在岗</w:t>
            </w:r>
          </w:p>
          <w:p>
            <w:pPr>
              <w:jc w:val="center"/>
              <w:rPr>
                <w:rFonts w:ascii="宋体" w:hAnsi="宋体"/>
                <w:color w:val="auto"/>
                <w:highlight w:val="none"/>
              </w:rPr>
            </w:pPr>
            <w:r>
              <w:rPr>
                <w:rFonts w:hint="eastAsia" w:ascii="宋体" w:hAnsi="宋体"/>
                <w:color w:val="auto"/>
                <w:highlight w:val="none"/>
              </w:rPr>
              <w:t>人员</w:t>
            </w:r>
          </w:p>
        </w:tc>
        <w:tc>
          <w:tcPr>
            <w:tcW w:w="7796" w:type="dxa"/>
            <w:vAlign w:val="center"/>
          </w:tcPr>
          <w:p>
            <w:pPr>
              <w:jc w:val="left"/>
              <w:rPr>
                <w:rFonts w:ascii="宋体" w:hAnsi="宋体"/>
                <w:color w:val="auto"/>
                <w:highlight w:val="none"/>
              </w:rPr>
            </w:pPr>
            <w:r>
              <w:rPr>
                <w:rFonts w:hint="eastAsia" w:ascii="宋体" w:hAnsi="宋体"/>
                <w:color w:val="auto"/>
                <w:highlight w:val="none"/>
              </w:rPr>
              <w:t>1、公司具备5名（含5名）</w:t>
            </w:r>
            <w:r>
              <w:rPr>
                <w:rFonts w:hint="eastAsia" w:ascii="宋体" w:hAnsi="宋体" w:cs="宋体"/>
                <w:color w:val="auto"/>
                <w:kern w:val="0"/>
                <w:szCs w:val="21"/>
                <w:highlight w:val="none"/>
              </w:rPr>
              <w:t>专职在岗人员</w:t>
            </w:r>
            <w:r>
              <w:rPr>
                <w:rFonts w:hint="eastAsia" w:ascii="宋体" w:hAnsi="宋体"/>
                <w:color w:val="auto"/>
                <w:highlight w:val="none"/>
              </w:rPr>
              <w:t>得6分，否则不得分；每增加 1人加 2 分，最高加 4分，满分10分。</w:t>
            </w:r>
          </w:p>
          <w:p>
            <w:pPr>
              <w:jc w:val="left"/>
              <w:rPr>
                <w:rFonts w:ascii="宋体" w:hAnsi="宋体"/>
                <w:color w:val="auto"/>
                <w:highlight w:val="none"/>
              </w:rPr>
            </w:pPr>
            <w:r>
              <w:rPr>
                <w:rFonts w:hint="eastAsia" w:ascii="宋体" w:hAnsi="宋体"/>
                <w:b/>
                <w:color w:val="auto"/>
                <w:highlight w:val="none"/>
              </w:rPr>
              <w:t>评分依据：</w:t>
            </w:r>
            <w:r>
              <w:rPr>
                <w:rFonts w:hint="eastAsia" w:ascii="宋体" w:hAnsi="宋体"/>
                <w:color w:val="auto"/>
                <w:highlight w:val="none"/>
              </w:rPr>
              <w:t>提供 2</w:t>
            </w:r>
            <w:r>
              <w:rPr>
                <w:rFonts w:hint="eastAsia" w:ascii="宋体" w:hAnsi="宋体"/>
                <w:color w:val="auto"/>
                <w:highlight w:val="none"/>
                <w:lang w:val="en-US" w:eastAsia="zh-CN"/>
              </w:rPr>
              <w:t>020</w:t>
            </w:r>
            <w:r>
              <w:rPr>
                <w:rFonts w:hint="eastAsia" w:ascii="宋体" w:hAnsi="宋体"/>
                <w:color w:val="auto"/>
                <w:highlight w:val="none"/>
              </w:rPr>
              <w:t xml:space="preserve"> 年 12 月 31 日前的政府采购代理机构从业人员培训合格证复印件加盖公章。</w:t>
            </w:r>
          </w:p>
          <w:p>
            <w:pPr>
              <w:jc w:val="left"/>
              <w:rPr>
                <w:rFonts w:ascii="宋体" w:hAnsi="宋体"/>
                <w:color w:val="auto"/>
                <w:highlight w:val="none"/>
              </w:rPr>
            </w:pPr>
            <w:r>
              <w:rPr>
                <w:rFonts w:hint="eastAsia" w:ascii="宋体" w:hAnsi="宋体"/>
                <w:color w:val="auto"/>
                <w:highlight w:val="none"/>
              </w:rPr>
              <w:t>2、专职人员中每具备 1 名从事招标采购代理工作达 2 年（含 2 年）以上的专职人员得 1 分，最多得 2分。</w:t>
            </w:r>
          </w:p>
          <w:p>
            <w:pPr>
              <w:jc w:val="left"/>
              <w:rPr>
                <w:rFonts w:hint="eastAsia" w:ascii="宋体" w:hAnsi="宋体"/>
                <w:color w:val="auto"/>
                <w:highlight w:val="none"/>
              </w:rPr>
            </w:pPr>
            <w:r>
              <w:rPr>
                <w:rFonts w:hint="eastAsia" w:ascii="宋体" w:hAnsi="宋体"/>
                <w:b/>
                <w:color w:val="auto"/>
                <w:highlight w:val="none"/>
              </w:rPr>
              <w:t>评分依据：</w:t>
            </w:r>
            <w:r>
              <w:rPr>
                <w:rFonts w:hint="eastAsia" w:ascii="宋体" w:hAnsi="宋体"/>
                <w:color w:val="auto"/>
                <w:highlight w:val="none"/>
              </w:rPr>
              <w:t>提供专职人员简表、劳动合同及政府采购代理机构从业人员培训合格证的复印件加盖公章。</w:t>
            </w:r>
          </w:p>
          <w:p>
            <w:pPr>
              <w:jc w:val="left"/>
              <w:rPr>
                <w:rFonts w:ascii="宋体" w:hAnsi="宋体"/>
                <w:color w:val="auto"/>
                <w:highlight w:val="none"/>
              </w:rPr>
            </w:pPr>
            <w:r>
              <w:rPr>
                <w:rFonts w:hint="eastAsia" w:ascii="宋体" w:hAnsi="宋体"/>
                <w:color w:val="auto"/>
                <w:highlight w:val="none"/>
                <w:lang w:val="en-US" w:eastAsia="zh-CN"/>
              </w:rPr>
              <w:t>3、</w:t>
            </w:r>
            <w:r>
              <w:rPr>
                <w:rFonts w:hint="eastAsia" w:ascii="宋体" w:hAnsi="宋体"/>
                <w:color w:val="auto"/>
                <w:highlight w:val="none"/>
              </w:rPr>
              <w:t>公司具备</w:t>
            </w:r>
            <w:r>
              <w:rPr>
                <w:rFonts w:hint="eastAsia" w:ascii="宋体" w:hAnsi="宋体"/>
                <w:color w:val="auto"/>
                <w:highlight w:val="none"/>
                <w:lang w:val="en-US" w:eastAsia="zh-CN"/>
              </w:rPr>
              <w:t>3</w:t>
            </w:r>
            <w:r>
              <w:rPr>
                <w:rFonts w:hint="eastAsia" w:ascii="宋体" w:hAnsi="宋体"/>
                <w:color w:val="auto"/>
                <w:highlight w:val="none"/>
              </w:rPr>
              <w:t>名</w:t>
            </w:r>
            <w:r>
              <w:rPr>
                <w:rFonts w:hint="eastAsia" w:ascii="宋体" w:hAnsi="宋体"/>
                <w:color w:val="auto"/>
                <w:highlight w:val="none"/>
                <w:lang w:eastAsia="zh-CN"/>
              </w:rPr>
              <w:t>以上</w:t>
            </w:r>
            <w:r>
              <w:rPr>
                <w:rFonts w:hint="eastAsia" w:ascii="宋体" w:hAnsi="宋体"/>
                <w:color w:val="auto"/>
                <w:highlight w:val="none"/>
              </w:rPr>
              <w:t>（含</w:t>
            </w:r>
            <w:r>
              <w:rPr>
                <w:rFonts w:hint="eastAsia" w:ascii="宋体" w:hAnsi="宋体"/>
                <w:color w:val="auto"/>
                <w:highlight w:val="none"/>
                <w:lang w:val="en-US" w:eastAsia="zh-CN"/>
              </w:rPr>
              <w:t>3</w:t>
            </w:r>
            <w:r>
              <w:rPr>
                <w:rFonts w:hint="eastAsia" w:ascii="宋体" w:hAnsi="宋体"/>
                <w:color w:val="auto"/>
                <w:highlight w:val="none"/>
              </w:rPr>
              <w:t>名）</w:t>
            </w:r>
            <w:r>
              <w:rPr>
                <w:rFonts w:hint="eastAsia" w:ascii="宋体" w:hAnsi="宋体" w:cs="宋体"/>
                <w:color w:val="auto"/>
                <w:kern w:val="0"/>
                <w:szCs w:val="21"/>
                <w:highlight w:val="none"/>
              </w:rPr>
              <w:t>专职</w:t>
            </w:r>
            <w:r>
              <w:rPr>
                <w:rFonts w:hint="eastAsia" w:ascii="宋体" w:hAnsi="宋体" w:cs="宋体"/>
                <w:color w:val="auto"/>
                <w:kern w:val="0"/>
                <w:szCs w:val="21"/>
                <w:highlight w:val="none"/>
                <w:lang w:eastAsia="zh-CN"/>
              </w:rPr>
              <w:t>造价咨询</w:t>
            </w:r>
            <w:r>
              <w:rPr>
                <w:rFonts w:hint="eastAsia" w:ascii="宋体" w:hAnsi="宋体" w:cs="宋体"/>
                <w:color w:val="auto"/>
                <w:kern w:val="0"/>
                <w:szCs w:val="21"/>
                <w:highlight w:val="none"/>
              </w:rPr>
              <w:t>在岗人员</w:t>
            </w:r>
            <w:r>
              <w:rPr>
                <w:rFonts w:hint="eastAsia" w:ascii="宋体" w:hAnsi="宋体"/>
                <w:color w:val="auto"/>
                <w:highlight w:val="none"/>
              </w:rPr>
              <w:t>得</w:t>
            </w:r>
            <w:r>
              <w:rPr>
                <w:rFonts w:hint="eastAsia" w:ascii="宋体" w:hAnsi="宋体"/>
                <w:color w:val="auto"/>
                <w:highlight w:val="none"/>
                <w:lang w:val="en-US" w:eastAsia="zh-CN"/>
              </w:rPr>
              <w:t>3</w:t>
            </w:r>
            <w:r>
              <w:rPr>
                <w:rFonts w:hint="eastAsia" w:ascii="宋体" w:hAnsi="宋体"/>
                <w:color w:val="auto"/>
                <w:highlight w:val="none"/>
              </w:rPr>
              <w:t xml:space="preserve">分，否则不得分；每增加 1人加 </w:t>
            </w:r>
            <w:r>
              <w:rPr>
                <w:rFonts w:hint="eastAsia" w:ascii="宋体" w:hAnsi="宋体"/>
                <w:color w:val="auto"/>
                <w:highlight w:val="none"/>
                <w:lang w:val="en-US" w:eastAsia="zh-CN"/>
              </w:rPr>
              <w:t>1</w:t>
            </w:r>
            <w:r>
              <w:rPr>
                <w:rFonts w:hint="eastAsia" w:ascii="宋体" w:hAnsi="宋体"/>
                <w:color w:val="auto"/>
                <w:highlight w:val="none"/>
              </w:rPr>
              <w:t xml:space="preserve"> 分，最高加</w:t>
            </w:r>
            <w:r>
              <w:rPr>
                <w:rFonts w:hint="eastAsia" w:ascii="宋体" w:hAnsi="宋体"/>
                <w:color w:val="auto"/>
                <w:highlight w:val="none"/>
                <w:lang w:val="en-US" w:eastAsia="zh-CN"/>
              </w:rPr>
              <w:t>2</w:t>
            </w:r>
            <w:r>
              <w:rPr>
                <w:rFonts w:hint="eastAsia" w:ascii="宋体" w:hAnsi="宋体"/>
                <w:color w:val="auto"/>
                <w:highlight w:val="none"/>
              </w:rPr>
              <w:t>分，满分</w:t>
            </w:r>
            <w:r>
              <w:rPr>
                <w:rFonts w:hint="eastAsia" w:ascii="宋体" w:hAnsi="宋体"/>
                <w:color w:val="auto"/>
                <w:highlight w:val="none"/>
                <w:lang w:val="en-US" w:eastAsia="zh-CN"/>
              </w:rPr>
              <w:t>5</w:t>
            </w:r>
            <w:r>
              <w:rPr>
                <w:rFonts w:hint="eastAsia" w:ascii="宋体" w:hAnsi="宋体"/>
                <w:color w:val="auto"/>
                <w:highlight w:val="none"/>
              </w:rPr>
              <w:t>分。</w:t>
            </w:r>
          </w:p>
          <w:p>
            <w:pPr>
              <w:jc w:val="left"/>
              <w:rPr>
                <w:rFonts w:hint="eastAsia" w:ascii="宋体" w:hAnsi="宋体"/>
                <w:color w:val="auto"/>
                <w:highlight w:val="none"/>
              </w:rPr>
            </w:pPr>
            <w:r>
              <w:rPr>
                <w:rFonts w:hint="eastAsia" w:ascii="宋体" w:hAnsi="宋体"/>
                <w:b/>
                <w:color w:val="auto"/>
                <w:highlight w:val="none"/>
              </w:rPr>
              <w:t>评分依据：</w:t>
            </w:r>
            <w:r>
              <w:rPr>
                <w:rFonts w:hint="eastAsia" w:ascii="宋体" w:hAnsi="宋体"/>
                <w:color w:val="auto"/>
                <w:highlight w:val="none"/>
              </w:rPr>
              <w:t>提供专职人员简表、劳动合同及政府采购代理机构从业人员培训合格证的复印件加盖公章。</w:t>
            </w:r>
          </w:p>
          <w:p>
            <w:pPr>
              <w:jc w:val="left"/>
              <w:rPr>
                <w:rFonts w:hint="eastAsia" w:ascii="宋体" w:hAnsi="宋体" w:eastAsia="宋体"/>
                <w:color w:val="auto"/>
                <w:highlight w:val="none"/>
                <w:lang w:val="en-US" w:eastAsia="zh-CN"/>
              </w:rPr>
            </w:pPr>
          </w:p>
        </w:tc>
        <w:tc>
          <w:tcPr>
            <w:tcW w:w="851" w:type="dxa"/>
            <w:vAlign w:val="center"/>
          </w:tcPr>
          <w:p>
            <w:pPr>
              <w:jc w:val="center"/>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7</w:t>
            </w:r>
            <w:r>
              <w:rPr>
                <w:rFonts w:hint="eastAsia" w:ascii="宋体" w:hAnsi="宋体"/>
                <w:color w:val="auto"/>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1" w:hRule="atLeast"/>
          <w:jc w:val="center"/>
        </w:trPr>
        <w:tc>
          <w:tcPr>
            <w:tcW w:w="426" w:type="dxa"/>
            <w:vMerge w:val="continue"/>
            <w:vAlign w:val="center"/>
          </w:tcPr>
          <w:p>
            <w:pPr>
              <w:jc w:val="center"/>
              <w:rPr>
                <w:rFonts w:ascii="宋体" w:hAnsi="宋体"/>
                <w:color w:val="auto"/>
                <w:highlight w:val="none"/>
              </w:rPr>
            </w:pPr>
          </w:p>
        </w:tc>
        <w:tc>
          <w:tcPr>
            <w:tcW w:w="1133" w:type="dxa"/>
            <w:vAlign w:val="center"/>
          </w:tcPr>
          <w:p>
            <w:pPr>
              <w:jc w:val="center"/>
              <w:rPr>
                <w:rFonts w:ascii="宋体" w:hAnsi="宋体"/>
                <w:color w:val="auto"/>
                <w:highlight w:val="none"/>
              </w:rPr>
            </w:pPr>
            <w:r>
              <w:rPr>
                <w:rFonts w:hint="eastAsia" w:ascii="宋体" w:hAnsi="宋体"/>
                <w:color w:val="auto"/>
                <w:highlight w:val="none"/>
              </w:rPr>
              <w:t>业绩</w:t>
            </w:r>
          </w:p>
        </w:tc>
        <w:tc>
          <w:tcPr>
            <w:tcW w:w="7796" w:type="dxa"/>
            <w:vAlign w:val="center"/>
          </w:tcPr>
          <w:p>
            <w:pPr>
              <w:jc w:val="left"/>
              <w:rPr>
                <w:rFonts w:ascii="宋体" w:hAnsi="宋体"/>
                <w:color w:val="auto"/>
                <w:highlight w:val="none"/>
              </w:rPr>
            </w:pPr>
            <w:r>
              <w:rPr>
                <w:rFonts w:hint="eastAsia" w:ascii="宋体" w:hAnsi="宋体"/>
                <w:color w:val="auto"/>
                <w:highlight w:val="none"/>
              </w:rPr>
              <w:t>1、201</w:t>
            </w:r>
            <w:r>
              <w:rPr>
                <w:rFonts w:hint="eastAsia" w:ascii="宋体" w:hAnsi="宋体"/>
                <w:color w:val="auto"/>
                <w:highlight w:val="none"/>
                <w:lang w:val="en-US" w:eastAsia="zh-CN"/>
              </w:rPr>
              <w:t>8</w:t>
            </w:r>
            <w:r>
              <w:rPr>
                <w:rFonts w:hint="eastAsia" w:ascii="宋体" w:hAnsi="宋体"/>
                <w:color w:val="auto"/>
                <w:highlight w:val="none"/>
              </w:rPr>
              <w:t>年 1月 1 日至 20</w:t>
            </w:r>
            <w:r>
              <w:rPr>
                <w:rFonts w:hint="eastAsia" w:ascii="宋体" w:hAnsi="宋体"/>
                <w:color w:val="auto"/>
                <w:highlight w:val="none"/>
                <w:lang w:val="en-US" w:eastAsia="zh-CN"/>
              </w:rPr>
              <w:t>20</w:t>
            </w:r>
            <w:r>
              <w:rPr>
                <w:rFonts w:hint="eastAsia" w:ascii="宋体" w:hAnsi="宋体"/>
                <w:color w:val="auto"/>
                <w:highlight w:val="none"/>
              </w:rPr>
              <w:t xml:space="preserve">年 12月31 日内工程招标或政府采购代理业绩：单笔工程招标或政府采购代理预算 50-200 万（不含）得 2 分；200-500（不含）万元项目得 4 分；单笔工程招标或政府采购代理预算 2000 万元（不含）以上项目得 </w:t>
            </w:r>
            <w:r>
              <w:rPr>
                <w:rFonts w:hint="eastAsia" w:ascii="宋体" w:hAnsi="宋体"/>
                <w:color w:val="auto"/>
                <w:highlight w:val="none"/>
                <w:lang w:val="en-US" w:eastAsia="zh-CN"/>
              </w:rPr>
              <w:t>2</w:t>
            </w:r>
            <w:r>
              <w:rPr>
                <w:rFonts w:hint="eastAsia" w:ascii="宋体" w:hAnsi="宋体"/>
                <w:color w:val="auto"/>
                <w:highlight w:val="none"/>
              </w:rPr>
              <w:t xml:space="preserve"> 分。同一档次预算业绩不累计。</w:t>
            </w:r>
          </w:p>
          <w:p>
            <w:pPr>
              <w:rPr>
                <w:color w:val="auto"/>
                <w:highlight w:val="none"/>
              </w:rPr>
            </w:pPr>
            <w:r>
              <w:rPr>
                <w:rFonts w:hint="eastAsia" w:ascii="宋体" w:hAnsi="宋体"/>
                <w:b/>
                <w:color w:val="auto"/>
                <w:highlight w:val="none"/>
              </w:rPr>
              <w:t>评分依据：</w:t>
            </w:r>
            <w:r>
              <w:rPr>
                <w:rFonts w:hint="eastAsia" w:ascii="宋体" w:hAnsi="宋体"/>
                <w:color w:val="auto"/>
                <w:highlight w:val="none"/>
              </w:rPr>
              <w:t>业绩汇总表、代理合同、省（市/县）公共资源交易网采购公告的网页截图加盖公章，未提供不得分。</w:t>
            </w:r>
          </w:p>
          <w:p>
            <w:pPr>
              <w:jc w:val="left"/>
              <w:rPr>
                <w:rFonts w:ascii="宋体" w:hAnsi="宋体"/>
                <w:color w:val="auto"/>
                <w:highlight w:val="none"/>
              </w:rPr>
            </w:pPr>
            <w:r>
              <w:rPr>
                <w:rFonts w:hint="eastAsia" w:ascii="宋体" w:hAnsi="宋体"/>
                <w:color w:val="auto"/>
                <w:highlight w:val="none"/>
              </w:rPr>
              <w:t>业绩不能重复计分</w:t>
            </w:r>
          </w:p>
          <w:p>
            <w:pPr>
              <w:jc w:val="left"/>
              <w:rPr>
                <w:rFonts w:ascii="宋体" w:hAnsi="宋体"/>
                <w:color w:val="auto"/>
                <w:highlight w:val="none"/>
              </w:rPr>
            </w:pPr>
            <w:r>
              <w:rPr>
                <w:rFonts w:hint="eastAsia" w:ascii="宋体" w:hAnsi="宋体"/>
                <w:color w:val="auto"/>
                <w:highlight w:val="none"/>
              </w:rPr>
              <w:t>2、提供完善的招标代理服务： 提供201</w:t>
            </w:r>
            <w:r>
              <w:rPr>
                <w:rFonts w:hint="eastAsia" w:ascii="宋体" w:hAnsi="宋体"/>
                <w:color w:val="auto"/>
                <w:highlight w:val="none"/>
                <w:lang w:val="en-US" w:eastAsia="zh-CN"/>
              </w:rPr>
              <w:t>8</w:t>
            </w:r>
            <w:r>
              <w:rPr>
                <w:rFonts w:hint="eastAsia" w:ascii="宋体" w:hAnsi="宋体"/>
                <w:color w:val="auto"/>
                <w:highlight w:val="none"/>
              </w:rPr>
              <w:t xml:space="preserve"> 年 1月 1 日至20</w:t>
            </w:r>
            <w:r>
              <w:rPr>
                <w:rFonts w:hint="eastAsia" w:ascii="宋体" w:hAnsi="宋体"/>
                <w:color w:val="auto"/>
                <w:highlight w:val="none"/>
                <w:lang w:val="en-US" w:eastAsia="zh-CN"/>
              </w:rPr>
              <w:t>20</w:t>
            </w:r>
            <w:r>
              <w:rPr>
                <w:rFonts w:hint="eastAsia" w:ascii="宋体" w:hAnsi="宋体"/>
                <w:color w:val="auto"/>
                <w:highlight w:val="none"/>
              </w:rPr>
              <w:t xml:space="preserve"> 年 12月31 日，招标项目业主评价函，证明该公司在履约期间能认真履行合同，不存在欺诈行为，能主动配合行政主管部门的投诉调解、处理工作（格式详见附件），每提供一项计</w:t>
            </w:r>
            <w:r>
              <w:rPr>
                <w:rFonts w:hint="eastAsia" w:ascii="宋体" w:hAnsi="宋体"/>
                <w:color w:val="auto"/>
                <w:highlight w:val="none"/>
                <w:lang w:val="en-US" w:eastAsia="zh-CN"/>
              </w:rPr>
              <w:t>1</w:t>
            </w:r>
            <w:r>
              <w:rPr>
                <w:rFonts w:hint="eastAsia" w:ascii="宋体" w:hAnsi="宋体"/>
                <w:color w:val="auto"/>
                <w:highlight w:val="none"/>
              </w:rPr>
              <w:t>分，满分</w:t>
            </w:r>
            <w:r>
              <w:rPr>
                <w:rFonts w:hint="eastAsia" w:ascii="宋体" w:hAnsi="宋体"/>
                <w:color w:val="auto"/>
                <w:highlight w:val="none"/>
                <w:lang w:val="en-US" w:eastAsia="zh-CN"/>
              </w:rPr>
              <w:t>2</w:t>
            </w:r>
            <w:r>
              <w:rPr>
                <w:rFonts w:hint="eastAsia" w:ascii="宋体" w:hAnsi="宋体"/>
                <w:color w:val="auto"/>
                <w:highlight w:val="none"/>
              </w:rPr>
              <w:t>分。</w:t>
            </w:r>
          </w:p>
          <w:p>
            <w:pPr>
              <w:jc w:val="left"/>
              <w:rPr>
                <w:rFonts w:ascii="宋体" w:hAnsi="宋体"/>
                <w:color w:val="auto"/>
                <w:highlight w:val="none"/>
              </w:rPr>
            </w:pPr>
            <w:r>
              <w:rPr>
                <w:rFonts w:hint="eastAsia" w:ascii="宋体" w:hAnsi="宋体"/>
                <w:b/>
                <w:color w:val="auto"/>
                <w:highlight w:val="none"/>
              </w:rPr>
              <w:t>评审依据：</w:t>
            </w:r>
            <w:r>
              <w:rPr>
                <w:rFonts w:hint="eastAsia" w:ascii="宋体" w:hAnsi="宋体"/>
                <w:color w:val="auto"/>
                <w:highlight w:val="none"/>
              </w:rPr>
              <w:t>提供一项业主评价函（复印件加盖投标单位公章）参与计分，未提供不得分。</w:t>
            </w:r>
          </w:p>
        </w:tc>
        <w:tc>
          <w:tcPr>
            <w:tcW w:w="851" w:type="dxa"/>
            <w:vAlign w:val="center"/>
          </w:tcPr>
          <w:p>
            <w:pPr>
              <w:jc w:val="center"/>
              <w:rPr>
                <w:rFonts w:ascii="宋体" w:hAnsi="宋体"/>
                <w:color w:val="auto"/>
                <w:highlight w:val="none"/>
              </w:rPr>
            </w:pPr>
            <w:r>
              <w:rPr>
                <w:rFonts w:hint="eastAsia" w:ascii="宋体" w:hAnsi="宋体"/>
                <w:color w:val="auto"/>
                <w:highlight w:val="none"/>
                <w:lang w:val="en-US" w:eastAsia="zh-CN"/>
              </w:rPr>
              <w:t>10</w:t>
            </w:r>
            <w:r>
              <w:rPr>
                <w:rFonts w:hint="eastAsia" w:ascii="宋体" w:hAnsi="宋体"/>
                <w:color w:val="auto"/>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1" w:hRule="atLeast"/>
          <w:jc w:val="center"/>
        </w:trPr>
        <w:tc>
          <w:tcPr>
            <w:tcW w:w="426" w:type="dxa"/>
            <w:vMerge w:val="continue"/>
            <w:vAlign w:val="center"/>
          </w:tcPr>
          <w:p>
            <w:pPr>
              <w:rPr>
                <w:rFonts w:ascii="宋体" w:hAnsi="宋体"/>
                <w:color w:val="auto"/>
                <w:highlight w:val="none"/>
              </w:rPr>
            </w:pPr>
          </w:p>
        </w:tc>
        <w:tc>
          <w:tcPr>
            <w:tcW w:w="1133" w:type="dxa"/>
            <w:vAlign w:val="center"/>
          </w:tcPr>
          <w:p>
            <w:pPr>
              <w:jc w:val="center"/>
              <w:rPr>
                <w:rFonts w:ascii="宋体" w:hAnsi="宋体"/>
                <w:color w:val="auto"/>
                <w:highlight w:val="none"/>
              </w:rPr>
            </w:pPr>
            <w:r>
              <w:rPr>
                <w:rFonts w:hint="eastAsia" w:ascii="宋体" w:hAnsi="宋体"/>
                <w:color w:val="auto"/>
                <w:szCs w:val="21"/>
                <w:highlight w:val="none"/>
                <w:lang w:eastAsia="zh-CN"/>
              </w:rPr>
              <w:t>赣州市</w:t>
            </w:r>
            <w:r>
              <w:rPr>
                <w:rFonts w:hint="eastAsia" w:ascii="宋体" w:hAnsi="宋体"/>
                <w:color w:val="auto"/>
                <w:szCs w:val="21"/>
                <w:highlight w:val="none"/>
              </w:rPr>
              <w:t>区经营场地条件</w:t>
            </w:r>
          </w:p>
        </w:tc>
        <w:tc>
          <w:tcPr>
            <w:tcW w:w="7796" w:type="dxa"/>
            <w:vAlign w:val="center"/>
          </w:tcPr>
          <w:p>
            <w:pPr>
              <w:numPr>
                <w:ilvl w:val="0"/>
                <w:numId w:val="1"/>
              </w:numPr>
              <w:jc w:val="left"/>
              <w:rPr>
                <w:rFonts w:ascii="宋体" w:hAnsi="宋体"/>
                <w:color w:val="auto"/>
                <w:highlight w:val="none"/>
              </w:rPr>
            </w:pPr>
            <w:r>
              <w:rPr>
                <w:rFonts w:hint="eastAsia" w:ascii="宋体" w:hAnsi="宋体"/>
                <w:color w:val="auto"/>
                <w:highlight w:val="none"/>
              </w:rPr>
              <w:t>在</w:t>
            </w:r>
            <w:r>
              <w:rPr>
                <w:rFonts w:hint="eastAsia" w:ascii="宋体" w:hAnsi="宋体"/>
                <w:color w:val="auto"/>
                <w:highlight w:val="none"/>
                <w:lang w:eastAsia="zh-CN"/>
              </w:rPr>
              <w:t>赣州市</w:t>
            </w:r>
            <w:r>
              <w:rPr>
                <w:rFonts w:hint="eastAsia" w:ascii="宋体" w:hAnsi="宋体"/>
                <w:color w:val="auto"/>
                <w:highlight w:val="none"/>
              </w:rPr>
              <w:t>有固定的营业场所或分支机构</w:t>
            </w:r>
            <w:r>
              <w:rPr>
                <w:rFonts w:hint="eastAsia" w:ascii="宋体" w:hAnsi="宋体"/>
                <w:color w:val="auto"/>
                <w:highlight w:val="none"/>
                <w:lang w:eastAsia="zh-CN"/>
              </w:rPr>
              <w:t>且有规范的开评标场地的</w:t>
            </w:r>
            <w:r>
              <w:rPr>
                <w:rFonts w:hint="eastAsia" w:ascii="宋体" w:hAnsi="宋体"/>
                <w:color w:val="auto"/>
                <w:highlight w:val="none"/>
              </w:rPr>
              <w:t>得</w:t>
            </w:r>
            <w:r>
              <w:rPr>
                <w:rFonts w:hint="eastAsia" w:ascii="宋体" w:hAnsi="宋体"/>
                <w:color w:val="auto"/>
                <w:highlight w:val="none"/>
                <w:lang w:val="en-US" w:eastAsia="zh-CN"/>
              </w:rPr>
              <w:t>2</w:t>
            </w:r>
            <w:r>
              <w:rPr>
                <w:rFonts w:hint="eastAsia" w:ascii="宋体" w:hAnsi="宋体"/>
                <w:color w:val="auto"/>
                <w:highlight w:val="none"/>
              </w:rPr>
              <w:t>分，营业场地建筑面积在150m2以上的得5分。满分</w:t>
            </w:r>
            <w:r>
              <w:rPr>
                <w:rFonts w:hint="eastAsia" w:ascii="宋体" w:hAnsi="宋体"/>
                <w:color w:val="auto"/>
                <w:highlight w:val="none"/>
                <w:lang w:val="en-US" w:eastAsia="zh-CN"/>
              </w:rPr>
              <w:t>5</w:t>
            </w:r>
            <w:r>
              <w:rPr>
                <w:rFonts w:hint="eastAsia" w:ascii="宋体" w:hAnsi="宋体"/>
                <w:color w:val="auto"/>
                <w:highlight w:val="none"/>
              </w:rPr>
              <w:t>分。</w:t>
            </w:r>
          </w:p>
          <w:p>
            <w:pPr>
              <w:jc w:val="left"/>
              <w:rPr>
                <w:rFonts w:ascii="宋体" w:hAnsi="宋体"/>
                <w:color w:val="auto"/>
                <w:highlight w:val="none"/>
              </w:rPr>
            </w:pPr>
            <w:r>
              <w:rPr>
                <w:rFonts w:hint="eastAsia" w:ascii="宋体" w:hAnsi="宋体"/>
                <w:color w:val="auto"/>
                <w:highlight w:val="none"/>
              </w:rPr>
              <w:t>评审依据：提供营业执照和租赁合同计分，未提供不得分。</w:t>
            </w:r>
          </w:p>
          <w:p>
            <w:pPr>
              <w:jc w:val="left"/>
              <w:rPr>
                <w:rFonts w:ascii="宋体" w:hAnsi="宋体"/>
                <w:color w:val="auto"/>
                <w:highlight w:val="none"/>
              </w:rPr>
            </w:pPr>
          </w:p>
        </w:tc>
        <w:tc>
          <w:tcPr>
            <w:tcW w:w="851" w:type="dxa"/>
            <w:vAlign w:val="center"/>
          </w:tcPr>
          <w:p>
            <w:pPr>
              <w:jc w:val="center"/>
              <w:rPr>
                <w:rFonts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60" w:hRule="atLeast"/>
          <w:jc w:val="center"/>
        </w:trPr>
        <w:tc>
          <w:tcPr>
            <w:tcW w:w="426" w:type="dxa"/>
            <w:vMerge w:val="restart"/>
            <w:vAlign w:val="center"/>
          </w:tcPr>
          <w:p>
            <w:pPr>
              <w:jc w:val="center"/>
              <w:rPr>
                <w:rFonts w:ascii="宋体" w:hAnsi="宋体"/>
                <w:b/>
                <w:color w:val="auto"/>
                <w:highlight w:val="none"/>
              </w:rPr>
            </w:pPr>
            <w:r>
              <w:rPr>
                <w:rFonts w:hint="eastAsia" w:ascii="宋体" w:hAnsi="宋体"/>
                <w:b/>
                <w:color w:val="auto"/>
                <w:highlight w:val="none"/>
              </w:rPr>
              <w:t>代理服务</w:t>
            </w:r>
          </w:p>
        </w:tc>
        <w:tc>
          <w:tcPr>
            <w:tcW w:w="1133" w:type="dxa"/>
            <w:vAlign w:val="center"/>
          </w:tcPr>
          <w:p>
            <w:pPr>
              <w:rPr>
                <w:rFonts w:ascii="宋体" w:hAnsi="宋体"/>
                <w:color w:val="auto"/>
                <w:highlight w:val="none"/>
              </w:rPr>
            </w:pPr>
            <w:r>
              <w:rPr>
                <w:rFonts w:hint="eastAsia" w:ascii="宋体" w:hAnsi="宋体"/>
                <w:color w:val="auto"/>
                <w:highlight w:val="none"/>
              </w:rPr>
              <w:t>承担</w:t>
            </w:r>
            <w:r>
              <w:rPr>
                <w:rFonts w:hint="eastAsia" w:ascii="宋体" w:hAnsi="宋体"/>
                <w:color w:val="auto"/>
                <w:highlight w:val="none"/>
                <w:lang w:eastAsia="zh-CN"/>
              </w:rPr>
              <w:t>赣州银行股份有限公司</w:t>
            </w:r>
            <w:r>
              <w:rPr>
                <w:rFonts w:hint="eastAsia" w:ascii="宋体" w:hAnsi="宋体"/>
                <w:color w:val="auto"/>
                <w:highlight w:val="none"/>
              </w:rPr>
              <w:t>采购项目招标代理工作的项目负责 人</w:t>
            </w:r>
          </w:p>
        </w:tc>
        <w:tc>
          <w:tcPr>
            <w:tcW w:w="7796" w:type="dxa"/>
            <w:vAlign w:val="center"/>
          </w:tcPr>
          <w:p>
            <w:pPr>
              <w:rPr>
                <w:color w:val="auto"/>
                <w:highlight w:val="none"/>
              </w:rPr>
            </w:pPr>
            <w:r>
              <w:rPr>
                <w:rFonts w:hint="eastAsia" w:ascii="宋体" w:hAnsi="宋体"/>
                <w:color w:val="auto"/>
                <w:szCs w:val="21"/>
                <w:highlight w:val="none"/>
              </w:rPr>
              <w:t>1.代理机构必须委派专人（项目负责人，下同）负责对接</w:t>
            </w:r>
            <w:r>
              <w:rPr>
                <w:rFonts w:hint="eastAsia" w:ascii="宋体" w:hAnsi="宋体"/>
                <w:color w:val="auto"/>
                <w:szCs w:val="21"/>
                <w:highlight w:val="none"/>
                <w:lang w:eastAsia="zh-CN"/>
              </w:rPr>
              <w:t>赣州银行股份有限公司</w:t>
            </w:r>
            <w:r>
              <w:rPr>
                <w:rFonts w:hint="eastAsia" w:ascii="宋体" w:hAnsi="宋体"/>
                <w:color w:val="auto"/>
                <w:szCs w:val="21"/>
                <w:highlight w:val="none"/>
              </w:rPr>
              <w:t>政府采购招标代理业务，实行人员备案制</w:t>
            </w:r>
            <w:r>
              <w:rPr>
                <w:rFonts w:hint="eastAsia" w:ascii="宋体" w:hAnsi="宋体" w:cs="宋体"/>
                <w:color w:val="auto"/>
                <w:szCs w:val="21"/>
                <w:highlight w:val="none"/>
              </w:rPr>
              <w:t>。</w:t>
            </w:r>
            <w:r>
              <w:rPr>
                <w:rFonts w:hint="eastAsia" w:ascii="宋体" w:hAnsi="宋体" w:cs="微软雅黑"/>
                <w:bCs/>
                <w:color w:val="auto"/>
                <w:szCs w:val="21"/>
                <w:highlight w:val="none"/>
              </w:rPr>
              <w:t>项</w:t>
            </w:r>
            <w:r>
              <w:rPr>
                <w:rFonts w:hint="eastAsia" w:ascii="宋体" w:hAnsi="宋体"/>
                <w:color w:val="auto"/>
                <w:szCs w:val="21"/>
                <w:highlight w:val="none"/>
              </w:rPr>
              <w:t>目负责人具有从事招标代理工作（</w:t>
            </w:r>
            <w:r>
              <w:rPr>
                <w:rFonts w:hint="eastAsia" w:ascii="宋体" w:hAnsi="宋体"/>
                <w:b/>
                <w:color w:val="auto"/>
                <w:szCs w:val="21"/>
                <w:highlight w:val="none"/>
              </w:rPr>
              <w:t>所在企业不限定为参选人企业</w:t>
            </w:r>
            <w:r>
              <w:rPr>
                <w:rFonts w:hint="eastAsia" w:ascii="宋体" w:hAnsi="宋体"/>
                <w:color w:val="auto"/>
                <w:szCs w:val="21"/>
                <w:highlight w:val="none"/>
              </w:rPr>
              <w:t>）达3年的加3分。4年的加4分，5年的加5分。</w:t>
            </w:r>
          </w:p>
          <w:p>
            <w:pPr>
              <w:jc w:val="left"/>
              <w:rPr>
                <w:color w:val="auto"/>
                <w:highlight w:val="none"/>
              </w:rPr>
            </w:pPr>
            <w:r>
              <w:rPr>
                <w:rFonts w:hint="eastAsia"/>
                <w:color w:val="auto"/>
                <w:highlight w:val="none"/>
              </w:rPr>
              <w:t>评审依据：提供劳务合同原件佐证。</w:t>
            </w:r>
          </w:p>
          <w:p>
            <w:pPr>
              <w:jc w:val="left"/>
              <w:rPr>
                <w:rFonts w:ascii="宋体" w:hAnsi="宋体"/>
                <w:color w:val="auto"/>
                <w:highlight w:val="none"/>
              </w:rPr>
            </w:pPr>
            <w:r>
              <w:rPr>
                <w:rFonts w:hint="eastAsia"/>
                <w:color w:val="auto"/>
                <w:highlight w:val="none"/>
              </w:rPr>
              <w:t>2.</w:t>
            </w:r>
            <w:r>
              <w:rPr>
                <w:rFonts w:hint="eastAsia" w:ascii="宋体" w:hAnsi="宋体"/>
                <w:color w:val="auto"/>
                <w:highlight w:val="none"/>
              </w:rPr>
              <w:t xml:space="preserve"> 负责人现场口述考核：拟派该项目负责人针对招标代理工作的方案及招标流程进行口述表达，重点表达对招标法律法规的熟知程度及在招投标工作中的具体落实措施。评委根据业务能力表达情况，酌情评审，满分5分。</w:t>
            </w:r>
          </w:p>
          <w:p>
            <w:pPr>
              <w:jc w:val="left"/>
              <w:rPr>
                <w:rFonts w:ascii="宋体" w:hAnsi="宋体"/>
                <w:color w:val="auto"/>
                <w:szCs w:val="21"/>
                <w:highlight w:val="none"/>
              </w:rPr>
            </w:pPr>
            <w:r>
              <w:rPr>
                <w:rFonts w:hint="eastAsia" w:ascii="宋体" w:hAnsi="宋体"/>
                <w:color w:val="auto"/>
                <w:szCs w:val="21"/>
                <w:highlight w:val="none"/>
              </w:rPr>
              <w:t>评分依据：负责人简历</w:t>
            </w:r>
            <w:r>
              <w:rPr>
                <w:rFonts w:ascii="宋体" w:hAnsi="宋体"/>
                <w:color w:val="auto"/>
                <w:szCs w:val="21"/>
                <w:highlight w:val="none"/>
              </w:rPr>
              <w:t>(</w:t>
            </w:r>
            <w:r>
              <w:rPr>
                <w:rFonts w:hint="eastAsia" w:ascii="宋体" w:hAnsi="宋体"/>
                <w:color w:val="auto"/>
                <w:szCs w:val="21"/>
                <w:highlight w:val="none"/>
              </w:rPr>
              <w:t>含姓名</w:t>
            </w:r>
            <w:r>
              <w:rPr>
                <w:rFonts w:ascii="宋体" w:hAnsi="宋体"/>
                <w:color w:val="auto"/>
                <w:szCs w:val="21"/>
                <w:highlight w:val="none"/>
              </w:rPr>
              <w:t>/</w:t>
            </w:r>
            <w:r>
              <w:rPr>
                <w:rFonts w:hint="eastAsia" w:ascii="宋体" w:hAnsi="宋体"/>
                <w:color w:val="auto"/>
                <w:szCs w:val="21"/>
                <w:highlight w:val="none"/>
              </w:rPr>
              <w:t>性别</w:t>
            </w:r>
            <w:r>
              <w:rPr>
                <w:rFonts w:ascii="宋体" w:hAnsi="宋体"/>
                <w:color w:val="auto"/>
                <w:szCs w:val="21"/>
                <w:highlight w:val="none"/>
              </w:rPr>
              <w:t>/</w:t>
            </w:r>
            <w:r>
              <w:rPr>
                <w:rFonts w:hint="eastAsia" w:ascii="宋体" w:hAnsi="宋体"/>
                <w:color w:val="auto"/>
                <w:szCs w:val="21"/>
                <w:highlight w:val="none"/>
              </w:rPr>
              <w:t>年龄</w:t>
            </w:r>
            <w:r>
              <w:rPr>
                <w:rFonts w:ascii="宋体" w:hAnsi="宋体"/>
                <w:color w:val="auto"/>
                <w:szCs w:val="21"/>
                <w:highlight w:val="none"/>
              </w:rPr>
              <w:t>/</w:t>
            </w:r>
            <w:r>
              <w:rPr>
                <w:rFonts w:hint="eastAsia" w:ascii="宋体" w:hAnsi="宋体"/>
                <w:color w:val="auto"/>
                <w:szCs w:val="21"/>
                <w:highlight w:val="none"/>
              </w:rPr>
              <w:t>职称</w:t>
            </w:r>
            <w:r>
              <w:rPr>
                <w:rFonts w:ascii="宋体" w:hAnsi="宋体"/>
                <w:color w:val="auto"/>
                <w:szCs w:val="21"/>
                <w:highlight w:val="none"/>
              </w:rPr>
              <w:t>/</w:t>
            </w:r>
            <w:r>
              <w:rPr>
                <w:rFonts w:hint="eastAsia" w:ascii="宋体" w:hAnsi="宋体"/>
                <w:color w:val="auto"/>
                <w:szCs w:val="21"/>
                <w:highlight w:val="none"/>
              </w:rPr>
              <w:t>从业年限等，负责人姓名须与中选后与</w:t>
            </w:r>
            <w:r>
              <w:rPr>
                <w:rFonts w:hint="eastAsia" w:ascii="宋体" w:hAnsi="宋体"/>
                <w:color w:val="auto"/>
                <w:szCs w:val="21"/>
                <w:highlight w:val="none"/>
                <w:lang w:eastAsia="zh-CN"/>
              </w:rPr>
              <w:t>赣州银行股份有限公司</w:t>
            </w:r>
            <w:r>
              <w:rPr>
                <w:rFonts w:hint="eastAsia" w:ascii="宋体" w:hAnsi="宋体"/>
                <w:color w:val="auto"/>
                <w:szCs w:val="21"/>
                <w:highlight w:val="none"/>
              </w:rPr>
              <w:t>签订的委托代理协议中的项目负责人姓名一致，否则视为自动放弃代理资格</w:t>
            </w:r>
            <w:r>
              <w:rPr>
                <w:rFonts w:ascii="宋体" w:hAnsi="宋体"/>
                <w:color w:val="auto"/>
                <w:szCs w:val="21"/>
                <w:highlight w:val="none"/>
              </w:rPr>
              <w:t>)</w:t>
            </w:r>
            <w:r>
              <w:rPr>
                <w:rFonts w:hint="eastAsia" w:ascii="宋体" w:hAnsi="宋体"/>
                <w:color w:val="auto"/>
                <w:szCs w:val="21"/>
                <w:highlight w:val="none"/>
              </w:rPr>
              <w:t>及其政府采购代理机构从业人员培训合格证复印件加盖公章。</w:t>
            </w:r>
          </w:p>
          <w:p>
            <w:pPr>
              <w:jc w:val="left"/>
              <w:rPr>
                <w:rFonts w:ascii="宋体" w:hAnsi="宋体"/>
                <w:color w:val="auto"/>
                <w:highlight w:val="none"/>
              </w:rPr>
            </w:pPr>
            <w:r>
              <w:rPr>
                <w:rFonts w:hint="eastAsia" w:ascii="宋体" w:hAnsi="宋体"/>
                <w:color w:val="auto"/>
                <w:highlight w:val="none"/>
              </w:rPr>
              <w:t>现场负责人针对招标代理服务方案进行现场口述表达。</w:t>
            </w:r>
          </w:p>
        </w:tc>
        <w:tc>
          <w:tcPr>
            <w:tcW w:w="851" w:type="dxa"/>
            <w:vAlign w:val="center"/>
          </w:tcPr>
          <w:p>
            <w:pPr>
              <w:jc w:val="center"/>
              <w:rPr>
                <w:rFonts w:ascii="宋体" w:hAnsi="宋体"/>
                <w:color w:val="auto"/>
                <w:highlight w:val="none"/>
              </w:rPr>
            </w:pPr>
            <w:r>
              <w:rPr>
                <w:rFonts w:hint="eastAsia" w:ascii="宋体" w:hAnsi="宋体"/>
                <w:color w:val="auto"/>
                <w:highlight w:val="none"/>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6" w:hRule="atLeast"/>
          <w:jc w:val="center"/>
        </w:trPr>
        <w:tc>
          <w:tcPr>
            <w:tcW w:w="426" w:type="dxa"/>
            <w:vMerge w:val="continue"/>
            <w:vAlign w:val="center"/>
          </w:tcPr>
          <w:p>
            <w:pPr>
              <w:jc w:val="center"/>
              <w:rPr>
                <w:rFonts w:ascii="宋体" w:hAnsi="宋体"/>
                <w:color w:val="auto"/>
                <w:highlight w:val="none"/>
              </w:rPr>
            </w:pPr>
          </w:p>
        </w:tc>
        <w:tc>
          <w:tcPr>
            <w:tcW w:w="1133" w:type="dxa"/>
            <w:vAlign w:val="center"/>
          </w:tcPr>
          <w:p>
            <w:pPr>
              <w:jc w:val="center"/>
              <w:rPr>
                <w:rFonts w:ascii="宋体" w:hAnsi="宋体"/>
                <w:color w:val="auto"/>
                <w:highlight w:val="none"/>
              </w:rPr>
            </w:pPr>
            <w:r>
              <w:rPr>
                <w:rFonts w:hint="eastAsia" w:ascii="宋体" w:hAnsi="宋体"/>
                <w:color w:val="auto"/>
                <w:highlight w:val="none"/>
              </w:rPr>
              <w:t>服务承诺</w:t>
            </w:r>
          </w:p>
        </w:tc>
        <w:tc>
          <w:tcPr>
            <w:tcW w:w="7796" w:type="dxa"/>
            <w:vAlign w:val="center"/>
          </w:tcPr>
          <w:p>
            <w:pPr>
              <w:rPr>
                <w:rFonts w:ascii="宋体" w:hAnsi="宋体"/>
                <w:color w:val="auto"/>
                <w:highlight w:val="none"/>
              </w:rPr>
            </w:pPr>
            <w:r>
              <w:rPr>
                <w:rFonts w:hint="eastAsia" w:ascii="宋体" w:hAnsi="宋体"/>
                <w:color w:val="auto"/>
                <w:highlight w:val="none"/>
              </w:rPr>
              <w:t>承诺不分项目金额大小、难易程度，一律承接，承诺得 2 分，不承诺为无效投标</w:t>
            </w:r>
          </w:p>
        </w:tc>
        <w:tc>
          <w:tcPr>
            <w:tcW w:w="851" w:type="dxa"/>
            <w:vAlign w:val="center"/>
          </w:tcPr>
          <w:p>
            <w:pPr>
              <w:jc w:val="center"/>
              <w:rPr>
                <w:rFonts w:ascii="宋体" w:hAnsi="宋体"/>
                <w:color w:val="auto"/>
                <w:highlight w:val="none"/>
              </w:rPr>
            </w:pPr>
            <w:r>
              <w:rPr>
                <w:rFonts w:hint="eastAsia" w:ascii="宋体" w:hAnsi="宋体"/>
                <w:color w:val="auto"/>
                <w:highlight w:val="none"/>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6" w:hRule="atLeast"/>
          <w:jc w:val="center"/>
        </w:trPr>
        <w:tc>
          <w:tcPr>
            <w:tcW w:w="426" w:type="dxa"/>
            <w:vMerge w:val="continue"/>
            <w:vAlign w:val="center"/>
          </w:tcPr>
          <w:p>
            <w:pPr>
              <w:jc w:val="center"/>
              <w:rPr>
                <w:rFonts w:ascii="宋体" w:hAnsi="宋体"/>
                <w:color w:val="auto"/>
                <w:highlight w:val="none"/>
              </w:rPr>
            </w:pPr>
          </w:p>
        </w:tc>
        <w:tc>
          <w:tcPr>
            <w:tcW w:w="1133" w:type="dxa"/>
            <w:vAlign w:val="center"/>
          </w:tcPr>
          <w:p>
            <w:pPr>
              <w:jc w:val="center"/>
              <w:rPr>
                <w:rFonts w:ascii="宋体" w:hAnsi="宋体"/>
                <w:color w:val="auto"/>
                <w:highlight w:val="none"/>
              </w:rPr>
            </w:pPr>
            <w:r>
              <w:rPr>
                <w:rFonts w:hint="eastAsia" w:ascii="宋体" w:hAnsi="宋体"/>
                <w:color w:val="auto"/>
                <w:highlight w:val="none"/>
              </w:rPr>
              <w:t>进口设备</w:t>
            </w:r>
          </w:p>
          <w:p>
            <w:pPr>
              <w:jc w:val="center"/>
              <w:rPr>
                <w:rFonts w:ascii="宋体" w:hAnsi="宋体"/>
                <w:color w:val="auto"/>
                <w:highlight w:val="none"/>
              </w:rPr>
            </w:pPr>
            <w:r>
              <w:rPr>
                <w:rFonts w:hint="eastAsia" w:ascii="宋体" w:hAnsi="宋体"/>
                <w:color w:val="auto"/>
                <w:highlight w:val="none"/>
              </w:rPr>
              <w:t>采购服务</w:t>
            </w:r>
          </w:p>
        </w:tc>
        <w:tc>
          <w:tcPr>
            <w:tcW w:w="7796" w:type="dxa"/>
            <w:vAlign w:val="center"/>
          </w:tcPr>
          <w:p>
            <w:pPr>
              <w:rPr>
                <w:rFonts w:ascii="宋体" w:hAnsi="宋体"/>
                <w:color w:val="auto"/>
                <w:highlight w:val="none"/>
              </w:rPr>
            </w:pPr>
            <w:r>
              <w:rPr>
                <w:rFonts w:hint="eastAsia" w:ascii="宋体" w:hAnsi="宋体"/>
                <w:color w:val="auto"/>
                <w:highlight w:val="none"/>
              </w:rPr>
              <w:t>涉及进口设备采购，承诺免费协助完成设备的审批等相关手续，承诺得 2 分，不承诺得 0 分。</w:t>
            </w:r>
          </w:p>
        </w:tc>
        <w:tc>
          <w:tcPr>
            <w:tcW w:w="851" w:type="dxa"/>
            <w:vAlign w:val="center"/>
          </w:tcPr>
          <w:p>
            <w:pPr>
              <w:jc w:val="center"/>
              <w:rPr>
                <w:rFonts w:ascii="宋体" w:hAnsi="宋体"/>
                <w:color w:val="auto"/>
                <w:highlight w:val="none"/>
              </w:rPr>
            </w:pPr>
            <w:r>
              <w:rPr>
                <w:rFonts w:hint="eastAsia" w:ascii="宋体" w:hAnsi="宋体"/>
                <w:color w:val="auto"/>
                <w:highlight w:val="none"/>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88" w:hRule="atLeast"/>
          <w:jc w:val="center"/>
        </w:trPr>
        <w:tc>
          <w:tcPr>
            <w:tcW w:w="426" w:type="dxa"/>
            <w:vMerge w:val="continue"/>
            <w:vAlign w:val="center"/>
          </w:tcPr>
          <w:p>
            <w:pPr>
              <w:jc w:val="center"/>
              <w:rPr>
                <w:rFonts w:ascii="宋体" w:hAnsi="宋体"/>
                <w:color w:val="auto"/>
                <w:highlight w:val="none"/>
              </w:rPr>
            </w:pPr>
          </w:p>
        </w:tc>
        <w:tc>
          <w:tcPr>
            <w:tcW w:w="1133" w:type="dxa"/>
            <w:vAlign w:val="center"/>
          </w:tcPr>
          <w:p>
            <w:pPr>
              <w:jc w:val="center"/>
              <w:rPr>
                <w:rFonts w:ascii="宋体" w:hAnsi="宋体"/>
                <w:color w:val="auto"/>
                <w:highlight w:val="none"/>
              </w:rPr>
            </w:pPr>
            <w:r>
              <w:rPr>
                <w:rFonts w:hint="eastAsia" w:ascii="宋体" w:hAnsi="宋体"/>
                <w:color w:val="auto"/>
                <w:highlight w:val="none"/>
              </w:rPr>
              <w:t>服务质量及承诺</w:t>
            </w:r>
          </w:p>
        </w:tc>
        <w:tc>
          <w:tcPr>
            <w:tcW w:w="7796" w:type="dxa"/>
            <w:vAlign w:val="center"/>
          </w:tcPr>
          <w:p>
            <w:pPr>
              <w:spacing w:line="276" w:lineRule="auto"/>
              <w:rPr>
                <w:rFonts w:ascii="宋体"/>
                <w:color w:val="auto"/>
                <w:szCs w:val="21"/>
                <w:highlight w:val="none"/>
              </w:rPr>
            </w:pPr>
            <w:r>
              <w:rPr>
                <w:rFonts w:hint="eastAsia" w:ascii="宋体" w:hAnsi="宋体"/>
                <w:color w:val="auto"/>
                <w:szCs w:val="21"/>
                <w:highlight w:val="none"/>
              </w:rPr>
              <w:t>招标代理服务态度及与项目单位沟通的及时性、主动性；招标采购文件制定的合法规范、文本简洁；招标采购文件内部审核制度及流程完善；项目实施招标采购过程的合法合规；确保采购项目完成招标采购的时效性措施；加强投标人现场管理控制围标串标现象反商业贿赂措施；资料及时递交及配合接受监督检查提供数据材料等方面的服务承诺，视情况每项计</w:t>
            </w:r>
            <w:r>
              <w:rPr>
                <w:rFonts w:ascii="宋体" w:hAnsi="宋体"/>
                <w:color w:val="auto"/>
                <w:szCs w:val="21"/>
                <w:highlight w:val="none"/>
              </w:rPr>
              <w:t>0-</w:t>
            </w:r>
            <w:r>
              <w:rPr>
                <w:rFonts w:hint="eastAsia" w:ascii="宋体" w:hAnsi="宋体"/>
                <w:color w:val="auto"/>
                <w:szCs w:val="21"/>
                <w:highlight w:val="none"/>
              </w:rPr>
              <w:t>12分，满分</w:t>
            </w:r>
            <w:r>
              <w:rPr>
                <w:rFonts w:ascii="宋体" w:hAnsi="宋体"/>
                <w:color w:val="auto"/>
                <w:szCs w:val="21"/>
                <w:highlight w:val="none"/>
              </w:rPr>
              <w:t>1</w:t>
            </w:r>
            <w:r>
              <w:rPr>
                <w:rFonts w:hint="eastAsia" w:ascii="宋体" w:hAnsi="宋体"/>
                <w:color w:val="auto"/>
                <w:szCs w:val="21"/>
                <w:highlight w:val="none"/>
              </w:rPr>
              <w:t>2分。</w:t>
            </w:r>
          </w:p>
          <w:p>
            <w:pPr>
              <w:tabs>
                <w:tab w:val="left" w:pos="34"/>
              </w:tabs>
              <w:spacing w:line="276" w:lineRule="auto"/>
              <w:rPr>
                <w:rFonts w:ascii="宋体" w:hAnsi="宋体" w:cs="宋体"/>
                <w:color w:val="auto"/>
                <w:sz w:val="24"/>
                <w:szCs w:val="24"/>
                <w:highlight w:val="none"/>
              </w:rPr>
            </w:pPr>
            <w:r>
              <w:rPr>
                <w:rFonts w:hint="eastAsia" w:ascii="宋体" w:hAnsi="宋体"/>
                <w:b/>
                <w:color w:val="auto"/>
                <w:szCs w:val="21"/>
                <w:highlight w:val="none"/>
              </w:rPr>
              <w:t>评分依据：</w:t>
            </w:r>
            <w:r>
              <w:rPr>
                <w:rFonts w:hint="eastAsia" w:ascii="宋体" w:hAnsi="宋体"/>
                <w:color w:val="auto"/>
                <w:szCs w:val="21"/>
                <w:highlight w:val="none"/>
              </w:rPr>
              <w:t>根据提供的招标代理服务方案进行评审。</w:t>
            </w:r>
          </w:p>
        </w:tc>
        <w:tc>
          <w:tcPr>
            <w:tcW w:w="851" w:type="dxa"/>
            <w:vAlign w:val="center"/>
          </w:tcPr>
          <w:p>
            <w:pPr>
              <w:jc w:val="center"/>
              <w:rPr>
                <w:rFonts w:ascii="宋体" w:hAnsi="宋体"/>
                <w:color w:val="auto"/>
                <w:highlight w:val="none"/>
              </w:rPr>
            </w:pPr>
            <w:r>
              <w:rPr>
                <w:rFonts w:hint="eastAsia" w:ascii="宋体" w:hAnsi="宋体"/>
                <w:color w:val="auto"/>
                <w:highlight w:val="none"/>
              </w:rPr>
              <w:t>12分</w:t>
            </w:r>
          </w:p>
        </w:tc>
      </w:tr>
    </w:tbl>
    <w:p>
      <w:pPr>
        <w:jc w:val="center"/>
        <w:rPr>
          <w:rFonts w:ascii="宋体" w:hAnsi="宋体"/>
          <w:b/>
          <w:color w:val="auto"/>
          <w:sz w:val="32"/>
          <w:szCs w:val="32"/>
          <w:highlight w:val="none"/>
        </w:rPr>
      </w:pPr>
    </w:p>
    <w:p>
      <w:pPr>
        <w:rPr>
          <w:rFonts w:ascii="宋体" w:hAnsi="宋体" w:cs="宋体"/>
          <w:color w:val="auto"/>
          <w:sz w:val="24"/>
          <w:szCs w:val="24"/>
          <w:highlight w:val="none"/>
        </w:rPr>
      </w:pPr>
      <w:r>
        <w:rPr>
          <w:rFonts w:hint="eastAsia" w:ascii="宋体" w:hAnsi="宋体"/>
          <w:b/>
          <w:color w:val="auto"/>
          <w:sz w:val="24"/>
          <w:szCs w:val="24"/>
          <w:highlight w:val="none"/>
        </w:rPr>
        <w:t>四、其他事项</w:t>
      </w:r>
      <w:bookmarkStart w:id="1" w:name="_Toc5790548"/>
      <w:bookmarkStart w:id="2" w:name="_Toc497729856"/>
      <w:bookmarkStart w:id="3" w:name="_Toc20335"/>
      <w:bookmarkStart w:id="4" w:name="_Toc31198"/>
    </w:p>
    <w:p>
      <w:pPr>
        <w:spacing w:line="276" w:lineRule="auto"/>
        <w:rPr>
          <w:rFonts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.遴选结束后，最终以中标排序前</w:t>
      </w:r>
      <w:r>
        <w:rPr>
          <w:rFonts w:hint="eastAsia" w:ascii="宋体" w:hAnsi="宋体" w:cs="宋体"/>
          <w:color w:val="auto"/>
          <w:sz w:val="24"/>
          <w:szCs w:val="24"/>
          <w:highlight w:val="none"/>
          <w:lang w:eastAsia="zh-CN"/>
        </w:rPr>
        <w:t>二</w:t>
      </w:r>
      <w:r>
        <w:rPr>
          <w:rFonts w:hint="eastAsia" w:ascii="宋体" w:hAnsi="宋体" w:cs="宋体"/>
          <w:color w:val="auto"/>
          <w:sz w:val="24"/>
          <w:szCs w:val="24"/>
          <w:highlight w:val="none"/>
        </w:rPr>
        <w:t>名报价中最低报价作为合同价。</w:t>
      </w:r>
    </w:p>
    <w:p>
      <w:pPr>
        <w:spacing w:line="276" w:lineRule="auto"/>
        <w:rPr>
          <w:rFonts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.解释权</w:t>
      </w:r>
      <w:bookmarkEnd w:id="1"/>
      <w:bookmarkEnd w:id="2"/>
      <w:bookmarkEnd w:id="3"/>
      <w:bookmarkEnd w:id="4"/>
    </w:p>
    <w:p>
      <w:pPr>
        <w:spacing w:line="276" w:lineRule="auto"/>
        <w:rPr>
          <w:rFonts w:ascii="宋体" w:hAnsi="宋体" w:cs="宋体"/>
          <w:color w:val="auto"/>
          <w:sz w:val="24"/>
          <w:szCs w:val="24"/>
          <w:highlight w:val="none"/>
        </w:rPr>
      </w:pPr>
      <w:r>
        <w:rPr>
          <w:rFonts w:hint="eastAsia" w:ascii="宋体" w:hAnsi="宋体" w:cs="宋体"/>
          <w:color w:val="auto"/>
          <w:sz w:val="24"/>
          <w:szCs w:val="24"/>
          <w:highlight w:val="none"/>
        </w:rPr>
        <w:t xml:space="preserve">   本遴选文件的解释权属于</w:t>
      </w:r>
      <w:r>
        <w:rPr>
          <w:rFonts w:hint="eastAsia" w:ascii="宋体" w:hAnsi="宋体" w:cs="宋体"/>
          <w:color w:val="auto"/>
          <w:sz w:val="24"/>
          <w:szCs w:val="24"/>
          <w:highlight w:val="none"/>
          <w:lang w:eastAsia="zh-CN"/>
        </w:rPr>
        <w:t>赣州银行股份有限公司</w:t>
      </w:r>
      <w:r>
        <w:rPr>
          <w:rFonts w:hint="eastAsia" w:ascii="宋体" w:hAnsi="宋体" w:cs="宋体"/>
          <w:color w:val="auto"/>
          <w:sz w:val="24"/>
          <w:szCs w:val="24"/>
          <w:highlight w:val="none"/>
        </w:rPr>
        <w:t>。</w:t>
      </w:r>
    </w:p>
    <w:p>
      <w:pPr>
        <w:ind w:firstLine="480" w:firstLineChars="200"/>
        <w:rPr>
          <w:rFonts w:ascii="宋体" w:hAnsi="宋体"/>
          <w:color w:val="auto"/>
          <w:sz w:val="24"/>
          <w:highlight w:val="none"/>
        </w:rPr>
      </w:pPr>
    </w:p>
    <w:p>
      <w:pPr>
        <w:jc w:val="center"/>
        <w:rPr>
          <w:rFonts w:ascii="宋体" w:hAnsi="宋体"/>
          <w:b/>
          <w:color w:val="auto"/>
          <w:sz w:val="32"/>
          <w:szCs w:val="32"/>
          <w:highlight w:val="none"/>
        </w:rPr>
      </w:pPr>
    </w:p>
    <w:p>
      <w:pPr>
        <w:jc w:val="center"/>
        <w:rPr>
          <w:rFonts w:ascii="宋体" w:hAnsi="宋体"/>
          <w:b/>
          <w:color w:val="auto"/>
          <w:sz w:val="32"/>
          <w:szCs w:val="32"/>
          <w:highlight w:val="none"/>
        </w:rPr>
      </w:pPr>
    </w:p>
    <w:p>
      <w:pPr>
        <w:jc w:val="center"/>
        <w:rPr>
          <w:rFonts w:ascii="宋体" w:hAnsi="宋体"/>
          <w:b/>
          <w:color w:val="auto"/>
          <w:sz w:val="32"/>
          <w:szCs w:val="32"/>
          <w:highlight w:val="none"/>
        </w:rPr>
      </w:pPr>
    </w:p>
    <w:p>
      <w:pPr>
        <w:jc w:val="center"/>
        <w:rPr>
          <w:rFonts w:ascii="宋体" w:hAnsi="宋体"/>
          <w:b/>
          <w:color w:val="auto"/>
          <w:sz w:val="32"/>
          <w:szCs w:val="32"/>
          <w:highlight w:val="none"/>
        </w:rPr>
      </w:pPr>
    </w:p>
    <w:p>
      <w:pPr>
        <w:jc w:val="center"/>
        <w:rPr>
          <w:rFonts w:ascii="宋体" w:hAnsi="宋体"/>
          <w:b/>
          <w:color w:val="auto"/>
          <w:sz w:val="32"/>
          <w:szCs w:val="32"/>
          <w:highlight w:val="none"/>
        </w:rPr>
      </w:pPr>
    </w:p>
    <w:p>
      <w:pPr>
        <w:jc w:val="center"/>
        <w:rPr>
          <w:rFonts w:ascii="宋体" w:hAnsi="宋体"/>
          <w:b/>
          <w:color w:val="auto"/>
          <w:sz w:val="32"/>
          <w:szCs w:val="32"/>
          <w:highlight w:val="none"/>
        </w:rPr>
      </w:pPr>
      <w:r>
        <w:rPr>
          <w:rFonts w:hint="eastAsia" w:ascii="宋体" w:hAnsi="宋体"/>
          <w:b/>
          <w:color w:val="auto"/>
          <w:sz w:val="32"/>
          <w:szCs w:val="32"/>
          <w:highlight w:val="none"/>
        </w:rPr>
        <w:t>第三章　申请书格式</w:t>
      </w:r>
    </w:p>
    <w:p>
      <w:pPr>
        <w:jc w:val="center"/>
        <w:rPr>
          <w:rFonts w:ascii="宋体" w:hAnsi="宋体" w:cs="宋体"/>
          <w:b/>
          <w:bCs/>
          <w:color w:val="auto"/>
          <w:kern w:val="0"/>
          <w:sz w:val="44"/>
          <w:szCs w:val="44"/>
          <w:highlight w:val="none"/>
        </w:rPr>
      </w:pPr>
    </w:p>
    <w:p>
      <w:pPr>
        <w:jc w:val="center"/>
        <w:rPr>
          <w:rFonts w:ascii="宋体" w:hAnsi="宋体" w:cs="宋体"/>
          <w:b/>
          <w:bCs/>
          <w:color w:val="auto"/>
          <w:kern w:val="0"/>
          <w:sz w:val="32"/>
          <w:szCs w:val="32"/>
          <w:highlight w:val="none"/>
        </w:rPr>
      </w:pPr>
    </w:p>
    <w:p>
      <w:pPr>
        <w:ind w:firstLine="643" w:firstLineChars="200"/>
        <w:jc w:val="center"/>
        <w:rPr>
          <w:rFonts w:ascii="宋体" w:hAnsi="宋体"/>
          <w:b/>
          <w:color w:val="auto"/>
          <w:sz w:val="32"/>
          <w:szCs w:val="32"/>
          <w:highlight w:val="none"/>
        </w:rPr>
      </w:pPr>
      <w:r>
        <w:rPr>
          <w:rFonts w:hint="eastAsia" w:ascii="宋体" w:hAnsi="宋体"/>
          <w:b/>
          <w:color w:val="auto"/>
          <w:sz w:val="32"/>
          <w:szCs w:val="32"/>
          <w:highlight w:val="none"/>
          <w:lang w:eastAsia="zh-CN"/>
        </w:rPr>
        <w:t>赣州银行股份有限公司集中</w:t>
      </w:r>
      <w:r>
        <w:rPr>
          <w:rFonts w:hint="eastAsia" w:ascii="宋体" w:hAnsi="宋体"/>
          <w:b/>
          <w:color w:val="auto"/>
          <w:sz w:val="32"/>
          <w:szCs w:val="32"/>
          <w:highlight w:val="none"/>
        </w:rPr>
        <w:t>采购及工程招标项目</w:t>
      </w:r>
    </w:p>
    <w:p>
      <w:pPr>
        <w:ind w:firstLine="643" w:firstLineChars="200"/>
        <w:jc w:val="center"/>
        <w:rPr>
          <w:rFonts w:ascii="宋体" w:hAnsi="宋体"/>
          <w:b/>
          <w:color w:val="auto"/>
          <w:sz w:val="32"/>
          <w:szCs w:val="32"/>
          <w:highlight w:val="none"/>
        </w:rPr>
      </w:pPr>
      <w:r>
        <w:rPr>
          <w:rFonts w:hint="eastAsia" w:ascii="宋体" w:hAnsi="宋体"/>
          <w:b/>
          <w:color w:val="auto"/>
          <w:sz w:val="32"/>
          <w:szCs w:val="32"/>
          <w:highlight w:val="none"/>
        </w:rPr>
        <w:t>社会代理机构</w:t>
      </w:r>
      <w:r>
        <w:rPr>
          <w:rFonts w:hint="eastAsia" w:ascii="宋体" w:hAnsi="宋体"/>
          <w:b/>
          <w:color w:val="auto"/>
          <w:sz w:val="32"/>
          <w:szCs w:val="32"/>
          <w:highlight w:val="none"/>
          <w:lang w:eastAsia="zh-CN"/>
        </w:rPr>
        <w:t>遴选</w:t>
      </w:r>
    </w:p>
    <w:p>
      <w:pPr>
        <w:ind w:firstLine="315" w:firstLineChars="98"/>
        <w:rPr>
          <w:rFonts w:ascii="宋体" w:hAnsi="宋体"/>
          <w:b/>
          <w:color w:val="auto"/>
          <w:sz w:val="32"/>
          <w:szCs w:val="32"/>
          <w:highlight w:val="none"/>
        </w:rPr>
      </w:pPr>
    </w:p>
    <w:p>
      <w:pPr>
        <w:ind w:firstLine="315" w:firstLineChars="98"/>
        <w:rPr>
          <w:rFonts w:ascii="宋体" w:hAnsi="宋体"/>
          <w:b/>
          <w:color w:val="auto"/>
          <w:sz w:val="32"/>
          <w:szCs w:val="32"/>
          <w:highlight w:val="none"/>
        </w:rPr>
      </w:pPr>
    </w:p>
    <w:p>
      <w:pPr>
        <w:ind w:firstLine="315" w:firstLineChars="98"/>
        <w:rPr>
          <w:rFonts w:ascii="宋体" w:hAnsi="宋体"/>
          <w:b/>
          <w:color w:val="auto"/>
          <w:sz w:val="32"/>
          <w:szCs w:val="32"/>
          <w:highlight w:val="none"/>
        </w:rPr>
      </w:pPr>
      <w:r>
        <w:rPr>
          <w:rFonts w:hint="eastAsia" w:ascii="宋体" w:hAnsi="宋体"/>
          <w:b/>
          <w:color w:val="auto"/>
          <w:sz w:val="32"/>
          <w:szCs w:val="32"/>
          <w:highlight w:val="none"/>
        </w:rPr>
        <w:t>申请单位：</w:t>
      </w:r>
      <w:r>
        <w:rPr>
          <w:rFonts w:hint="eastAsia" w:ascii="宋体" w:hAnsi="宋体"/>
          <w:b/>
          <w:color w:val="auto"/>
          <w:sz w:val="32"/>
          <w:szCs w:val="32"/>
          <w:highlight w:val="none"/>
          <w:u w:val="single"/>
        </w:rPr>
        <w:t xml:space="preserve">                   　　      （章） </w:t>
      </w:r>
    </w:p>
    <w:p>
      <w:pPr>
        <w:ind w:firstLine="358" w:firstLineChars="99"/>
        <w:rPr>
          <w:rFonts w:ascii="宋体" w:hAnsi="宋体"/>
          <w:b/>
          <w:color w:val="auto"/>
          <w:sz w:val="32"/>
          <w:szCs w:val="32"/>
          <w:highlight w:val="none"/>
          <w:u w:val="single"/>
        </w:rPr>
      </w:pPr>
      <w:r>
        <w:rPr>
          <w:rFonts w:hint="eastAsia" w:ascii="宋体" w:hAnsi="宋体"/>
          <w:b/>
          <w:color w:val="auto"/>
          <w:spacing w:val="20"/>
          <w:sz w:val="32"/>
          <w:szCs w:val="32"/>
          <w:highlight w:val="none"/>
        </w:rPr>
        <w:t>法定代表人</w:t>
      </w:r>
      <w:r>
        <w:rPr>
          <w:rFonts w:hint="eastAsia" w:ascii="宋体" w:hAnsi="宋体"/>
          <w:b/>
          <w:color w:val="auto"/>
          <w:sz w:val="32"/>
          <w:szCs w:val="32"/>
          <w:highlight w:val="none"/>
        </w:rPr>
        <w:t>：</w:t>
      </w:r>
      <w:r>
        <w:rPr>
          <w:rFonts w:hint="eastAsia" w:ascii="宋体" w:hAnsi="宋体"/>
          <w:b/>
          <w:color w:val="auto"/>
          <w:sz w:val="32"/>
          <w:szCs w:val="32"/>
          <w:highlight w:val="none"/>
          <w:u w:val="single"/>
        </w:rPr>
        <w:t xml:space="preserve">                   　　（签字） </w:t>
      </w:r>
    </w:p>
    <w:p>
      <w:pPr>
        <w:ind w:firstLine="358" w:firstLineChars="99"/>
        <w:rPr>
          <w:rFonts w:ascii="宋体" w:hAnsi="宋体"/>
          <w:b/>
          <w:color w:val="auto"/>
          <w:sz w:val="32"/>
          <w:szCs w:val="32"/>
          <w:highlight w:val="none"/>
        </w:rPr>
      </w:pPr>
      <w:r>
        <w:rPr>
          <w:rFonts w:hint="eastAsia" w:ascii="宋体" w:hAnsi="宋体"/>
          <w:b/>
          <w:color w:val="auto"/>
          <w:spacing w:val="20"/>
          <w:sz w:val="32"/>
          <w:szCs w:val="32"/>
          <w:highlight w:val="none"/>
        </w:rPr>
        <w:t>委托代理人</w:t>
      </w:r>
      <w:r>
        <w:rPr>
          <w:rFonts w:hint="eastAsia" w:ascii="宋体" w:hAnsi="宋体"/>
          <w:b/>
          <w:color w:val="auto"/>
          <w:sz w:val="32"/>
          <w:szCs w:val="32"/>
          <w:highlight w:val="none"/>
        </w:rPr>
        <w:t>：</w:t>
      </w:r>
      <w:r>
        <w:rPr>
          <w:rFonts w:hint="eastAsia" w:ascii="宋体" w:hAnsi="宋体"/>
          <w:b/>
          <w:color w:val="auto"/>
          <w:sz w:val="32"/>
          <w:szCs w:val="32"/>
          <w:highlight w:val="none"/>
          <w:u w:val="single"/>
        </w:rPr>
        <w:t xml:space="preserve">          </w:t>
      </w:r>
      <w:r>
        <w:rPr>
          <w:rFonts w:hint="eastAsia" w:ascii="宋体" w:hAnsi="宋体"/>
          <w:b/>
          <w:color w:val="auto"/>
          <w:sz w:val="32"/>
          <w:szCs w:val="32"/>
          <w:highlight w:val="none"/>
        </w:rPr>
        <w:t>电话：</w:t>
      </w:r>
      <w:r>
        <w:rPr>
          <w:rFonts w:hint="eastAsia" w:ascii="宋体" w:hAnsi="宋体"/>
          <w:b/>
          <w:color w:val="auto"/>
          <w:sz w:val="32"/>
          <w:szCs w:val="32"/>
          <w:highlight w:val="none"/>
          <w:u w:val="single"/>
        </w:rPr>
        <w:t xml:space="preserve">    　          </w:t>
      </w:r>
    </w:p>
    <w:p>
      <w:pPr>
        <w:ind w:firstLine="315" w:firstLineChars="98"/>
        <w:rPr>
          <w:rFonts w:ascii="宋体" w:hAnsi="宋体"/>
          <w:b/>
          <w:color w:val="auto"/>
          <w:sz w:val="32"/>
          <w:szCs w:val="32"/>
          <w:highlight w:val="none"/>
        </w:rPr>
      </w:pPr>
      <w:r>
        <w:rPr>
          <w:rFonts w:hint="eastAsia" w:ascii="宋体" w:hAnsi="宋体"/>
          <w:b/>
          <w:color w:val="auto"/>
          <w:sz w:val="32"/>
          <w:szCs w:val="32"/>
          <w:highlight w:val="none"/>
        </w:rPr>
        <w:t>递交日期：</w:t>
      </w:r>
      <w:r>
        <w:rPr>
          <w:rFonts w:hint="eastAsia" w:ascii="宋体" w:hAnsi="宋体"/>
          <w:b/>
          <w:color w:val="auto"/>
          <w:sz w:val="32"/>
          <w:szCs w:val="32"/>
          <w:highlight w:val="none"/>
          <w:u w:val="single"/>
        </w:rPr>
        <w:t xml:space="preserve">                                    </w:t>
      </w:r>
    </w:p>
    <w:p>
      <w:pPr>
        <w:rPr>
          <w:rFonts w:ascii="宋体" w:hAnsi="宋体"/>
          <w:b/>
          <w:color w:val="auto"/>
          <w:sz w:val="28"/>
          <w:szCs w:val="28"/>
          <w:highlight w:val="none"/>
        </w:rPr>
      </w:pPr>
    </w:p>
    <w:p>
      <w:pPr>
        <w:ind w:firstLine="562" w:firstLineChars="200"/>
        <w:rPr>
          <w:rFonts w:ascii="宋体" w:hAnsi="宋体"/>
          <w:b/>
          <w:color w:val="auto"/>
          <w:sz w:val="28"/>
          <w:szCs w:val="28"/>
          <w:highlight w:val="none"/>
        </w:rPr>
      </w:pPr>
    </w:p>
    <w:p>
      <w:pPr>
        <w:ind w:firstLine="480" w:firstLineChars="200"/>
        <w:rPr>
          <w:rFonts w:ascii="宋体" w:hAnsi="宋体"/>
          <w:color w:val="auto"/>
          <w:sz w:val="24"/>
          <w:szCs w:val="24"/>
          <w:highlight w:val="none"/>
        </w:rPr>
      </w:pPr>
      <w:r>
        <w:rPr>
          <w:rFonts w:hint="eastAsia" w:ascii="宋体" w:hAnsi="宋体"/>
          <w:color w:val="auto"/>
          <w:sz w:val="24"/>
          <w:szCs w:val="24"/>
          <w:highlight w:val="none"/>
        </w:rPr>
        <w:t>编制说明</w:t>
      </w:r>
    </w:p>
    <w:p>
      <w:pPr>
        <w:ind w:firstLine="480" w:firstLineChars="200"/>
        <w:rPr>
          <w:rFonts w:ascii="宋体" w:hAnsi="宋体"/>
          <w:color w:val="auto"/>
          <w:sz w:val="24"/>
          <w:szCs w:val="24"/>
          <w:highlight w:val="none"/>
        </w:rPr>
      </w:pPr>
      <w:r>
        <w:rPr>
          <w:rFonts w:hint="eastAsia" w:ascii="宋体" w:hAnsi="宋体"/>
          <w:color w:val="auto"/>
          <w:sz w:val="24"/>
          <w:szCs w:val="24"/>
          <w:highlight w:val="none"/>
        </w:rPr>
        <w:t>一、代理机构在填写本申请文件时必须认真、详细、准确，申请书中所承诺的内容均为中选后双方签订协议的依据。</w:t>
      </w:r>
    </w:p>
    <w:p>
      <w:pPr>
        <w:ind w:firstLine="480" w:firstLineChars="200"/>
        <w:rPr>
          <w:rFonts w:ascii="宋体" w:hAnsi="宋体" w:cs="宋体"/>
          <w:color w:val="auto"/>
          <w:kern w:val="0"/>
          <w:sz w:val="24"/>
          <w:highlight w:val="none"/>
        </w:rPr>
      </w:pPr>
      <w:r>
        <w:rPr>
          <w:rFonts w:hint="eastAsia" w:ascii="宋体" w:hAnsi="宋体"/>
          <w:color w:val="auto"/>
          <w:sz w:val="24"/>
          <w:szCs w:val="24"/>
          <w:highlight w:val="none"/>
        </w:rPr>
        <w:t>二、请严格按本格式编制申请书，并将申请书与有关资料装订成册</w:t>
      </w:r>
      <w:r>
        <w:rPr>
          <w:rFonts w:hint="eastAsia" w:ascii="宋体" w:hAnsi="宋体" w:cs="宋体"/>
          <w:color w:val="auto"/>
          <w:kern w:val="0"/>
          <w:sz w:val="24"/>
          <w:highlight w:val="none"/>
        </w:rPr>
        <w:t>，由于装订原因造成材料的散落、丢失等，责任由代理机构承担。</w:t>
      </w:r>
    </w:p>
    <w:p>
      <w:pPr>
        <w:ind w:firstLine="480" w:firstLineChars="200"/>
        <w:rPr>
          <w:rFonts w:ascii="宋体" w:hAnsi="宋体" w:cs="宋体"/>
          <w:color w:val="auto"/>
          <w:kern w:val="0"/>
          <w:sz w:val="24"/>
          <w:highlight w:val="none"/>
        </w:rPr>
      </w:pPr>
    </w:p>
    <w:p>
      <w:pPr>
        <w:ind w:firstLine="480" w:firstLineChars="200"/>
        <w:rPr>
          <w:rFonts w:ascii="宋体" w:hAnsi="宋体" w:cs="宋体"/>
          <w:color w:val="auto"/>
          <w:kern w:val="0"/>
          <w:sz w:val="24"/>
          <w:highlight w:val="none"/>
        </w:rPr>
      </w:pPr>
    </w:p>
    <w:p>
      <w:pPr>
        <w:ind w:firstLine="480" w:firstLineChars="200"/>
        <w:rPr>
          <w:rFonts w:ascii="宋体" w:hAnsi="宋体" w:cs="宋体"/>
          <w:color w:val="auto"/>
          <w:kern w:val="0"/>
          <w:sz w:val="24"/>
          <w:highlight w:val="none"/>
        </w:rPr>
      </w:pPr>
    </w:p>
    <w:p>
      <w:pPr>
        <w:pageBreakBefore/>
        <w:ind w:firstLine="482" w:firstLineChars="200"/>
        <w:jc w:val="center"/>
        <w:rPr>
          <w:rFonts w:ascii="宋体" w:hAnsi="宋体"/>
          <w:b/>
          <w:color w:val="auto"/>
          <w:sz w:val="24"/>
          <w:szCs w:val="24"/>
          <w:highlight w:val="none"/>
        </w:rPr>
      </w:pPr>
      <w:r>
        <w:rPr>
          <w:rFonts w:hint="eastAsia" w:ascii="宋体" w:hAnsi="宋体"/>
          <w:b/>
          <w:color w:val="auto"/>
          <w:sz w:val="24"/>
          <w:szCs w:val="24"/>
          <w:highlight w:val="none"/>
        </w:rPr>
        <w:t>申请书目录（根据内容自拟）</w:t>
      </w:r>
    </w:p>
    <w:p>
      <w:pPr>
        <w:rPr>
          <w:b/>
          <w:color w:val="auto"/>
          <w:highlight w:val="none"/>
        </w:rPr>
      </w:pPr>
      <w:r>
        <w:rPr>
          <w:rFonts w:hint="eastAsia"/>
          <w:b/>
          <w:color w:val="auto"/>
          <w:sz w:val="24"/>
          <w:highlight w:val="none"/>
        </w:rPr>
        <w:t>一、法定代表人身份证明书</w:t>
      </w:r>
    </w:p>
    <w:p>
      <w:pPr>
        <w:ind w:firstLine="480" w:firstLineChars="200"/>
        <w:rPr>
          <w:rFonts w:ascii="宋体" w:hAnsi="宋体"/>
          <w:color w:val="auto"/>
          <w:sz w:val="24"/>
          <w:szCs w:val="24"/>
          <w:highlight w:val="none"/>
        </w:rPr>
      </w:pPr>
      <w:r>
        <w:rPr>
          <w:rFonts w:hint="eastAsia" w:ascii="宋体" w:hAnsi="宋体"/>
          <w:color w:val="auto"/>
          <w:sz w:val="24"/>
          <w:szCs w:val="24"/>
          <w:highlight w:val="none"/>
          <w:lang w:eastAsia="zh-CN"/>
        </w:rPr>
        <w:t>赣州银行股份有限公司</w:t>
      </w:r>
      <w:r>
        <w:rPr>
          <w:rFonts w:hint="eastAsia" w:ascii="宋体" w:hAnsi="宋体"/>
          <w:color w:val="auto"/>
          <w:sz w:val="24"/>
          <w:szCs w:val="24"/>
          <w:highlight w:val="none"/>
        </w:rPr>
        <w:t>：</w:t>
      </w:r>
    </w:p>
    <w:p>
      <w:pPr>
        <w:ind w:firstLine="480" w:firstLineChars="200"/>
        <w:rPr>
          <w:rFonts w:ascii="宋体" w:hAnsi="宋体"/>
          <w:color w:val="auto"/>
          <w:sz w:val="24"/>
          <w:szCs w:val="24"/>
          <w:highlight w:val="none"/>
        </w:rPr>
      </w:pPr>
      <w:r>
        <w:rPr>
          <w:rFonts w:hint="eastAsia" w:ascii="宋体" w:hAnsi="宋体"/>
          <w:color w:val="auto"/>
          <w:sz w:val="24"/>
          <w:szCs w:val="24"/>
          <w:highlight w:val="none"/>
        </w:rPr>
        <w:t>代理机构名称：</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ind w:firstLine="480" w:firstLineChars="200"/>
        <w:rPr>
          <w:rFonts w:ascii="宋体" w:hAnsi="宋体"/>
          <w:color w:val="auto"/>
          <w:sz w:val="24"/>
          <w:szCs w:val="24"/>
          <w:highlight w:val="none"/>
        </w:rPr>
      </w:pPr>
      <w:r>
        <w:rPr>
          <w:rFonts w:hint="eastAsia" w:ascii="宋体" w:hAnsi="宋体"/>
          <w:color w:val="auto"/>
          <w:sz w:val="24"/>
          <w:szCs w:val="24"/>
          <w:highlight w:val="none"/>
        </w:rPr>
        <w:t>单位性质：</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ind w:firstLine="480" w:firstLineChars="200"/>
        <w:rPr>
          <w:rFonts w:ascii="宋体" w:hAnsi="宋体"/>
          <w:color w:val="auto"/>
          <w:sz w:val="24"/>
          <w:szCs w:val="24"/>
          <w:highlight w:val="none"/>
        </w:rPr>
      </w:pPr>
      <w:r>
        <w:rPr>
          <w:rFonts w:hint="eastAsia" w:ascii="宋体" w:hAnsi="宋体"/>
          <w:color w:val="auto"/>
          <w:sz w:val="24"/>
          <w:szCs w:val="24"/>
          <w:highlight w:val="none"/>
        </w:rPr>
        <w:t>地址：</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ind w:firstLine="480" w:firstLineChars="200"/>
        <w:rPr>
          <w:rFonts w:ascii="宋体" w:hAnsi="宋体"/>
          <w:color w:val="auto"/>
          <w:sz w:val="24"/>
          <w:szCs w:val="24"/>
          <w:highlight w:val="none"/>
        </w:rPr>
      </w:pPr>
      <w:r>
        <w:rPr>
          <w:rFonts w:hint="eastAsia" w:ascii="宋体" w:hAnsi="宋体"/>
          <w:color w:val="auto"/>
          <w:sz w:val="24"/>
          <w:szCs w:val="24"/>
          <w:highlight w:val="none"/>
        </w:rPr>
        <w:t>成立时间：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ind w:firstLine="480" w:firstLineChars="200"/>
        <w:rPr>
          <w:rFonts w:ascii="宋体" w:hAnsi="宋体"/>
          <w:color w:val="auto"/>
          <w:sz w:val="24"/>
          <w:szCs w:val="24"/>
          <w:highlight w:val="none"/>
        </w:rPr>
      </w:pPr>
      <w:r>
        <w:rPr>
          <w:rFonts w:hint="eastAsia" w:ascii="宋体" w:hAnsi="宋体"/>
          <w:color w:val="auto"/>
          <w:sz w:val="24"/>
          <w:szCs w:val="24"/>
          <w:highlight w:val="none"/>
        </w:rPr>
        <w:t>经营期限：</w:t>
      </w:r>
      <w:r>
        <w:rPr>
          <w:rFonts w:hint="eastAsia" w:ascii="宋体" w:hAnsi="宋体"/>
          <w:color w:val="auto"/>
          <w:sz w:val="24"/>
          <w:szCs w:val="24"/>
          <w:highlight w:val="none"/>
          <w:u w:val="single"/>
        </w:rPr>
        <w:t xml:space="preserve">                                        </w:t>
      </w:r>
    </w:p>
    <w:p>
      <w:pPr>
        <w:ind w:firstLine="480" w:firstLineChars="200"/>
        <w:rPr>
          <w:rFonts w:ascii="宋体" w:hAnsi="宋体"/>
          <w:color w:val="auto"/>
          <w:sz w:val="24"/>
          <w:szCs w:val="24"/>
          <w:highlight w:val="none"/>
        </w:rPr>
      </w:pPr>
      <w:r>
        <w:rPr>
          <w:rFonts w:hint="eastAsia" w:ascii="宋体" w:hAnsi="宋体"/>
          <w:color w:val="auto"/>
          <w:sz w:val="24"/>
          <w:szCs w:val="24"/>
          <w:highlight w:val="none"/>
        </w:rPr>
        <w:t>姓名：</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性别：</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年龄：</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职务：</w:t>
      </w:r>
      <w:r>
        <w:rPr>
          <w:rFonts w:hint="eastAsia" w:ascii="宋体" w:hAnsi="宋体"/>
          <w:color w:val="auto"/>
          <w:sz w:val="24"/>
          <w:szCs w:val="24"/>
          <w:highlight w:val="none"/>
          <w:u w:val="single"/>
        </w:rPr>
        <w:t xml:space="preserve">      </w:t>
      </w:r>
    </w:p>
    <w:p>
      <w:pPr>
        <w:ind w:firstLine="480" w:firstLineChars="200"/>
        <w:rPr>
          <w:rFonts w:ascii="宋体" w:hAnsi="宋体"/>
          <w:color w:val="auto"/>
          <w:sz w:val="24"/>
          <w:szCs w:val="24"/>
          <w:highlight w:val="none"/>
        </w:rPr>
      </w:pPr>
      <w:r>
        <w:rPr>
          <w:rFonts w:hint="eastAsia" w:ascii="宋体" w:hAnsi="宋体"/>
          <w:color w:val="auto"/>
          <w:sz w:val="24"/>
          <w:szCs w:val="24"/>
          <w:highlight w:val="none"/>
        </w:rPr>
        <w:t>系</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的法定代表人，签署</w:t>
      </w:r>
      <w:r>
        <w:rPr>
          <w:rFonts w:hint="eastAsia" w:ascii="宋体" w:hAnsi="宋体"/>
          <w:color w:val="auto"/>
          <w:sz w:val="24"/>
          <w:szCs w:val="24"/>
          <w:highlight w:val="none"/>
          <w:lang w:eastAsia="zh-CN"/>
        </w:rPr>
        <w:t>赣州银行股份有限公司</w:t>
      </w:r>
      <w:r>
        <w:rPr>
          <w:rFonts w:hint="eastAsia" w:ascii="宋体" w:hAnsi="宋体"/>
          <w:color w:val="auto"/>
          <w:sz w:val="24"/>
          <w:highlight w:val="none"/>
        </w:rPr>
        <w:t>政府采购货物类、服务类及工程招标项目社会代理入库</w:t>
      </w:r>
      <w:r>
        <w:rPr>
          <w:rFonts w:hint="eastAsia" w:ascii="宋体" w:hAnsi="宋体"/>
          <w:color w:val="auto"/>
          <w:sz w:val="24"/>
          <w:szCs w:val="24"/>
          <w:highlight w:val="none"/>
        </w:rPr>
        <w:t>遴选活动的一切文件，并处理与之有关的一切事务。</w:t>
      </w:r>
    </w:p>
    <w:p>
      <w:pPr>
        <w:ind w:firstLine="480" w:firstLineChars="200"/>
        <w:rPr>
          <w:rFonts w:ascii="宋体" w:hAnsi="宋体"/>
          <w:color w:val="auto"/>
          <w:sz w:val="24"/>
          <w:szCs w:val="24"/>
          <w:highlight w:val="none"/>
        </w:rPr>
      </w:pPr>
      <w:r>
        <w:rPr>
          <w:rFonts w:hint="eastAsia" w:ascii="宋体" w:hAnsi="宋体"/>
          <w:color w:val="auto"/>
          <w:sz w:val="24"/>
          <w:szCs w:val="24"/>
          <w:highlight w:val="none"/>
        </w:rPr>
        <w:t>特此证明。</w:t>
      </w:r>
    </w:p>
    <w:p>
      <w:pPr>
        <w:ind w:firstLine="480" w:firstLineChars="200"/>
        <w:rPr>
          <w:rFonts w:ascii="宋体" w:hAnsi="宋体"/>
          <w:color w:val="auto"/>
          <w:sz w:val="24"/>
          <w:szCs w:val="24"/>
          <w:highlight w:val="none"/>
        </w:rPr>
      </w:pPr>
      <w:r>
        <w:rPr>
          <w:rFonts w:hint="eastAsia" w:ascii="宋体" w:hAnsi="宋体"/>
          <w:color w:val="auto"/>
          <w:sz w:val="24"/>
          <w:szCs w:val="24"/>
          <w:highlight w:val="none"/>
        </w:rPr>
        <w:t>代理机构名称：（盖单位章）</w:t>
      </w:r>
    </w:p>
    <w:p>
      <w:pPr>
        <w:ind w:firstLine="480" w:firstLineChars="200"/>
        <w:rPr>
          <w:rFonts w:ascii="宋体" w:hAnsi="宋体"/>
          <w:color w:val="auto"/>
          <w:sz w:val="24"/>
          <w:szCs w:val="24"/>
          <w:highlight w:val="none"/>
        </w:rPr>
      </w:pPr>
      <w:r>
        <w:rPr>
          <w:rFonts w:hint="eastAsia" w:ascii="宋体" w:hAnsi="宋体"/>
          <w:color w:val="auto"/>
          <w:sz w:val="24"/>
          <w:szCs w:val="24"/>
          <w:highlight w:val="none"/>
        </w:rPr>
        <w:t>日期：</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rPr>
          <w:rFonts w:ascii="宋体" w:hAnsi="宋体"/>
          <w:b/>
          <w:color w:val="auto"/>
          <w:sz w:val="24"/>
          <w:szCs w:val="24"/>
          <w:highlight w:val="none"/>
        </w:rPr>
      </w:pPr>
      <w:r>
        <w:rPr>
          <w:rFonts w:hint="eastAsia" w:ascii="宋体" w:hAnsi="宋体"/>
          <w:b/>
          <w:color w:val="auto"/>
          <w:sz w:val="24"/>
          <w:szCs w:val="24"/>
          <w:highlight w:val="none"/>
        </w:rPr>
        <w:t>二、法定代表人委托授权书</w:t>
      </w:r>
    </w:p>
    <w:p>
      <w:pPr>
        <w:jc w:val="left"/>
        <w:rPr>
          <w:rFonts w:ascii="宋体" w:hAnsi="宋体"/>
          <w:color w:val="auto"/>
          <w:sz w:val="24"/>
          <w:szCs w:val="24"/>
          <w:highlight w:val="none"/>
        </w:rPr>
      </w:pPr>
      <w:r>
        <w:rPr>
          <w:rFonts w:hint="eastAsia" w:ascii="宋体" w:hAnsi="宋体"/>
          <w:color w:val="auto"/>
          <w:sz w:val="24"/>
          <w:szCs w:val="24"/>
          <w:highlight w:val="none"/>
          <w:lang w:eastAsia="zh-CN"/>
        </w:rPr>
        <w:t>赣州银行股份有限公司</w:t>
      </w:r>
      <w:r>
        <w:rPr>
          <w:rFonts w:hint="eastAsia" w:ascii="宋体" w:hAnsi="宋体"/>
          <w:color w:val="auto"/>
          <w:sz w:val="24"/>
          <w:szCs w:val="24"/>
          <w:highlight w:val="none"/>
        </w:rPr>
        <w:t>：</w:t>
      </w:r>
    </w:p>
    <w:p>
      <w:pPr>
        <w:ind w:right="-315" w:rightChars="-150" w:firstLine="480" w:firstLineChars="200"/>
        <w:rPr>
          <w:rFonts w:ascii="宋体" w:hAnsi="宋体"/>
          <w:color w:val="auto"/>
          <w:sz w:val="24"/>
          <w:szCs w:val="24"/>
          <w:highlight w:val="none"/>
        </w:rPr>
      </w:pPr>
      <w:r>
        <w:rPr>
          <w:rFonts w:hint="eastAsia" w:ascii="宋体" w:hAnsi="宋体"/>
          <w:color w:val="auto"/>
          <w:sz w:val="24"/>
          <w:szCs w:val="24"/>
          <w:highlight w:val="none"/>
        </w:rPr>
        <w:t>本授权声明：</w:t>
      </w:r>
      <w:r>
        <w:rPr>
          <w:rFonts w:hint="eastAsia" w:ascii="宋体" w:hAnsi="宋体"/>
          <w:color w:val="auto"/>
          <w:sz w:val="24"/>
          <w:szCs w:val="24"/>
          <w:highlight w:val="none"/>
          <w:u w:val="single"/>
        </w:rPr>
        <w:t>　　　　　　　　　　　　</w:t>
      </w:r>
      <w:r>
        <w:rPr>
          <w:rFonts w:hint="eastAsia" w:ascii="宋体" w:hAnsi="宋体"/>
          <w:color w:val="auto"/>
          <w:sz w:val="24"/>
          <w:szCs w:val="24"/>
          <w:highlight w:val="none"/>
        </w:rPr>
        <w:t>（代理机构全称）</w:t>
      </w:r>
      <w:r>
        <w:rPr>
          <w:rFonts w:hint="eastAsia" w:ascii="宋体" w:hAnsi="宋体"/>
          <w:color w:val="auto"/>
          <w:sz w:val="24"/>
          <w:szCs w:val="24"/>
          <w:highlight w:val="none"/>
          <w:u w:val="single"/>
        </w:rPr>
        <w:t>　　　　 </w:t>
      </w:r>
      <w:r>
        <w:rPr>
          <w:rFonts w:hint="eastAsia" w:ascii="宋体" w:hAnsi="宋体"/>
          <w:color w:val="auto"/>
          <w:sz w:val="24"/>
          <w:szCs w:val="24"/>
          <w:highlight w:val="none"/>
        </w:rPr>
        <w:t>（法定代表人姓名、职务）授权</w:t>
      </w:r>
      <w:r>
        <w:rPr>
          <w:rFonts w:hint="eastAsia" w:ascii="宋体" w:hAnsi="宋体"/>
          <w:color w:val="auto"/>
          <w:sz w:val="24"/>
          <w:szCs w:val="24"/>
          <w:highlight w:val="none"/>
          <w:u w:val="single"/>
        </w:rPr>
        <w:t>　　　　　　　  　　　　</w:t>
      </w:r>
      <w:r>
        <w:rPr>
          <w:rFonts w:hint="eastAsia" w:ascii="宋体" w:hAnsi="宋体"/>
          <w:color w:val="auto"/>
          <w:sz w:val="24"/>
          <w:szCs w:val="24"/>
          <w:highlight w:val="none"/>
        </w:rPr>
        <w:t>（被授权人姓名、职务）为我方参与</w:t>
      </w:r>
      <w:r>
        <w:rPr>
          <w:rFonts w:hint="eastAsia" w:ascii="宋体" w:hAnsi="宋体"/>
          <w:color w:val="auto"/>
          <w:sz w:val="24"/>
          <w:szCs w:val="24"/>
          <w:highlight w:val="none"/>
          <w:lang w:eastAsia="zh-CN"/>
        </w:rPr>
        <w:t>赣州银行股份有限公司</w:t>
      </w:r>
      <w:r>
        <w:rPr>
          <w:rFonts w:hint="eastAsia" w:ascii="宋体" w:hAnsi="宋体"/>
          <w:color w:val="auto"/>
          <w:sz w:val="24"/>
          <w:szCs w:val="24"/>
          <w:highlight w:val="none"/>
          <w:u w:val="single"/>
        </w:rPr>
        <w:t>　　　　　　　　　　</w:t>
      </w:r>
      <w:r>
        <w:rPr>
          <w:rFonts w:hint="eastAsia" w:ascii="宋体" w:hAnsi="宋体"/>
          <w:color w:val="auto"/>
          <w:sz w:val="24"/>
          <w:szCs w:val="24"/>
          <w:highlight w:val="none"/>
        </w:rPr>
        <w:t>遴选活动的合法代表，以我方名义全权处理该项目的一切事务。</w:t>
      </w:r>
    </w:p>
    <w:p>
      <w:pPr>
        <w:ind w:firstLine="480" w:firstLineChars="200"/>
        <w:rPr>
          <w:rFonts w:ascii="宋体" w:hAnsi="宋体"/>
          <w:color w:val="auto"/>
          <w:sz w:val="24"/>
          <w:szCs w:val="24"/>
          <w:highlight w:val="none"/>
        </w:rPr>
      </w:pPr>
      <w:r>
        <w:rPr>
          <w:rFonts w:hint="eastAsia" w:ascii="宋体" w:hAnsi="宋体"/>
          <w:color w:val="auto"/>
          <w:sz w:val="24"/>
          <w:szCs w:val="24"/>
          <w:highlight w:val="none"/>
        </w:rPr>
        <w:t>特此声明。</w:t>
      </w:r>
    </w:p>
    <w:p>
      <w:pPr>
        <w:ind w:firstLine="480" w:firstLineChars="200"/>
        <w:rPr>
          <w:rFonts w:ascii="宋体" w:hAnsi="宋体"/>
          <w:color w:val="auto"/>
          <w:sz w:val="24"/>
          <w:szCs w:val="24"/>
          <w:highlight w:val="none"/>
        </w:rPr>
      </w:pPr>
      <w:r>
        <w:rPr>
          <w:rFonts w:hint="eastAsia" w:ascii="宋体" w:hAnsi="宋体"/>
          <w:color w:val="auto"/>
          <w:sz w:val="24"/>
          <w:szCs w:val="24"/>
          <w:highlight w:val="none"/>
        </w:rPr>
        <w:t>代理机构名称（全称）：</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（盖章）</w:t>
      </w:r>
    </w:p>
    <w:p>
      <w:pPr>
        <w:ind w:firstLine="480" w:firstLineChars="200"/>
        <w:rPr>
          <w:rFonts w:ascii="宋体" w:hAnsi="宋体"/>
          <w:color w:val="auto"/>
          <w:sz w:val="24"/>
          <w:szCs w:val="24"/>
          <w:highlight w:val="none"/>
        </w:rPr>
      </w:pPr>
      <w:r>
        <w:rPr>
          <w:rFonts w:hint="eastAsia" w:ascii="宋体" w:hAnsi="宋体"/>
          <w:color w:val="auto"/>
          <w:sz w:val="24"/>
          <w:szCs w:val="24"/>
          <w:highlight w:val="none"/>
        </w:rPr>
        <w:t>法定代表人（签字）：</w:t>
      </w:r>
      <w:r>
        <w:rPr>
          <w:rFonts w:hint="eastAsia" w:ascii="宋体" w:hAnsi="宋体"/>
          <w:color w:val="auto"/>
          <w:sz w:val="24"/>
          <w:szCs w:val="24"/>
          <w:highlight w:val="none"/>
          <w:u w:val="single"/>
        </w:rPr>
        <w:t xml:space="preserve">　      　　　  　　　　　　  </w:t>
      </w:r>
    </w:p>
    <w:p>
      <w:pPr>
        <w:ind w:firstLine="480" w:firstLineChars="200"/>
        <w:rPr>
          <w:rFonts w:ascii="宋体" w:hAnsi="宋体"/>
          <w:color w:val="auto"/>
          <w:sz w:val="24"/>
          <w:szCs w:val="24"/>
          <w:highlight w:val="none"/>
        </w:rPr>
      </w:pPr>
      <w:r>
        <w:rPr>
          <w:rFonts w:hint="eastAsia" w:ascii="宋体" w:hAnsi="宋体"/>
          <w:color w:val="auto"/>
          <w:sz w:val="24"/>
          <w:szCs w:val="24"/>
          <w:highlight w:val="none"/>
        </w:rPr>
        <w:t>身份证号码：</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ind w:firstLine="480" w:firstLineChars="200"/>
        <w:rPr>
          <w:rFonts w:ascii="宋体" w:hAnsi="宋体"/>
          <w:color w:val="auto"/>
          <w:sz w:val="24"/>
          <w:szCs w:val="24"/>
          <w:highlight w:val="none"/>
        </w:rPr>
      </w:pPr>
      <w:r>
        <w:rPr>
          <w:rFonts w:hint="eastAsia" w:ascii="宋体" w:hAnsi="宋体"/>
          <w:color w:val="auto"/>
          <w:sz w:val="24"/>
          <w:szCs w:val="24"/>
          <w:highlight w:val="none"/>
        </w:rPr>
        <w:t>委托代理人：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（签字）</w:t>
      </w:r>
    </w:p>
    <w:p>
      <w:pPr>
        <w:ind w:firstLine="480" w:firstLineChars="200"/>
        <w:rPr>
          <w:rFonts w:ascii="宋体" w:hAnsi="宋体"/>
          <w:color w:val="auto"/>
          <w:sz w:val="24"/>
          <w:szCs w:val="24"/>
          <w:highlight w:val="none"/>
        </w:rPr>
      </w:pPr>
      <w:r>
        <w:rPr>
          <w:rFonts w:hint="eastAsia" w:ascii="宋体" w:hAnsi="宋体"/>
          <w:color w:val="auto"/>
          <w:sz w:val="24"/>
          <w:szCs w:val="24"/>
          <w:highlight w:val="none"/>
        </w:rPr>
        <w:t>身份证号码：</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ind w:firstLine="480" w:firstLineChars="200"/>
        <w:rPr>
          <w:rFonts w:ascii="宋体" w:hAnsi="宋体"/>
          <w:color w:val="auto"/>
          <w:sz w:val="24"/>
          <w:highlight w:val="none"/>
        </w:rPr>
      </w:pPr>
      <w:r>
        <w:rPr>
          <w:rFonts w:hint="eastAsia" w:ascii="宋体" w:hAnsi="宋体"/>
          <w:color w:val="auto"/>
          <w:sz w:val="24"/>
          <w:highlight w:val="none"/>
        </w:rPr>
        <w:t>时间：        　　　　　　　　　　</w:t>
      </w:r>
    </w:p>
    <w:p>
      <w:pPr>
        <w:ind w:firstLine="480" w:firstLineChars="200"/>
        <w:rPr>
          <w:rFonts w:ascii="宋体" w:hAnsi="宋体"/>
          <w:color w:val="auto"/>
          <w:sz w:val="24"/>
          <w:highlight w:val="none"/>
        </w:rPr>
      </w:pPr>
      <w:r>
        <w:rPr>
          <w:rFonts w:hint="eastAsia" w:ascii="宋体" w:hAnsi="宋体"/>
          <w:color w:val="auto"/>
          <w:sz w:val="24"/>
          <w:highlight w:val="none"/>
        </w:rPr>
        <w:t>附：法定代表人、被授权人身份证复印件（加盖单位公章，身份证需提供正反面）。</w:t>
      </w:r>
    </w:p>
    <w:tbl>
      <w:tblPr>
        <w:tblStyle w:val="8"/>
        <w:tblW w:w="90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1"/>
        <w:gridCol w:w="4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5" w:hRule="atLeast"/>
          <w:jc w:val="center"/>
        </w:trPr>
        <w:tc>
          <w:tcPr>
            <w:tcW w:w="4501" w:type="dxa"/>
            <w:vAlign w:val="center"/>
          </w:tcPr>
          <w:p>
            <w:pPr>
              <w:outlineLvl w:val="0"/>
              <w:rPr>
                <w:rFonts w:ascii="宋体" w:hAnsi="宋体"/>
                <w:color w:val="auto"/>
                <w:sz w:val="24"/>
                <w:highlight w:val="none"/>
              </w:rPr>
            </w:pPr>
          </w:p>
          <w:p>
            <w:pPr>
              <w:jc w:val="center"/>
              <w:outlineLvl w:val="0"/>
              <w:rPr>
                <w:rFonts w:ascii="宋体" w:hAnsi="宋体"/>
                <w:color w:val="auto"/>
                <w:sz w:val="24"/>
                <w:highlight w:val="none"/>
              </w:rPr>
            </w:pPr>
            <w:r>
              <w:rPr>
                <w:rFonts w:hint="eastAsia" w:ascii="宋体" w:hAnsi="宋体"/>
                <w:color w:val="auto"/>
                <w:sz w:val="24"/>
                <w:highlight w:val="none"/>
              </w:rPr>
              <w:t>法定代表人身份证复印件（正面）</w:t>
            </w:r>
          </w:p>
          <w:p>
            <w:pPr>
              <w:outlineLvl w:val="0"/>
              <w:rPr>
                <w:rFonts w:ascii="宋体" w:hAnsi="宋体"/>
                <w:color w:val="auto"/>
                <w:sz w:val="24"/>
                <w:highlight w:val="none"/>
              </w:rPr>
            </w:pPr>
          </w:p>
        </w:tc>
        <w:tc>
          <w:tcPr>
            <w:tcW w:w="4501" w:type="dxa"/>
            <w:vAlign w:val="center"/>
          </w:tcPr>
          <w:p>
            <w:pPr>
              <w:jc w:val="center"/>
              <w:outlineLvl w:val="0"/>
              <w:rPr>
                <w:rFonts w:ascii="宋体" w:hAnsi="宋体"/>
                <w:color w:val="auto"/>
                <w:sz w:val="24"/>
                <w:highlight w:val="none"/>
              </w:rPr>
            </w:pPr>
            <w:r>
              <w:rPr>
                <w:rFonts w:hint="eastAsia" w:ascii="宋体" w:hAnsi="宋体"/>
                <w:color w:val="auto"/>
                <w:sz w:val="24"/>
                <w:highlight w:val="none"/>
              </w:rPr>
              <w:t>被授权人身份证复印件（正面）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8" w:hRule="atLeast"/>
          <w:jc w:val="center"/>
        </w:trPr>
        <w:tc>
          <w:tcPr>
            <w:tcW w:w="4501" w:type="dxa"/>
            <w:vAlign w:val="center"/>
          </w:tcPr>
          <w:p>
            <w:pPr>
              <w:jc w:val="center"/>
              <w:outlineLvl w:val="0"/>
              <w:rPr>
                <w:rFonts w:ascii="宋体" w:hAnsi="宋体"/>
                <w:color w:val="auto"/>
                <w:sz w:val="24"/>
                <w:highlight w:val="none"/>
              </w:rPr>
            </w:pPr>
            <w:r>
              <w:rPr>
                <w:rFonts w:hint="eastAsia" w:ascii="宋体" w:hAnsi="宋体"/>
                <w:color w:val="auto"/>
                <w:sz w:val="24"/>
                <w:highlight w:val="none"/>
              </w:rPr>
              <w:t>法定代表人身份证复印件（反面）</w:t>
            </w:r>
          </w:p>
        </w:tc>
        <w:tc>
          <w:tcPr>
            <w:tcW w:w="4501" w:type="dxa"/>
            <w:vAlign w:val="center"/>
          </w:tcPr>
          <w:p>
            <w:pPr>
              <w:jc w:val="center"/>
              <w:outlineLvl w:val="0"/>
              <w:rPr>
                <w:rFonts w:ascii="宋体" w:hAnsi="宋体"/>
                <w:color w:val="auto"/>
                <w:sz w:val="24"/>
                <w:highlight w:val="none"/>
              </w:rPr>
            </w:pPr>
            <w:r>
              <w:rPr>
                <w:rFonts w:hint="eastAsia" w:ascii="宋体" w:hAnsi="宋体"/>
                <w:color w:val="auto"/>
                <w:sz w:val="24"/>
                <w:highlight w:val="none"/>
              </w:rPr>
              <w:t>被授权人身份证复印件（反面）</w:t>
            </w:r>
          </w:p>
        </w:tc>
      </w:tr>
    </w:tbl>
    <w:p>
      <w:pPr>
        <w:rPr>
          <w:rFonts w:ascii="宋体" w:hAnsi="宋体"/>
          <w:b/>
          <w:color w:val="auto"/>
          <w:sz w:val="24"/>
          <w:highlight w:val="none"/>
        </w:rPr>
      </w:pPr>
      <w:bookmarkStart w:id="5" w:name="_Hlt26955066"/>
      <w:bookmarkEnd w:id="5"/>
      <w:bookmarkStart w:id="6" w:name="_Hlt26671343"/>
      <w:bookmarkEnd w:id="6"/>
      <w:bookmarkStart w:id="7" w:name="_Hlt26580838"/>
      <w:bookmarkEnd w:id="7"/>
      <w:bookmarkStart w:id="8" w:name="_Hlt24879081"/>
      <w:bookmarkEnd w:id="8"/>
      <w:bookmarkStart w:id="9" w:name="_Hlt26671374"/>
      <w:bookmarkEnd w:id="9"/>
      <w:bookmarkStart w:id="10" w:name="_Hlt26609391"/>
      <w:bookmarkEnd w:id="10"/>
      <w:bookmarkStart w:id="11" w:name="_Hlt26609389"/>
      <w:bookmarkEnd w:id="11"/>
      <w:bookmarkStart w:id="12" w:name="_Toc290389791"/>
      <w:bookmarkEnd w:id="12"/>
      <w:bookmarkStart w:id="13" w:name="_格式2__法定代表人授权书"/>
      <w:bookmarkEnd w:id="13"/>
      <w:bookmarkStart w:id="14" w:name="_Hlt26955064"/>
      <w:bookmarkEnd w:id="14"/>
      <w:bookmarkStart w:id="15" w:name="_Hlt26671372"/>
      <w:bookmarkEnd w:id="15"/>
      <w:bookmarkStart w:id="16" w:name="_Hlt26955056"/>
      <w:bookmarkEnd w:id="16"/>
      <w:bookmarkStart w:id="17" w:name="_Hlt26782999"/>
      <w:bookmarkEnd w:id="17"/>
    </w:p>
    <w:p>
      <w:pPr>
        <w:rPr>
          <w:rFonts w:ascii="宋体" w:hAnsi="宋体"/>
          <w:b/>
          <w:color w:val="auto"/>
          <w:sz w:val="24"/>
          <w:highlight w:val="none"/>
        </w:rPr>
      </w:pPr>
    </w:p>
    <w:p>
      <w:pPr>
        <w:spacing w:line="276" w:lineRule="auto"/>
        <w:rPr>
          <w:rFonts w:ascii="宋体" w:hAnsi="宋体"/>
          <w:b/>
          <w:color w:val="auto"/>
          <w:sz w:val="24"/>
          <w:highlight w:val="none"/>
        </w:rPr>
      </w:pPr>
      <w:r>
        <w:rPr>
          <w:rFonts w:hint="eastAsia" w:ascii="宋体" w:hAnsi="宋体"/>
          <w:b/>
          <w:color w:val="auto"/>
          <w:sz w:val="24"/>
          <w:highlight w:val="none"/>
        </w:rPr>
        <w:t>三、资格证明文件</w:t>
      </w:r>
    </w:p>
    <w:p>
      <w:pPr>
        <w:spacing w:line="276" w:lineRule="auto"/>
        <w:ind w:firstLine="480" w:firstLineChars="200"/>
        <w:rPr>
          <w:rFonts w:ascii="宋体" w:hAnsi="宋体"/>
          <w:color w:val="auto"/>
          <w:sz w:val="24"/>
          <w:highlight w:val="none"/>
        </w:rPr>
      </w:pPr>
      <w:r>
        <w:rPr>
          <w:rFonts w:hint="eastAsia" w:ascii="宋体" w:hAnsi="宋体"/>
          <w:color w:val="auto"/>
          <w:sz w:val="24"/>
          <w:highlight w:val="none"/>
        </w:rPr>
        <w:t>1、具有企业法人资格（提供有效营业执照、税务登记证、组织机构代码证或三证合一原件复印件并加盖公章）；</w:t>
      </w:r>
    </w:p>
    <w:p>
      <w:pPr>
        <w:spacing w:line="276" w:lineRule="auto"/>
        <w:ind w:firstLine="480" w:firstLineChars="200"/>
        <w:rPr>
          <w:rFonts w:ascii="宋体" w:hAnsi="宋体"/>
          <w:color w:val="auto"/>
          <w:sz w:val="24"/>
          <w:highlight w:val="none"/>
        </w:rPr>
      </w:pPr>
      <w:r>
        <w:rPr>
          <w:rFonts w:hint="eastAsia" w:ascii="宋体" w:hAnsi="宋体"/>
          <w:color w:val="auto"/>
          <w:sz w:val="24"/>
          <w:highlight w:val="none"/>
        </w:rPr>
        <w:t>2、已在中国政府采购网（www.ccgp.gov.cn）登记并纳入政府采购代理机构名单（提供中国政府采购网截图并加盖公章）；</w:t>
      </w:r>
    </w:p>
    <w:p>
      <w:pPr>
        <w:spacing w:line="276" w:lineRule="auto"/>
        <w:ind w:firstLine="480" w:firstLineChars="200"/>
        <w:rPr>
          <w:rFonts w:ascii="宋体" w:hAnsi="宋体"/>
          <w:color w:val="auto"/>
          <w:sz w:val="24"/>
          <w:highlight w:val="none"/>
        </w:rPr>
      </w:pPr>
      <w:r>
        <w:rPr>
          <w:rFonts w:hint="eastAsia" w:ascii="宋体" w:hAnsi="宋体"/>
          <w:color w:val="auto"/>
          <w:sz w:val="24"/>
          <w:highlight w:val="none"/>
        </w:rPr>
        <w:t>3、在</w:t>
      </w:r>
      <w:r>
        <w:rPr>
          <w:rFonts w:hint="eastAsia" w:ascii="宋体" w:hAnsi="宋体"/>
          <w:color w:val="auto"/>
          <w:sz w:val="24"/>
          <w:highlight w:val="none"/>
          <w:lang w:eastAsia="zh-CN"/>
        </w:rPr>
        <w:t>赣州市</w:t>
      </w:r>
      <w:r>
        <w:rPr>
          <w:rFonts w:ascii="宋体" w:hAnsi="宋体"/>
          <w:color w:val="auto"/>
          <w:sz w:val="24"/>
          <w:highlight w:val="none"/>
        </w:rPr>
        <w:t>具有固定的</w:t>
      </w:r>
      <w:r>
        <w:rPr>
          <w:rFonts w:hint="eastAsia" w:ascii="宋体" w:hAnsi="宋体"/>
          <w:color w:val="auto"/>
          <w:sz w:val="24"/>
          <w:highlight w:val="none"/>
        </w:rPr>
        <w:t>办公经营</w:t>
      </w:r>
      <w:r>
        <w:rPr>
          <w:rFonts w:ascii="宋体" w:hAnsi="宋体"/>
          <w:color w:val="auto"/>
          <w:sz w:val="24"/>
          <w:highlight w:val="none"/>
        </w:rPr>
        <w:t>场所</w:t>
      </w:r>
      <w:r>
        <w:rPr>
          <w:rFonts w:hint="eastAsia" w:ascii="宋体" w:hAnsi="宋体"/>
          <w:color w:val="auto"/>
          <w:sz w:val="24"/>
          <w:highlight w:val="none"/>
        </w:rPr>
        <w:t>（提供自有房产证或租用房产协议原件复印件并加盖公章）</w:t>
      </w:r>
      <w:r>
        <w:rPr>
          <w:rFonts w:ascii="宋体" w:hAnsi="宋体"/>
          <w:color w:val="auto"/>
          <w:sz w:val="24"/>
          <w:highlight w:val="none"/>
        </w:rPr>
        <w:t>；</w:t>
      </w:r>
    </w:p>
    <w:p>
      <w:pPr>
        <w:spacing w:line="276" w:lineRule="auto"/>
        <w:ind w:firstLine="480" w:firstLineChars="200"/>
        <w:rPr>
          <w:rFonts w:ascii="宋体" w:hAnsi="宋体"/>
          <w:color w:val="auto"/>
          <w:sz w:val="24"/>
          <w:highlight w:val="none"/>
        </w:rPr>
      </w:pPr>
      <w:r>
        <w:rPr>
          <w:rFonts w:hint="eastAsia" w:ascii="宋体" w:hAnsi="宋体"/>
          <w:color w:val="auto"/>
          <w:sz w:val="24"/>
          <w:highlight w:val="none"/>
        </w:rPr>
        <w:t>4、投标人须具备良好</w:t>
      </w:r>
      <w:r>
        <w:rPr>
          <w:rFonts w:hint="eastAsia" w:ascii="宋体" w:hAnsi="宋体"/>
          <w:color w:val="auto"/>
          <w:sz w:val="24"/>
          <w:highlight w:val="none"/>
          <w:lang w:val="en-US" w:eastAsia="zh-CN"/>
        </w:rPr>
        <w:t>的经营情况</w:t>
      </w:r>
      <w:r>
        <w:rPr>
          <w:rFonts w:hint="eastAsia" w:ascii="宋体" w:hAnsi="宋体"/>
          <w:color w:val="auto"/>
          <w:sz w:val="24"/>
          <w:highlight w:val="none"/>
        </w:rPr>
        <w:t>（提供近三年经具备审计资格的第三方出具的审计报告复印件并加盖公章或财务报表复印件加盖 公章）；</w:t>
      </w:r>
    </w:p>
    <w:p>
      <w:pPr>
        <w:spacing w:line="276" w:lineRule="auto"/>
        <w:ind w:firstLine="480" w:firstLineChars="200"/>
        <w:rPr>
          <w:rFonts w:ascii="宋体" w:hAnsi="宋体"/>
          <w:color w:val="auto"/>
          <w:sz w:val="24"/>
          <w:highlight w:val="none"/>
        </w:rPr>
      </w:pPr>
      <w:r>
        <w:rPr>
          <w:rFonts w:hint="eastAsia" w:ascii="宋体" w:hAnsi="宋体"/>
          <w:color w:val="auto"/>
          <w:sz w:val="24"/>
          <w:highlight w:val="none"/>
        </w:rPr>
        <w:t>5、有依法缴纳税收和社会保障资金的良好记录（提供开标截止时间前六个月内任意一个月依法缴纳税收和社会保障资金的证明材料原件复印件并加盖公章）；</w:t>
      </w:r>
    </w:p>
    <w:p>
      <w:pPr>
        <w:spacing w:line="276" w:lineRule="auto"/>
        <w:ind w:firstLine="480" w:firstLineChars="200"/>
        <w:rPr>
          <w:rFonts w:ascii="宋体" w:hAnsi="宋体"/>
          <w:color w:val="auto"/>
          <w:sz w:val="24"/>
          <w:highlight w:val="none"/>
        </w:rPr>
      </w:pPr>
      <w:r>
        <w:rPr>
          <w:rFonts w:hint="eastAsia" w:ascii="宋体" w:hAnsi="宋体"/>
          <w:color w:val="auto"/>
          <w:sz w:val="24"/>
          <w:highlight w:val="none"/>
        </w:rPr>
        <w:t>6、具有良好商业信誉，在经营活动中没有重大违法违纪记录并与</w:t>
      </w:r>
      <w:r>
        <w:rPr>
          <w:rFonts w:hint="eastAsia" w:ascii="宋体" w:hAnsi="宋体"/>
          <w:color w:val="auto"/>
          <w:sz w:val="24"/>
          <w:highlight w:val="none"/>
          <w:lang w:eastAsia="zh-CN"/>
        </w:rPr>
        <w:t>赣州银行股份有限公司</w:t>
      </w:r>
      <w:r>
        <w:rPr>
          <w:rFonts w:hint="eastAsia" w:ascii="宋体" w:hAnsi="宋体"/>
          <w:color w:val="auto"/>
          <w:sz w:val="24"/>
          <w:highlight w:val="none"/>
        </w:rPr>
        <w:t>无法律诉讼行为（提供承诺函并加盖公章）；</w:t>
      </w:r>
    </w:p>
    <w:p>
      <w:pPr>
        <w:spacing w:line="276" w:lineRule="auto"/>
        <w:ind w:firstLine="480" w:firstLineChars="200"/>
        <w:rPr>
          <w:rFonts w:ascii="宋体" w:hAnsi="宋体"/>
          <w:color w:val="auto"/>
          <w:sz w:val="24"/>
          <w:highlight w:val="none"/>
        </w:rPr>
      </w:pPr>
      <w:r>
        <w:rPr>
          <w:rFonts w:hint="eastAsia" w:ascii="宋体" w:hAnsi="宋体"/>
          <w:color w:val="auto"/>
          <w:sz w:val="24"/>
          <w:highlight w:val="none"/>
        </w:rPr>
        <w:t>7、提供“信用中国”、“中国政府采购网政府采购代理机构不良行为记录名单”查询截图；</w:t>
      </w:r>
    </w:p>
    <w:p>
      <w:pPr>
        <w:spacing w:line="276" w:lineRule="auto"/>
        <w:ind w:firstLine="480" w:firstLineChars="200"/>
        <w:rPr>
          <w:rFonts w:ascii="宋体" w:hAnsi="宋体"/>
          <w:color w:val="auto"/>
          <w:sz w:val="24"/>
          <w:highlight w:val="none"/>
        </w:rPr>
      </w:pPr>
      <w:r>
        <w:rPr>
          <w:rFonts w:hint="eastAsia" w:ascii="宋体" w:hAnsi="宋体"/>
          <w:color w:val="auto"/>
          <w:sz w:val="24"/>
          <w:highlight w:val="none"/>
        </w:rPr>
        <w:t>8、不接受两个或两个以上社会采购代理机构以联合体方式参加遴选。</w:t>
      </w:r>
    </w:p>
    <w:p>
      <w:pPr>
        <w:ind w:firstLine="482" w:firstLineChars="200"/>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四、按本遴选文件第二章“申请须知”第</w:t>
      </w:r>
      <w:r>
        <w:rPr>
          <w:rFonts w:hint="eastAsia" w:ascii="宋体" w:hAnsi="宋体"/>
          <w:b/>
          <w:color w:val="auto"/>
          <w:sz w:val="24"/>
          <w:szCs w:val="24"/>
          <w:highlight w:val="none"/>
        </w:rPr>
        <w:t>二</w:t>
      </w:r>
      <w:r>
        <w:rPr>
          <w:rFonts w:hint="eastAsia" w:ascii="宋体" w:hAnsi="宋体"/>
          <w:b/>
          <w:color w:val="auto"/>
          <w:sz w:val="24"/>
          <w:highlight w:val="none"/>
        </w:rPr>
        <w:t>条“遴选”第六款“评分办法和标准”进行综合评分时所要求提供的所有材料</w:t>
      </w:r>
      <w:r>
        <w:rPr>
          <w:rFonts w:hint="eastAsia" w:ascii="宋体" w:hAnsi="宋体"/>
          <w:color w:val="auto"/>
          <w:sz w:val="24"/>
          <w:szCs w:val="24"/>
          <w:highlight w:val="none"/>
        </w:rPr>
        <w:t>（可提供的原件或原件</w:t>
      </w:r>
      <w:r>
        <w:rPr>
          <w:rFonts w:hint="eastAsia" w:ascii="宋体" w:hAnsi="宋体"/>
          <w:color w:val="auto"/>
          <w:sz w:val="24"/>
          <w:highlight w:val="none"/>
        </w:rPr>
        <w:t>复印件、扫描件，均须加盖公章，否则视为无效</w:t>
      </w:r>
      <w:r>
        <w:rPr>
          <w:rFonts w:hint="eastAsia" w:ascii="宋体" w:hAnsi="宋体"/>
          <w:color w:val="auto"/>
          <w:sz w:val="24"/>
          <w:szCs w:val="24"/>
          <w:highlight w:val="none"/>
        </w:rPr>
        <w:t>）</w:t>
      </w:r>
      <w:r>
        <w:rPr>
          <w:rFonts w:hint="eastAsia" w:ascii="宋体" w:hAnsi="宋体"/>
          <w:color w:val="auto"/>
          <w:sz w:val="24"/>
          <w:highlight w:val="none"/>
        </w:rPr>
        <w:t>。</w:t>
      </w:r>
    </w:p>
    <w:p>
      <w:pPr>
        <w:ind w:firstLine="480" w:firstLineChars="200"/>
        <w:jc w:val="center"/>
        <w:rPr>
          <w:rFonts w:ascii="宋体" w:hAnsi="宋体" w:cs="宋体"/>
          <w:color w:val="auto"/>
          <w:sz w:val="24"/>
          <w:highlight w:val="none"/>
        </w:rPr>
      </w:pPr>
      <w:r>
        <w:rPr>
          <w:rFonts w:hint="eastAsia" w:ascii="宋体" w:hAnsi="宋体" w:cs="宋体"/>
          <w:color w:val="auto"/>
          <w:sz w:val="24"/>
          <w:highlight w:val="none"/>
        </w:rPr>
        <w:t>（一）采购代理机构基本情况表</w:t>
      </w:r>
    </w:p>
    <w:tbl>
      <w:tblPr>
        <w:tblStyle w:val="8"/>
        <w:tblW w:w="8774" w:type="dxa"/>
        <w:tblInd w:w="437" w:type="dxa"/>
        <w:tblLayout w:type="fixed"/>
        <w:tblCellMar>
          <w:top w:w="0" w:type="dxa"/>
          <w:left w:w="0" w:type="dxa"/>
          <w:bottom w:w="0" w:type="dxa"/>
          <w:right w:w="0" w:type="dxa"/>
        </w:tblCellMar>
      </w:tblPr>
      <w:tblGrid>
        <w:gridCol w:w="508"/>
        <w:gridCol w:w="1091"/>
        <w:gridCol w:w="134"/>
        <w:gridCol w:w="1008"/>
        <w:gridCol w:w="135"/>
        <w:gridCol w:w="1074"/>
        <w:gridCol w:w="298"/>
        <w:gridCol w:w="609"/>
        <w:gridCol w:w="831"/>
        <w:gridCol w:w="657"/>
        <w:gridCol w:w="243"/>
        <w:gridCol w:w="1152"/>
        <w:gridCol w:w="1034"/>
      </w:tblGrid>
      <w:tr>
        <w:tblPrEx>
          <w:tblLayout w:type="fixed"/>
          <w:tblCellMar>
            <w:top w:w="0" w:type="dxa"/>
            <w:left w:w="0" w:type="dxa"/>
            <w:bottom w:w="0" w:type="dxa"/>
            <w:right w:w="0" w:type="dxa"/>
          </w:tblCellMar>
        </w:tblPrEx>
        <w:trPr>
          <w:trHeight w:val="680" w:hRule="atLeast"/>
        </w:trPr>
        <w:tc>
          <w:tcPr>
            <w:tcW w:w="1733"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机构全称</w:t>
            </w:r>
          </w:p>
        </w:tc>
        <w:tc>
          <w:tcPr>
            <w:tcW w:w="3124"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 </w:t>
            </w:r>
          </w:p>
        </w:tc>
        <w:tc>
          <w:tcPr>
            <w:tcW w:w="148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组织机构代码</w:t>
            </w:r>
          </w:p>
        </w:tc>
        <w:tc>
          <w:tcPr>
            <w:tcW w:w="2429"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 </w:t>
            </w:r>
          </w:p>
        </w:tc>
      </w:tr>
      <w:tr>
        <w:tblPrEx>
          <w:tblLayout w:type="fixed"/>
          <w:tblCellMar>
            <w:top w:w="0" w:type="dxa"/>
            <w:left w:w="0" w:type="dxa"/>
            <w:bottom w:w="0" w:type="dxa"/>
            <w:right w:w="0" w:type="dxa"/>
          </w:tblCellMar>
        </w:tblPrEx>
        <w:trPr>
          <w:trHeight w:val="680" w:hRule="atLeast"/>
        </w:trPr>
        <w:tc>
          <w:tcPr>
            <w:tcW w:w="1733" w:type="dxa"/>
            <w:gridSpan w:val="3"/>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经济性质</w:t>
            </w:r>
          </w:p>
        </w:tc>
        <w:tc>
          <w:tcPr>
            <w:tcW w:w="7041" w:type="dxa"/>
            <w:gridSpan w:val="10"/>
            <w:tcBorders>
              <w:top w:val="nil"/>
              <w:left w:val="nil"/>
              <w:bottom w:val="single" w:color="auto" w:sz="4" w:space="0"/>
              <w:right w:val="single" w:color="auto" w:sz="8" w:space="0"/>
            </w:tcBorders>
            <w:tcMar>
              <w:top w:w="0" w:type="dxa"/>
              <w:left w:w="108" w:type="dxa"/>
              <w:bottom w:w="0" w:type="dxa"/>
              <w:right w:w="108" w:type="dxa"/>
            </w:tcMar>
            <w:vAlign w:val="center"/>
          </w:tcPr>
          <w:p>
            <w:pPr>
              <w:jc w:val="left"/>
              <w:rPr>
                <w:rFonts w:ascii="宋体" w:hAnsi="宋体" w:cs="宋体"/>
                <w:color w:val="auto"/>
                <w:kern w:val="0"/>
                <w:szCs w:val="21"/>
                <w:highlight w:val="none"/>
              </w:rPr>
            </w:pPr>
            <w:r>
              <w:rPr>
                <w:rFonts w:hint="eastAsia" w:ascii="宋体" w:hAnsi="宋体" w:cs="宋体"/>
                <w:color w:val="auto"/>
                <w:kern w:val="0"/>
                <w:szCs w:val="21"/>
                <w:highlight w:val="none"/>
              </w:rPr>
              <w:t>股份有限公司口  有限责任公司口   全民口  集体口 合伙口  个人口</w:t>
            </w:r>
          </w:p>
        </w:tc>
      </w:tr>
      <w:tr>
        <w:tblPrEx>
          <w:tblLayout w:type="fixed"/>
          <w:tblCellMar>
            <w:top w:w="0" w:type="dxa"/>
            <w:left w:w="0" w:type="dxa"/>
            <w:bottom w:w="0" w:type="dxa"/>
            <w:right w:w="0" w:type="dxa"/>
          </w:tblCellMar>
        </w:tblPrEx>
        <w:trPr>
          <w:trHeight w:val="680" w:hRule="atLeast"/>
        </w:trPr>
        <w:tc>
          <w:tcPr>
            <w:tcW w:w="1733" w:type="dxa"/>
            <w:gridSpan w:val="3"/>
            <w:tcBorders>
              <w:top w:val="single" w:color="auto" w:sz="4" w:space="0"/>
              <w:left w:val="single" w:color="auto" w:sz="8" w:space="0"/>
              <w:bottom w:val="single" w:color="auto" w:sz="4" w:space="0"/>
              <w:right w:val="single" w:color="auto" w:sz="8"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法定代表人</w:t>
            </w:r>
          </w:p>
        </w:tc>
        <w:tc>
          <w:tcPr>
            <w:tcW w:w="1143"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 </w:t>
            </w:r>
          </w:p>
        </w:tc>
        <w:tc>
          <w:tcPr>
            <w:tcW w:w="107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联系电话</w:t>
            </w:r>
          </w:p>
        </w:tc>
        <w:tc>
          <w:tcPr>
            <w:tcW w:w="907"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73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手机</w:t>
            </w:r>
          </w:p>
        </w:tc>
        <w:tc>
          <w:tcPr>
            <w:tcW w:w="2186" w:type="dxa"/>
            <w:gridSpan w:val="2"/>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 </w:t>
            </w:r>
          </w:p>
        </w:tc>
      </w:tr>
      <w:tr>
        <w:tblPrEx>
          <w:tblLayout w:type="fixed"/>
          <w:tblCellMar>
            <w:top w:w="0" w:type="dxa"/>
            <w:left w:w="0" w:type="dxa"/>
            <w:bottom w:w="0" w:type="dxa"/>
            <w:right w:w="0" w:type="dxa"/>
          </w:tblCellMar>
        </w:tblPrEx>
        <w:trPr>
          <w:trHeight w:val="1052" w:hRule="atLeast"/>
        </w:trPr>
        <w:tc>
          <w:tcPr>
            <w:tcW w:w="1733"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办公营业地址（总部）</w:t>
            </w:r>
          </w:p>
        </w:tc>
        <w:tc>
          <w:tcPr>
            <w:tcW w:w="4855"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省(自治区、直辖市）　 市(区、县）　 街（路、巷）</w:t>
            </w:r>
          </w:p>
        </w:tc>
        <w:tc>
          <w:tcPr>
            <w:tcW w:w="11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邮政编码</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 </w:t>
            </w:r>
          </w:p>
        </w:tc>
      </w:tr>
      <w:tr>
        <w:tblPrEx>
          <w:tblLayout w:type="fixed"/>
          <w:tblCellMar>
            <w:top w:w="0" w:type="dxa"/>
            <w:left w:w="0" w:type="dxa"/>
            <w:bottom w:w="0" w:type="dxa"/>
            <w:right w:w="0" w:type="dxa"/>
          </w:tblCellMar>
        </w:tblPrEx>
        <w:trPr>
          <w:trHeight w:val="680" w:hRule="atLeast"/>
        </w:trPr>
        <w:tc>
          <w:tcPr>
            <w:tcW w:w="1733"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lang w:eastAsia="zh-CN"/>
              </w:rPr>
              <w:t>赣州市</w:t>
            </w:r>
            <w:r>
              <w:rPr>
                <w:rFonts w:hint="eastAsia" w:ascii="宋体" w:hAnsi="宋体" w:cs="宋体"/>
                <w:color w:val="auto"/>
                <w:kern w:val="0"/>
                <w:szCs w:val="21"/>
                <w:highlight w:val="none"/>
              </w:rPr>
              <w:t>内详细</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营业地址</w:t>
            </w:r>
          </w:p>
        </w:tc>
        <w:tc>
          <w:tcPr>
            <w:tcW w:w="7041" w:type="dxa"/>
            <w:gridSpan w:val="10"/>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auto"/>
                <w:kern w:val="0"/>
                <w:szCs w:val="21"/>
                <w:highlight w:val="none"/>
              </w:rPr>
            </w:pPr>
          </w:p>
        </w:tc>
      </w:tr>
      <w:tr>
        <w:tblPrEx>
          <w:tblLayout w:type="fixed"/>
          <w:tblCellMar>
            <w:top w:w="0" w:type="dxa"/>
            <w:left w:w="0" w:type="dxa"/>
            <w:bottom w:w="0" w:type="dxa"/>
            <w:right w:w="0" w:type="dxa"/>
          </w:tblCellMar>
        </w:tblPrEx>
        <w:trPr>
          <w:trHeight w:val="680" w:hRule="atLeast"/>
        </w:trPr>
        <w:tc>
          <w:tcPr>
            <w:tcW w:w="508"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营</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业</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执</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照</w:t>
            </w:r>
          </w:p>
        </w:tc>
        <w:tc>
          <w:tcPr>
            <w:tcW w:w="1225" w:type="dxa"/>
            <w:gridSpan w:val="2"/>
            <w:tcBorders>
              <w:top w:val="nil"/>
              <w:left w:val="nil"/>
              <w:bottom w:val="single" w:color="auto" w:sz="8" w:space="0"/>
              <w:right w:val="single" w:color="auto" w:sz="8"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注册号码</w:t>
            </w:r>
          </w:p>
        </w:tc>
        <w:tc>
          <w:tcPr>
            <w:tcW w:w="2515" w:type="dxa"/>
            <w:gridSpan w:val="4"/>
            <w:tcBorders>
              <w:top w:val="nil"/>
              <w:left w:val="nil"/>
              <w:bottom w:val="single" w:color="auto" w:sz="8" w:space="0"/>
              <w:right w:val="single" w:color="auto" w:sz="4" w:space="0"/>
            </w:tcBorders>
            <w:tcMar>
              <w:top w:w="0" w:type="dxa"/>
              <w:left w:w="108" w:type="dxa"/>
              <w:bottom w:w="0" w:type="dxa"/>
              <w:right w:w="108" w:type="dxa"/>
            </w:tcMar>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40" w:type="dxa"/>
            <w:gridSpan w:val="2"/>
            <w:tcBorders>
              <w:top w:val="nil"/>
              <w:left w:val="single" w:color="auto" w:sz="4" w:space="0"/>
              <w:bottom w:val="single" w:color="auto" w:sz="8" w:space="0"/>
              <w:right w:val="single" w:color="auto" w:sz="8"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注册资金</w:t>
            </w:r>
          </w:p>
        </w:tc>
        <w:tc>
          <w:tcPr>
            <w:tcW w:w="308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Layout w:type="fixed"/>
          <w:tblCellMar>
            <w:top w:w="0" w:type="dxa"/>
            <w:left w:w="0" w:type="dxa"/>
            <w:bottom w:w="0" w:type="dxa"/>
            <w:right w:w="0" w:type="dxa"/>
          </w:tblCellMar>
        </w:tblPrEx>
        <w:trPr>
          <w:trHeight w:val="680" w:hRule="atLeast"/>
        </w:trPr>
        <w:tc>
          <w:tcPr>
            <w:tcW w:w="50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Cs w:val="21"/>
                <w:highlight w:val="none"/>
              </w:rPr>
            </w:pPr>
          </w:p>
        </w:tc>
        <w:tc>
          <w:tcPr>
            <w:tcW w:w="1225" w:type="dxa"/>
            <w:gridSpan w:val="2"/>
            <w:tcBorders>
              <w:top w:val="nil"/>
              <w:left w:val="nil"/>
              <w:bottom w:val="single" w:color="auto" w:sz="8" w:space="0"/>
              <w:right w:val="single" w:color="auto" w:sz="8"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发证机关</w:t>
            </w:r>
          </w:p>
        </w:tc>
        <w:tc>
          <w:tcPr>
            <w:tcW w:w="2515" w:type="dxa"/>
            <w:gridSpan w:val="4"/>
            <w:tcBorders>
              <w:top w:val="nil"/>
              <w:left w:val="nil"/>
              <w:bottom w:val="single" w:color="auto" w:sz="8" w:space="0"/>
              <w:right w:val="single" w:color="auto" w:sz="4" w:space="0"/>
            </w:tcBorders>
            <w:tcMar>
              <w:top w:w="0" w:type="dxa"/>
              <w:left w:w="108" w:type="dxa"/>
              <w:bottom w:w="0" w:type="dxa"/>
              <w:right w:w="108" w:type="dxa"/>
            </w:tcMar>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40" w:type="dxa"/>
            <w:gridSpan w:val="2"/>
            <w:tcBorders>
              <w:top w:val="nil"/>
              <w:left w:val="single" w:color="auto" w:sz="4" w:space="0"/>
              <w:bottom w:val="single" w:color="auto" w:sz="8" w:space="0"/>
              <w:right w:val="single" w:color="auto" w:sz="8"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发证时间</w:t>
            </w:r>
          </w:p>
        </w:tc>
        <w:tc>
          <w:tcPr>
            <w:tcW w:w="308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Layout w:type="fixed"/>
          <w:tblCellMar>
            <w:top w:w="0" w:type="dxa"/>
            <w:left w:w="0" w:type="dxa"/>
            <w:bottom w:w="0" w:type="dxa"/>
            <w:right w:w="0" w:type="dxa"/>
          </w:tblCellMar>
        </w:tblPrEx>
        <w:trPr>
          <w:trHeight w:val="680" w:hRule="atLeast"/>
        </w:trPr>
        <w:tc>
          <w:tcPr>
            <w:tcW w:w="50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Cs w:val="21"/>
                <w:highlight w:val="none"/>
              </w:rPr>
            </w:pPr>
          </w:p>
        </w:tc>
        <w:tc>
          <w:tcPr>
            <w:tcW w:w="223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营业范围（主）</w:t>
            </w:r>
          </w:p>
        </w:tc>
        <w:tc>
          <w:tcPr>
            <w:tcW w:w="6033" w:type="dxa"/>
            <w:gridSpan w:val="9"/>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（以营业执照为准）</w:t>
            </w:r>
          </w:p>
        </w:tc>
      </w:tr>
      <w:tr>
        <w:tblPrEx>
          <w:tblLayout w:type="fixed"/>
          <w:tblCellMar>
            <w:top w:w="0" w:type="dxa"/>
            <w:left w:w="0" w:type="dxa"/>
            <w:bottom w:w="0" w:type="dxa"/>
            <w:right w:w="0" w:type="dxa"/>
          </w:tblCellMar>
        </w:tblPrEx>
        <w:trPr>
          <w:trHeight w:val="680" w:hRule="atLeast"/>
        </w:trPr>
        <w:tc>
          <w:tcPr>
            <w:tcW w:w="50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auto"/>
                <w:kern w:val="0"/>
                <w:szCs w:val="21"/>
                <w:highlight w:val="none"/>
              </w:rPr>
            </w:pPr>
          </w:p>
        </w:tc>
        <w:tc>
          <w:tcPr>
            <w:tcW w:w="223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营业范围（兼）</w:t>
            </w:r>
          </w:p>
        </w:tc>
        <w:tc>
          <w:tcPr>
            <w:tcW w:w="6033" w:type="dxa"/>
            <w:gridSpan w:val="9"/>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（以营业执照为准）</w:t>
            </w:r>
          </w:p>
        </w:tc>
      </w:tr>
      <w:tr>
        <w:tblPrEx>
          <w:tblLayout w:type="fixed"/>
          <w:tblCellMar>
            <w:top w:w="0" w:type="dxa"/>
            <w:left w:w="0" w:type="dxa"/>
            <w:bottom w:w="0" w:type="dxa"/>
            <w:right w:w="0" w:type="dxa"/>
          </w:tblCellMar>
        </w:tblPrEx>
        <w:trPr>
          <w:trHeight w:val="680" w:hRule="atLeast"/>
        </w:trPr>
        <w:tc>
          <w:tcPr>
            <w:tcW w:w="1599"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职工总人数</w:t>
            </w:r>
          </w:p>
        </w:tc>
        <w:tc>
          <w:tcPr>
            <w:tcW w:w="114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人</w:t>
            </w:r>
          </w:p>
        </w:tc>
        <w:tc>
          <w:tcPr>
            <w:tcW w:w="6033" w:type="dxa"/>
            <w:gridSpan w:val="9"/>
            <w:tcBorders>
              <w:top w:val="nil"/>
              <w:left w:val="nil"/>
              <w:bottom w:val="single" w:color="auto" w:sz="4" w:space="0"/>
              <w:right w:val="single" w:color="auto" w:sz="8" w:space="0"/>
            </w:tcBorders>
            <w:tcMar>
              <w:top w:w="0" w:type="dxa"/>
              <w:left w:w="108" w:type="dxa"/>
              <w:bottom w:w="0" w:type="dxa"/>
              <w:right w:w="108" w:type="dxa"/>
            </w:tcMar>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其中从事招标采购业务人员：     人。</w:t>
            </w:r>
          </w:p>
        </w:tc>
      </w:tr>
      <w:tr>
        <w:tblPrEx>
          <w:tblLayout w:type="fixed"/>
          <w:tblCellMar>
            <w:top w:w="0" w:type="dxa"/>
            <w:left w:w="0" w:type="dxa"/>
            <w:bottom w:w="0" w:type="dxa"/>
            <w:right w:w="0" w:type="dxa"/>
          </w:tblCellMar>
        </w:tblPrEx>
        <w:trPr>
          <w:trHeight w:val="680" w:hRule="atLeast"/>
        </w:trPr>
        <w:tc>
          <w:tcPr>
            <w:tcW w:w="1599"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职称情况</w:t>
            </w:r>
          </w:p>
        </w:tc>
        <w:tc>
          <w:tcPr>
            <w:tcW w:w="114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高级职称</w:t>
            </w:r>
          </w:p>
        </w:tc>
        <w:tc>
          <w:tcPr>
            <w:tcW w:w="1507" w:type="dxa"/>
            <w:gridSpan w:val="3"/>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人</w:t>
            </w:r>
          </w:p>
        </w:tc>
        <w:tc>
          <w:tcPr>
            <w:tcW w:w="1440" w:type="dxa"/>
            <w:gridSpan w:val="2"/>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中级职称</w:t>
            </w:r>
          </w:p>
        </w:tc>
        <w:tc>
          <w:tcPr>
            <w:tcW w:w="3086" w:type="dxa"/>
            <w:gridSpan w:val="4"/>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人</w:t>
            </w:r>
          </w:p>
        </w:tc>
      </w:tr>
      <w:tr>
        <w:tblPrEx>
          <w:tblLayout w:type="fixed"/>
          <w:tblCellMar>
            <w:top w:w="0" w:type="dxa"/>
            <w:left w:w="0" w:type="dxa"/>
            <w:bottom w:w="0" w:type="dxa"/>
            <w:right w:w="0" w:type="dxa"/>
          </w:tblCellMar>
        </w:tblPrEx>
        <w:trPr>
          <w:trHeight w:val="680" w:hRule="atLeast"/>
        </w:trPr>
        <w:tc>
          <w:tcPr>
            <w:tcW w:w="1599" w:type="dxa"/>
            <w:gridSpan w:val="2"/>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学历情况</w:t>
            </w:r>
          </w:p>
        </w:tc>
        <w:tc>
          <w:tcPr>
            <w:tcW w:w="7175" w:type="dxa"/>
            <w:gridSpan w:val="11"/>
            <w:tcBorders>
              <w:top w:val="nil"/>
              <w:left w:val="nil"/>
              <w:bottom w:val="single" w:color="auto" w:sz="4" w:space="0"/>
              <w:right w:val="single" w:color="auto" w:sz="8" w:space="0"/>
            </w:tcBorders>
            <w:tcMar>
              <w:top w:w="0" w:type="dxa"/>
              <w:left w:w="108" w:type="dxa"/>
              <w:bottom w:w="0" w:type="dxa"/>
              <w:right w:w="108" w:type="dxa"/>
            </w:tcMar>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本科以上学历：     人 ，     中专以上学历：     人。</w:t>
            </w:r>
          </w:p>
        </w:tc>
      </w:tr>
      <w:tr>
        <w:tblPrEx>
          <w:tblLayout w:type="fixed"/>
          <w:tblCellMar>
            <w:top w:w="0" w:type="dxa"/>
            <w:left w:w="0" w:type="dxa"/>
            <w:bottom w:w="0" w:type="dxa"/>
            <w:right w:w="0" w:type="dxa"/>
          </w:tblCellMar>
        </w:tblPrEx>
        <w:trPr>
          <w:trHeight w:val="1846" w:hRule="atLeast"/>
        </w:trPr>
        <w:tc>
          <w:tcPr>
            <w:tcW w:w="8774" w:type="dxa"/>
            <w:gridSpan w:val="13"/>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申请人</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公章</w:t>
            </w:r>
            <w:r>
              <w:rPr>
                <w:rFonts w:ascii="宋体" w:hAnsi="宋体" w:cs="宋体"/>
                <w:color w:val="auto"/>
                <w:kern w:val="0"/>
                <w:szCs w:val="21"/>
                <w:highlight w:val="none"/>
              </w:rPr>
              <w:t>):         </w:t>
            </w:r>
            <w:r>
              <w:rPr>
                <w:rFonts w:hint="eastAsia" w:ascii="宋体" w:hAnsi="宋体" w:cs="宋体"/>
                <w:color w:val="auto"/>
                <w:kern w:val="0"/>
                <w:szCs w:val="21"/>
                <w:highlight w:val="none"/>
              </w:rPr>
              <w:t>法定代表人或授权代理人签字：</w:t>
            </w:r>
          </w:p>
        </w:tc>
      </w:tr>
    </w:tbl>
    <w:p>
      <w:pPr>
        <w:ind w:firstLine="480" w:firstLineChars="200"/>
        <w:rPr>
          <w:rFonts w:ascii="宋体" w:hAnsi="宋体" w:cs="宋体"/>
          <w:color w:val="auto"/>
          <w:sz w:val="24"/>
          <w:highlight w:val="none"/>
        </w:rPr>
      </w:pPr>
    </w:p>
    <w:p>
      <w:pPr>
        <w:ind w:firstLine="480" w:firstLineChars="200"/>
        <w:rPr>
          <w:rFonts w:ascii="宋体" w:hAnsi="宋体" w:cs="宋体"/>
          <w:color w:val="auto"/>
          <w:sz w:val="24"/>
          <w:highlight w:val="none"/>
        </w:rPr>
      </w:pPr>
      <w:r>
        <w:rPr>
          <w:rFonts w:ascii="宋体" w:hAnsi="宋体" w:cs="宋体"/>
          <w:color w:val="auto"/>
          <w:sz w:val="24"/>
          <w:highlight w:val="none"/>
        </w:rPr>
        <w:br w:type="page"/>
      </w:r>
      <w:r>
        <w:rPr>
          <w:rFonts w:hint="eastAsia" w:ascii="宋体" w:hAnsi="宋体" w:cs="宋体"/>
          <w:color w:val="auto"/>
          <w:sz w:val="24"/>
          <w:highlight w:val="none"/>
        </w:rPr>
        <w:t>（二）社会代理机构具有从业资格的专职在岗人员简表（</w:t>
      </w:r>
      <w:r>
        <w:rPr>
          <w:rFonts w:hint="eastAsia" w:ascii="宋体" w:hAnsi="宋体" w:cs="宋体"/>
          <w:color w:val="auto"/>
          <w:kern w:val="0"/>
          <w:szCs w:val="21"/>
          <w:highlight w:val="none"/>
        </w:rPr>
        <w:t>从业人员培训合格证原件扫描件或复印件附后）</w:t>
      </w:r>
    </w:p>
    <w:tbl>
      <w:tblPr>
        <w:tblStyle w:val="8"/>
        <w:tblW w:w="87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275"/>
        <w:gridCol w:w="709"/>
        <w:gridCol w:w="2693"/>
        <w:gridCol w:w="1843"/>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68" w:type="dxa"/>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序号</w:t>
            </w:r>
          </w:p>
        </w:tc>
        <w:tc>
          <w:tcPr>
            <w:tcW w:w="1275" w:type="dxa"/>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姓名</w:t>
            </w:r>
          </w:p>
        </w:tc>
        <w:tc>
          <w:tcPr>
            <w:tcW w:w="709" w:type="dxa"/>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性别</w:t>
            </w:r>
          </w:p>
        </w:tc>
        <w:tc>
          <w:tcPr>
            <w:tcW w:w="2693" w:type="dxa"/>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身份证号码</w:t>
            </w:r>
          </w:p>
        </w:tc>
        <w:tc>
          <w:tcPr>
            <w:tcW w:w="1843" w:type="dxa"/>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从业人员培训合格证编号</w:t>
            </w:r>
          </w:p>
        </w:tc>
        <w:tc>
          <w:tcPr>
            <w:tcW w:w="1602" w:type="dxa"/>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从事招标采购工作年限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68" w:type="dxa"/>
          </w:tcPr>
          <w:p>
            <w:pPr>
              <w:widowControl/>
              <w:jc w:val="left"/>
              <w:rPr>
                <w:rFonts w:ascii="宋体" w:hAnsi="宋体" w:cs="宋体"/>
                <w:color w:val="auto"/>
                <w:kern w:val="0"/>
                <w:sz w:val="24"/>
                <w:szCs w:val="24"/>
                <w:highlight w:val="none"/>
              </w:rPr>
            </w:pPr>
          </w:p>
        </w:tc>
        <w:tc>
          <w:tcPr>
            <w:tcW w:w="1275" w:type="dxa"/>
            <w:vAlign w:val="center"/>
          </w:tcPr>
          <w:p>
            <w:pPr>
              <w:widowControl/>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w:t>
            </w:r>
          </w:p>
        </w:tc>
        <w:tc>
          <w:tcPr>
            <w:tcW w:w="709" w:type="dxa"/>
            <w:vAlign w:val="center"/>
          </w:tcPr>
          <w:p>
            <w:pPr>
              <w:widowControl/>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w:t>
            </w:r>
          </w:p>
        </w:tc>
        <w:tc>
          <w:tcPr>
            <w:tcW w:w="2693" w:type="dxa"/>
          </w:tcPr>
          <w:p>
            <w:pPr>
              <w:widowControl/>
              <w:jc w:val="left"/>
              <w:rPr>
                <w:rFonts w:ascii="宋体" w:hAnsi="宋体" w:cs="宋体"/>
                <w:color w:val="auto"/>
                <w:kern w:val="0"/>
                <w:sz w:val="24"/>
                <w:szCs w:val="24"/>
                <w:highlight w:val="none"/>
              </w:rPr>
            </w:pPr>
          </w:p>
        </w:tc>
        <w:tc>
          <w:tcPr>
            <w:tcW w:w="1843" w:type="dxa"/>
          </w:tcPr>
          <w:p>
            <w:pPr>
              <w:widowControl/>
              <w:jc w:val="left"/>
              <w:rPr>
                <w:rFonts w:ascii="宋体" w:hAnsi="宋体" w:cs="宋体"/>
                <w:color w:val="auto"/>
                <w:kern w:val="0"/>
                <w:sz w:val="24"/>
                <w:szCs w:val="24"/>
                <w:highlight w:val="none"/>
              </w:rPr>
            </w:pPr>
          </w:p>
        </w:tc>
        <w:tc>
          <w:tcPr>
            <w:tcW w:w="1602" w:type="dxa"/>
            <w:vAlign w:val="center"/>
          </w:tcPr>
          <w:p>
            <w:pPr>
              <w:widowControl/>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68" w:type="dxa"/>
          </w:tcPr>
          <w:p>
            <w:pPr>
              <w:widowControl/>
              <w:jc w:val="left"/>
              <w:rPr>
                <w:rFonts w:ascii="宋体" w:hAnsi="宋体" w:cs="宋体"/>
                <w:color w:val="auto"/>
                <w:kern w:val="0"/>
                <w:sz w:val="24"/>
                <w:szCs w:val="24"/>
                <w:highlight w:val="none"/>
              </w:rPr>
            </w:pPr>
          </w:p>
        </w:tc>
        <w:tc>
          <w:tcPr>
            <w:tcW w:w="1275" w:type="dxa"/>
            <w:vAlign w:val="center"/>
          </w:tcPr>
          <w:p>
            <w:pPr>
              <w:widowControl/>
              <w:jc w:val="left"/>
              <w:rPr>
                <w:rFonts w:ascii="宋体" w:hAnsi="宋体" w:cs="宋体"/>
                <w:color w:val="auto"/>
                <w:kern w:val="0"/>
                <w:sz w:val="24"/>
                <w:szCs w:val="24"/>
                <w:highlight w:val="none"/>
              </w:rPr>
            </w:pPr>
          </w:p>
        </w:tc>
        <w:tc>
          <w:tcPr>
            <w:tcW w:w="709" w:type="dxa"/>
            <w:vAlign w:val="center"/>
          </w:tcPr>
          <w:p>
            <w:pPr>
              <w:widowControl/>
              <w:jc w:val="left"/>
              <w:rPr>
                <w:rFonts w:ascii="宋体" w:hAnsi="宋体" w:cs="宋体"/>
                <w:color w:val="auto"/>
                <w:kern w:val="0"/>
                <w:sz w:val="24"/>
                <w:szCs w:val="24"/>
                <w:highlight w:val="none"/>
              </w:rPr>
            </w:pPr>
          </w:p>
        </w:tc>
        <w:tc>
          <w:tcPr>
            <w:tcW w:w="2693" w:type="dxa"/>
          </w:tcPr>
          <w:p>
            <w:pPr>
              <w:widowControl/>
              <w:jc w:val="left"/>
              <w:rPr>
                <w:rFonts w:ascii="宋体" w:hAnsi="宋体" w:cs="宋体"/>
                <w:color w:val="auto"/>
                <w:kern w:val="0"/>
                <w:sz w:val="24"/>
                <w:szCs w:val="24"/>
                <w:highlight w:val="none"/>
              </w:rPr>
            </w:pPr>
          </w:p>
        </w:tc>
        <w:tc>
          <w:tcPr>
            <w:tcW w:w="1843" w:type="dxa"/>
          </w:tcPr>
          <w:p>
            <w:pPr>
              <w:widowControl/>
              <w:jc w:val="left"/>
              <w:rPr>
                <w:rFonts w:ascii="宋体" w:hAnsi="宋体" w:cs="宋体"/>
                <w:color w:val="auto"/>
                <w:kern w:val="0"/>
                <w:sz w:val="24"/>
                <w:szCs w:val="24"/>
                <w:highlight w:val="none"/>
              </w:rPr>
            </w:pPr>
          </w:p>
        </w:tc>
        <w:tc>
          <w:tcPr>
            <w:tcW w:w="1602" w:type="dxa"/>
            <w:vAlign w:val="center"/>
          </w:tcPr>
          <w:p>
            <w:pPr>
              <w:widowControl/>
              <w:jc w:val="left"/>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68" w:type="dxa"/>
          </w:tcPr>
          <w:p>
            <w:pPr>
              <w:widowControl/>
              <w:jc w:val="left"/>
              <w:rPr>
                <w:rFonts w:ascii="宋体" w:hAnsi="宋体" w:cs="宋体"/>
                <w:color w:val="auto"/>
                <w:kern w:val="0"/>
                <w:sz w:val="24"/>
                <w:szCs w:val="24"/>
                <w:highlight w:val="none"/>
              </w:rPr>
            </w:pPr>
          </w:p>
        </w:tc>
        <w:tc>
          <w:tcPr>
            <w:tcW w:w="1275" w:type="dxa"/>
            <w:vAlign w:val="center"/>
          </w:tcPr>
          <w:p>
            <w:pPr>
              <w:widowControl/>
              <w:jc w:val="left"/>
              <w:rPr>
                <w:rFonts w:ascii="宋体" w:hAnsi="宋体" w:cs="宋体"/>
                <w:color w:val="auto"/>
                <w:kern w:val="0"/>
                <w:sz w:val="24"/>
                <w:szCs w:val="24"/>
                <w:highlight w:val="none"/>
              </w:rPr>
            </w:pPr>
          </w:p>
        </w:tc>
        <w:tc>
          <w:tcPr>
            <w:tcW w:w="709" w:type="dxa"/>
            <w:vAlign w:val="center"/>
          </w:tcPr>
          <w:p>
            <w:pPr>
              <w:widowControl/>
              <w:jc w:val="left"/>
              <w:rPr>
                <w:rFonts w:ascii="宋体" w:hAnsi="宋体" w:cs="宋体"/>
                <w:color w:val="auto"/>
                <w:kern w:val="0"/>
                <w:sz w:val="24"/>
                <w:szCs w:val="24"/>
                <w:highlight w:val="none"/>
              </w:rPr>
            </w:pPr>
          </w:p>
        </w:tc>
        <w:tc>
          <w:tcPr>
            <w:tcW w:w="2693" w:type="dxa"/>
          </w:tcPr>
          <w:p>
            <w:pPr>
              <w:widowControl/>
              <w:jc w:val="left"/>
              <w:rPr>
                <w:rFonts w:ascii="宋体" w:hAnsi="宋体" w:cs="宋体"/>
                <w:color w:val="auto"/>
                <w:kern w:val="0"/>
                <w:sz w:val="24"/>
                <w:szCs w:val="24"/>
                <w:highlight w:val="none"/>
              </w:rPr>
            </w:pPr>
          </w:p>
        </w:tc>
        <w:tc>
          <w:tcPr>
            <w:tcW w:w="1843" w:type="dxa"/>
          </w:tcPr>
          <w:p>
            <w:pPr>
              <w:widowControl/>
              <w:jc w:val="left"/>
              <w:rPr>
                <w:rFonts w:ascii="宋体" w:hAnsi="宋体" w:cs="宋体"/>
                <w:color w:val="auto"/>
                <w:kern w:val="0"/>
                <w:sz w:val="24"/>
                <w:szCs w:val="24"/>
                <w:highlight w:val="none"/>
              </w:rPr>
            </w:pPr>
          </w:p>
        </w:tc>
        <w:tc>
          <w:tcPr>
            <w:tcW w:w="1602" w:type="dxa"/>
            <w:vAlign w:val="center"/>
          </w:tcPr>
          <w:p>
            <w:pPr>
              <w:widowControl/>
              <w:jc w:val="left"/>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68" w:type="dxa"/>
          </w:tcPr>
          <w:p>
            <w:pPr>
              <w:widowControl/>
              <w:jc w:val="left"/>
              <w:rPr>
                <w:rFonts w:ascii="宋体" w:hAnsi="宋体" w:cs="宋体"/>
                <w:color w:val="auto"/>
                <w:kern w:val="0"/>
                <w:sz w:val="24"/>
                <w:szCs w:val="24"/>
                <w:highlight w:val="none"/>
              </w:rPr>
            </w:pPr>
          </w:p>
        </w:tc>
        <w:tc>
          <w:tcPr>
            <w:tcW w:w="1275" w:type="dxa"/>
            <w:vAlign w:val="center"/>
          </w:tcPr>
          <w:p>
            <w:pPr>
              <w:widowControl/>
              <w:jc w:val="left"/>
              <w:rPr>
                <w:rFonts w:ascii="宋体" w:hAnsi="宋体" w:cs="宋体"/>
                <w:color w:val="auto"/>
                <w:kern w:val="0"/>
                <w:sz w:val="24"/>
                <w:szCs w:val="24"/>
                <w:highlight w:val="none"/>
              </w:rPr>
            </w:pPr>
          </w:p>
        </w:tc>
        <w:tc>
          <w:tcPr>
            <w:tcW w:w="709" w:type="dxa"/>
            <w:vAlign w:val="center"/>
          </w:tcPr>
          <w:p>
            <w:pPr>
              <w:widowControl/>
              <w:jc w:val="left"/>
              <w:rPr>
                <w:rFonts w:ascii="宋体" w:hAnsi="宋体" w:cs="宋体"/>
                <w:color w:val="auto"/>
                <w:kern w:val="0"/>
                <w:sz w:val="24"/>
                <w:szCs w:val="24"/>
                <w:highlight w:val="none"/>
              </w:rPr>
            </w:pPr>
          </w:p>
        </w:tc>
        <w:tc>
          <w:tcPr>
            <w:tcW w:w="2693" w:type="dxa"/>
          </w:tcPr>
          <w:p>
            <w:pPr>
              <w:widowControl/>
              <w:jc w:val="left"/>
              <w:rPr>
                <w:rFonts w:ascii="宋体" w:hAnsi="宋体" w:cs="宋体"/>
                <w:color w:val="auto"/>
                <w:kern w:val="0"/>
                <w:sz w:val="24"/>
                <w:szCs w:val="24"/>
                <w:highlight w:val="none"/>
              </w:rPr>
            </w:pPr>
          </w:p>
        </w:tc>
        <w:tc>
          <w:tcPr>
            <w:tcW w:w="1843" w:type="dxa"/>
          </w:tcPr>
          <w:p>
            <w:pPr>
              <w:widowControl/>
              <w:jc w:val="left"/>
              <w:rPr>
                <w:rFonts w:ascii="宋体" w:hAnsi="宋体" w:cs="宋体"/>
                <w:color w:val="auto"/>
                <w:kern w:val="0"/>
                <w:sz w:val="24"/>
                <w:szCs w:val="24"/>
                <w:highlight w:val="none"/>
              </w:rPr>
            </w:pPr>
          </w:p>
        </w:tc>
        <w:tc>
          <w:tcPr>
            <w:tcW w:w="1602" w:type="dxa"/>
            <w:vAlign w:val="center"/>
          </w:tcPr>
          <w:p>
            <w:pPr>
              <w:widowControl/>
              <w:jc w:val="left"/>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68" w:type="dxa"/>
          </w:tcPr>
          <w:p>
            <w:pPr>
              <w:widowControl/>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w:t>
            </w:r>
          </w:p>
        </w:tc>
        <w:tc>
          <w:tcPr>
            <w:tcW w:w="1275" w:type="dxa"/>
            <w:vAlign w:val="center"/>
          </w:tcPr>
          <w:p>
            <w:pPr>
              <w:widowControl/>
              <w:jc w:val="left"/>
              <w:rPr>
                <w:rFonts w:ascii="宋体" w:hAnsi="宋体" w:cs="宋体"/>
                <w:color w:val="auto"/>
                <w:kern w:val="0"/>
                <w:sz w:val="24"/>
                <w:szCs w:val="24"/>
                <w:highlight w:val="none"/>
              </w:rPr>
            </w:pPr>
          </w:p>
        </w:tc>
        <w:tc>
          <w:tcPr>
            <w:tcW w:w="709" w:type="dxa"/>
            <w:vAlign w:val="center"/>
          </w:tcPr>
          <w:p>
            <w:pPr>
              <w:widowControl/>
              <w:jc w:val="left"/>
              <w:rPr>
                <w:rFonts w:ascii="宋体" w:hAnsi="宋体" w:cs="宋体"/>
                <w:color w:val="auto"/>
                <w:kern w:val="0"/>
                <w:sz w:val="24"/>
                <w:szCs w:val="24"/>
                <w:highlight w:val="none"/>
              </w:rPr>
            </w:pPr>
          </w:p>
        </w:tc>
        <w:tc>
          <w:tcPr>
            <w:tcW w:w="2693" w:type="dxa"/>
          </w:tcPr>
          <w:p>
            <w:pPr>
              <w:widowControl/>
              <w:jc w:val="left"/>
              <w:rPr>
                <w:rFonts w:ascii="宋体" w:hAnsi="宋体" w:cs="宋体"/>
                <w:color w:val="auto"/>
                <w:kern w:val="0"/>
                <w:sz w:val="24"/>
                <w:szCs w:val="24"/>
                <w:highlight w:val="none"/>
              </w:rPr>
            </w:pPr>
          </w:p>
        </w:tc>
        <w:tc>
          <w:tcPr>
            <w:tcW w:w="1843" w:type="dxa"/>
          </w:tcPr>
          <w:p>
            <w:pPr>
              <w:widowControl/>
              <w:jc w:val="left"/>
              <w:rPr>
                <w:rFonts w:ascii="宋体" w:hAnsi="宋体" w:cs="宋体"/>
                <w:color w:val="auto"/>
                <w:kern w:val="0"/>
                <w:sz w:val="24"/>
                <w:szCs w:val="24"/>
                <w:highlight w:val="none"/>
              </w:rPr>
            </w:pPr>
          </w:p>
        </w:tc>
        <w:tc>
          <w:tcPr>
            <w:tcW w:w="1602" w:type="dxa"/>
            <w:vAlign w:val="center"/>
          </w:tcPr>
          <w:p>
            <w:pPr>
              <w:widowControl/>
              <w:jc w:val="left"/>
              <w:rPr>
                <w:rFonts w:ascii="宋体" w:hAnsi="宋体" w:cs="宋体"/>
                <w:color w:val="auto"/>
                <w:kern w:val="0"/>
                <w:sz w:val="24"/>
                <w:szCs w:val="24"/>
                <w:highlight w:val="none"/>
              </w:rPr>
            </w:pPr>
          </w:p>
        </w:tc>
      </w:tr>
    </w:tbl>
    <w:p>
      <w:pPr>
        <w:ind w:firstLine="480" w:firstLineChars="200"/>
        <w:rPr>
          <w:rFonts w:ascii="宋体" w:hAnsi="宋体" w:cs="宋体"/>
          <w:color w:val="auto"/>
          <w:sz w:val="24"/>
          <w:highlight w:val="none"/>
        </w:rPr>
      </w:pPr>
      <w:r>
        <w:rPr>
          <w:rFonts w:hint="eastAsia" w:ascii="宋体" w:hAnsi="宋体" w:cs="宋体"/>
          <w:color w:val="auto"/>
          <w:sz w:val="24"/>
          <w:highlight w:val="none"/>
        </w:rPr>
        <w:t>（三）代理政府采购及工程项目2016-2020年业绩汇总表、代理合同及</w:t>
      </w:r>
      <w:r>
        <w:rPr>
          <w:rFonts w:hint="eastAsia" w:ascii="宋体" w:hAnsi="宋体"/>
          <w:color w:val="auto"/>
          <w:highlight w:val="none"/>
        </w:rPr>
        <w:t>省（市/县）公共资源交易网招标公告的网页截图</w:t>
      </w:r>
    </w:p>
    <w:tbl>
      <w:tblPr>
        <w:tblStyle w:val="8"/>
        <w:tblW w:w="9450" w:type="dxa"/>
        <w:jc w:val="center"/>
        <w:tblInd w:w="0" w:type="dxa"/>
        <w:tblLayout w:type="fixed"/>
        <w:tblCellMar>
          <w:top w:w="0" w:type="dxa"/>
          <w:left w:w="0" w:type="dxa"/>
          <w:bottom w:w="0" w:type="dxa"/>
          <w:right w:w="0" w:type="dxa"/>
        </w:tblCellMar>
      </w:tblPr>
      <w:tblGrid>
        <w:gridCol w:w="714"/>
        <w:gridCol w:w="2972"/>
        <w:gridCol w:w="2273"/>
        <w:gridCol w:w="1619"/>
        <w:gridCol w:w="1872"/>
      </w:tblGrid>
      <w:tr>
        <w:tblPrEx>
          <w:tblLayout w:type="fixed"/>
          <w:tblCellMar>
            <w:top w:w="0" w:type="dxa"/>
            <w:left w:w="0" w:type="dxa"/>
            <w:bottom w:w="0" w:type="dxa"/>
            <w:right w:w="0" w:type="dxa"/>
          </w:tblCellMar>
        </w:tblPrEx>
        <w:trPr>
          <w:trHeight w:val="454" w:hRule="atLeast"/>
          <w:jc w:val="center"/>
        </w:trPr>
        <w:tc>
          <w:tcPr>
            <w:tcW w:w="714"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before="100" w:beforeAutospacing="1" w:after="100" w:afterAutospacing="1"/>
              <w:jc w:val="center"/>
              <w:rPr>
                <w:rFonts w:ascii="宋体" w:hAnsi="宋体" w:cs="宋体"/>
                <w:color w:val="auto"/>
                <w:kern w:val="0"/>
                <w:sz w:val="24"/>
                <w:highlight w:val="none"/>
              </w:rPr>
            </w:pPr>
            <w:r>
              <w:rPr>
                <w:rFonts w:hint="eastAsia" w:ascii="宋体" w:hAnsi="宋体" w:cs="宋体"/>
                <w:bCs/>
                <w:color w:val="auto"/>
                <w:spacing w:val="-20"/>
                <w:kern w:val="0"/>
                <w:highlight w:val="none"/>
              </w:rPr>
              <w:t>序号</w:t>
            </w:r>
          </w:p>
        </w:tc>
        <w:tc>
          <w:tcPr>
            <w:tcW w:w="2972"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before="100" w:beforeAutospacing="1" w:after="100" w:afterAutospacing="1"/>
              <w:jc w:val="center"/>
              <w:rPr>
                <w:rFonts w:ascii="宋体" w:hAnsi="宋体" w:cs="宋体"/>
                <w:color w:val="auto"/>
                <w:kern w:val="0"/>
                <w:sz w:val="24"/>
                <w:highlight w:val="none"/>
              </w:rPr>
            </w:pPr>
            <w:r>
              <w:rPr>
                <w:rFonts w:hint="eastAsia" w:ascii="宋体" w:hAnsi="宋体" w:cs="宋体"/>
                <w:bCs/>
                <w:color w:val="auto"/>
                <w:spacing w:val="-20"/>
                <w:kern w:val="0"/>
                <w:highlight w:val="none"/>
              </w:rPr>
              <w:t>项目名称</w:t>
            </w:r>
          </w:p>
        </w:tc>
        <w:tc>
          <w:tcPr>
            <w:tcW w:w="2273"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before="100" w:beforeAutospacing="1" w:after="100" w:afterAutospacing="1"/>
              <w:jc w:val="center"/>
              <w:rPr>
                <w:rFonts w:ascii="宋体" w:hAnsi="宋体" w:cs="宋体"/>
                <w:color w:val="auto"/>
                <w:kern w:val="0"/>
                <w:sz w:val="24"/>
                <w:highlight w:val="none"/>
              </w:rPr>
            </w:pPr>
            <w:r>
              <w:rPr>
                <w:rFonts w:hint="eastAsia" w:ascii="宋体" w:hAnsi="宋体" w:cs="宋体"/>
                <w:bCs/>
                <w:color w:val="auto"/>
                <w:spacing w:val="-20"/>
                <w:kern w:val="0"/>
                <w:highlight w:val="none"/>
              </w:rPr>
              <w:t>委托单位</w:t>
            </w:r>
          </w:p>
        </w:tc>
        <w:tc>
          <w:tcPr>
            <w:tcW w:w="1619"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before="100" w:beforeAutospacing="1" w:after="100" w:afterAutospacing="1"/>
              <w:jc w:val="center"/>
              <w:rPr>
                <w:rFonts w:ascii="宋体" w:hAnsi="宋体" w:cs="宋体"/>
                <w:color w:val="auto"/>
                <w:kern w:val="0"/>
                <w:sz w:val="24"/>
                <w:highlight w:val="none"/>
              </w:rPr>
            </w:pPr>
            <w:r>
              <w:rPr>
                <w:rFonts w:hint="eastAsia" w:ascii="宋体" w:hAnsi="宋体" w:cs="宋体"/>
                <w:bCs/>
                <w:color w:val="auto"/>
                <w:spacing w:val="-20"/>
                <w:kern w:val="0"/>
                <w:highlight w:val="none"/>
              </w:rPr>
              <w:t>完成时间</w:t>
            </w:r>
          </w:p>
        </w:tc>
        <w:tc>
          <w:tcPr>
            <w:tcW w:w="1872"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before="100" w:beforeAutospacing="1" w:after="100" w:afterAutospacing="1"/>
              <w:jc w:val="center"/>
              <w:rPr>
                <w:rFonts w:ascii="宋体" w:hAnsi="宋体" w:cs="宋体"/>
                <w:color w:val="auto"/>
                <w:kern w:val="0"/>
                <w:sz w:val="24"/>
                <w:highlight w:val="none"/>
              </w:rPr>
            </w:pPr>
            <w:r>
              <w:rPr>
                <w:rFonts w:hint="eastAsia" w:ascii="宋体" w:hAnsi="宋体" w:cs="宋体"/>
                <w:bCs/>
                <w:color w:val="auto"/>
                <w:spacing w:val="-20"/>
                <w:kern w:val="0"/>
                <w:highlight w:val="none"/>
              </w:rPr>
              <w:t>预算金额（万元）</w:t>
            </w:r>
          </w:p>
        </w:tc>
      </w:tr>
      <w:tr>
        <w:tblPrEx>
          <w:tblLayout w:type="fixed"/>
          <w:tblCellMar>
            <w:top w:w="0" w:type="dxa"/>
            <w:left w:w="0" w:type="dxa"/>
            <w:bottom w:w="0" w:type="dxa"/>
            <w:right w:w="0" w:type="dxa"/>
          </w:tblCellMar>
        </w:tblPrEx>
        <w:trPr>
          <w:trHeight w:val="454" w:hRule="atLeast"/>
          <w:jc w:val="center"/>
        </w:trPr>
        <w:tc>
          <w:tcPr>
            <w:tcW w:w="714"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before="100" w:beforeAutospacing="1" w:after="100" w:afterAutospacing="1"/>
              <w:jc w:val="center"/>
              <w:rPr>
                <w:rFonts w:ascii="宋体" w:hAnsi="宋体" w:cs="宋体"/>
                <w:color w:val="auto"/>
                <w:kern w:val="0"/>
                <w:sz w:val="24"/>
                <w:highlight w:val="none"/>
              </w:rPr>
            </w:pPr>
          </w:p>
        </w:tc>
        <w:tc>
          <w:tcPr>
            <w:tcW w:w="2972"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before="100" w:beforeAutospacing="1" w:after="100" w:afterAutospacing="1"/>
              <w:jc w:val="left"/>
              <w:rPr>
                <w:rFonts w:ascii="宋体" w:hAnsi="宋体" w:cs="宋体"/>
                <w:color w:val="auto"/>
                <w:kern w:val="0"/>
                <w:sz w:val="24"/>
                <w:highlight w:val="none"/>
              </w:rPr>
            </w:pPr>
            <w:r>
              <w:rPr>
                <w:rFonts w:ascii="宋体" w:hAnsi="宋体" w:cs="宋体"/>
                <w:color w:val="auto"/>
                <w:kern w:val="0"/>
                <w:sz w:val="24"/>
                <w:highlight w:val="none"/>
              </w:rPr>
              <w:t> </w:t>
            </w:r>
          </w:p>
        </w:tc>
        <w:tc>
          <w:tcPr>
            <w:tcW w:w="2273"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before="100" w:beforeAutospacing="1" w:after="100" w:afterAutospacing="1"/>
              <w:jc w:val="left"/>
              <w:rPr>
                <w:rFonts w:ascii="宋体" w:hAnsi="宋体" w:cs="宋体"/>
                <w:color w:val="auto"/>
                <w:kern w:val="0"/>
                <w:sz w:val="24"/>
                <w:highlight w:val="none"/>
              </w:rPr>
            </w:pPr>
            <w:r>
              <w:rPr>
                <w:rFonts w:ascii="宋体" w:hAnsi="宋体" w:cs="宋体"/>
                <w:color w:val="auto"/>
                <w:kern w:val="0"/>
                <w:sz w:val="24"/>
                <w:highlight w:val="none"/>
              </w:rPr>
              <w:t> </w:t>
            </w:r>
          </w:p>
        </w:tc>
        <w:tc>
          <w:tcPr>
            <w:tcW w:w="1619"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before="100" w:beforeAutospacing="1" w:after="100" w:afterAutospacing="1"/>
              <w:jc w:val="left"/>
              <w:rPr>
                <w:rFonts w:ascii="宋体" w:hAnsi="宋体" w:cs="宋体"/>
                <w:color w:val="auto"/>
                <w:kern w:val="0"/>
                <w:sz w:val="24"/>
                <w:highlight w:val="none"/>
              </w:rPr>
            </w:pPr>
            <w:r>
              <w:rPr>
                <w:rFonts w:ascii="宋体" w:hAnsi="宋体" w:cs="宋体"/>
                <w:color w:val="auto"/>
                <w:kern w:val="0"/>
                <w:sz w:val="24"/>
                <w:highlight w:val="none"/>
              </w:rPr>
              <w:t> </w:t>
            </w:r>
          </w:p>
        </w:tc>
        <w:tc>
          <w:tcPr>
            <w:tcW w:w="1872"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before="100" w:beforeAutospacing="1" w:after="100" w:afterAutospacing="1"/>
              <w:jc w:val="left"/>
              <w:rPr>
                <w:rFonts w:ascii="宋体" w:hAnsi="宋体" w:cs="宋体"/>
                <w:color w:val="auto"/>
                <w:kern w:val="0"/>
                <w:sz w:val="24"/>
                <w:highlight w:val="none"/>
              </w:rPr>
            </w:pPr>
            <w:r>
              <w:rPr>
                <w:rFonts w:ascii="宋体" w:hAnsi="宋体" w:cs="宋体"/>
                <w:color w:val="auto"/>
                <w:kern w:val="0"/>
                <w:sz w:val="24"/>
                <w:highlight w:val="none"/>
              </w:rPr>
              <w:t> </w:t>
            </w:r>
          </w:p>
        </w:tc>
      </w:tr>
      <w:tr>
        <w:tblPrEx>
          <w:tblLayout w:type="fixed"/>
          <w:tblCellMar>
            <w:top w:w="0" w:type="dxa"/>
            <w:left w:w="0" w:type="dxa"/>
            <w:bottom w:w="0" w:type="dxa"/>
            <w:right w:w="0" w:type="dxa"/>
          </w:tblCellMar>
        </w:tblPrEx>
        <w:trPr>
          <w:trHeight w:val="454" w:hRule="atLeast"/>
          <w:jc w:val="center"/>
        </w:trPr>
        <w:tc>
          <w:tcPr>
            <w:tcW w:w="714"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tcPr>
          <w:p>
            <w:pPr>
              <w:widowControl/>
              <w:spacing w:before="100" w:beforeAutospacing="1" w:after="100" w:afterAutospacing="1"/>
              <w:jc w:val="center"/>
              <w:rPr>
                <w:rFonts w:ascii="宋体" w:hAnsi="宋体" w:cs="宋体"/>
                <w:color w:val="auto"/>
                <w:kern w:val="0"/>
                <w:highlight w:val="none"/>
              </w:rPr>
            </w:pPr>
            <w:r>
              <w:rPr>
                <w:rFonts w:hint="eastAsia" w:ascii="宋体" w:hAnsi="宋体" w:cs="宋体"/>
                <w:color w:val="auto"/>
                <w:kern w:val="0"/>
                <w:sz w:val="24"/>
                <w:szCs w:val="24"/>
                <w:highlight w:val="none"/>
              </w:rPr>
              <w:t>…</w:t>
            </w:r>
          </w:p>
        </w:tc>
        <w:tc>
          <w:tcPr>
            <w:tcW w:w="2972"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before="100" w:beforeAutospacing="1" w:after="100" w:afterAutospacing="1"/>
              <w:jc w:val="left"/>
              <w:rPr>
                <w:rFonts w:ascii="宋体" w:hAnsi="宋体" w:cs="宋体"/>
                <w:color w:val="auto"/>
                <w:kern w:val="0"/>
                <w:sz w:val="24"/>
                <w:highlight w:val="none"/>
              </w:rPr>
            </w:pPr>
          </w:p>
        </w:tc>
        <w:tc>
          <w:tcPr>
            <w:tcW w:w="2273"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before="100" w:beforeAutospacing="1" w:after="100" w:afterAutospacing="1"/>
              <w:jc w:val="left"/>
              <w:rPr>
                <w:rFonts w:ascii="宋体" w:hAnsi="宋体" w:cs="宋体"/>
                <w:color w:val="auto"/>
                <w:kern w:val="0"/>
                <w:sz w:val="24"/>
                <w:highlight w:val="none"/>
              </w:rPr>
            </w:pPr>
          </w:p>
        </w:tc>
        <w:tc>
          <w:tcPr>
            <w:tcW w:w="1619"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before="100" w:beforeAutospacing="1" w:after="100" w:afterAutospacing="1"/>
              <w:jc w:val="left"/>
              <w:rPr>
                <w:rFonts w:ascii="宋体" w:hAnsi="宋体" w:cs="宋体"/>
                <w:color w:val="auto"/>
                <w:kern w:val="0"/>
                <w:sz w:val="24"/>
                <w:highlight w:val="none"/>
              </w:rPr>
            </w:pPr>
          </w:p>
        </w:tc>
        <w:tc>
          <w:tcPr>
            <w:tcW w:w="1872"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before="100" w:beforeAutospacing="1" w:after="100" w:afterAutospacing="1"/>
              <w:jc w:val="left"/>
              <w:rPr>
                <w:rFonts w:ascii="宋体" w:hAnsi="宋体" w:cs="宋体"/>
                <w:color w:val="auto"/>
                <w:kern w:val="0"/>
                <w:sz w:val="24"/>
                <w:highlight w:val="none"/>
              </w:rPr>
            </w:pPr>
          </w:p>
        </w:tc>
      </w:tr>
    </w:tbl>
    <w:p>
      <w:pPr>
        <w:ind w:firstLine="480" w:firstLineChars="200"/>
        <w:rPr>
          <w:rFonts w:ascii="宋体" w:hAnsi="宋体" w:cs="宋体"/>
          <w:color w:val="auto"/>
          <w:sz w:val="24"/>
          <w:highlight w:val="none"/>
        </w:rPr>
      </w:pPr>
      <w:r>
        <w:rPr>
          <w:rFonts w:hint="eastAsia" w:ascii="宋体" w:hAnsi="宋体" w:cs="宋体"/>
          <w:color w:val="auto"/>
          <w:sz w:val="24"/>
          <w:highlight w:val="none"/>
        </w:rPr>
        <w:t>（四）荣誉汇总表（相关证件扫描件或复印件附后，没有的不提供）</w:t>
      </w:r>
    </w:p>
    <w:tbl>
      <w:tblPr>
        <w:tblStyle w:val="8"/>
        <w:tblW w:w="9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3553"/>
        <w:gridCol w:w="1917"/>
        <w:gridCol w:w="1781"/>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3" w:type="dxa"/>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序号</w:t>
            </w:r>
          </w:p>
        </w:tc>
        <w:tc>
          <w:tcPr>
            <w:tcW w:w="3553" w:type="dxa"/>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荣誉名称</w:t>
            </w:r>
          </w:p>
        </w:tc>
        <w:tc>
          <w:tcPr>
            <w:tcW w:w="1917" w:type="dxa"/>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颁发部门</w:t>
            </w:r>
          </w:p>
        </w:tc>
        <w:tc>
          <w:tcPr>
            <w:tcW w:w="1781" w:type="dxa"/>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证书编号</w:t>
            </w:r>
          </w:p>
        </w:tc>
        <w:tc>
          <w:tcPr>
            <w:tcW w:w="1478" w:type="dxa"/>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颁发时间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3" w:type="dxa"/>
            <w:vAlign w:val="center"/>
          </w:tcPr>
          <w:p>
            <w:pPr>
              <w:widowControl/>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w:t>
            </w:r>
          </w:p>
        </w:tc>
        <w:tc>
          <w:tcPr>
            <w:tcW w:w="3553" w:type="dxa"/>
            <w:vAlign w:val="center"/>
          </w:tcPr>
          <w:p>
            <w:pPr>
              <w:widowControl/>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w:t>
            </w:r>
          </w:p>
        </w:tc>
        <w:tc>
          <w:tcPr>
            <w:tcW w:w="1917" w:type="dxa"/>
            <w:vAlign w:val="center"/>
          </w:tcPr>
          <w:p>
            <w:pPr>
              <w:widowControl/>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w:t>
            </w:r>
          </w:p>
        </w:tc>
        <w:tc>
          <w:tcPr>
            <w:tcW w:w="1781" w:type="dxa"/>
            <w:vAlign w:val="center"/>
          </w:tcPr>
          <w:p>
            <w:pPr>
              <w:widowControl/>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w:t>
            </w:r>
          </w:p>
        </w:tc>
        <w:tc>
          <w:tcPr>
            <w:tcW w:w="1478" w:type="dxa"/>
            <w:vAlign w:val="center"/>
          </w:tcPr>
          <w:p>
            <w:pPr>
              <w:widowControl/>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3" w:type="dxa"/>
          </w:tcPr>
          <w:p>
            <w:pPr>
              <w:widowControl/>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w:t>
            </w:r>
          </w:p>
        </w:tc>
        <w:tc>
          <w:tcPr>
            <w:tcW w:w="3553" w:type="dxa"/>
            <w:vAlign w:val="center"/>
          </w:tcPr>
          <w:p>
            <w:pPr>
              <w:widowControl/>
              <w:jc w:val="left"/>
              <w:rPr>
                <w:rFonts w:ascii="宋体" w:hAnsi="宋体" w:cs="宋体"/>
                <w:color w:val="auto"/>
                <w:kern w:val="0"/>
                <w:sz w:val="24"/>
                <w:szCs w:val="24"/>
                <w:highlight w:val="none"/>
              </w:rPr>
            </w:pPr>
          </w:p>
        </w:tc>
        <w:tc>
          <w:tcPr>
            <w:tcW w:w="1917" w:type="dxa"/>
            <w:vAlign w:val="center"/>
          </w:tcPr>
          <w:p>
            <w:pPr>
              <w:widowControl/>
              <w:jc w:val="left"/>
              <w:rPr>
                <w:rFonts w:ascii="宋体" w:hAnsi="宋体" w:cs="宋体"/>
                <w:color w:val="auto"/>
                <w:kern w:val="0"/>
                <w:sz w:val="24"/>
                <w:szCs w:val="24"/>
                <w:highlight w:val="none"/>
              </w:rPr>
            </w:pPr>
          </w:p>
        </w:tc>
        <w:tc>
          <w:tcPr>
            <w:tcW w:w="1781" w:type="dxa"/>
            <w:vAlign w:val="center"/>
          </w:tcPr>
          <w:p>
            <w:pPr>
              <w:widowControl/>
              <w:jc w:val="left"/>
              <w:rPr>
                <w:rFonts w:ascii="宋体" w:hAnsi="宋体" w:cs="宋体"/>
                <w:color w:val="auto"/>
                <w:kern w:val="0"/>
                <w:sz w:val="24"/>
                <w:szCs w:val="24"/>
                <w:highlight w:val="none"/>
              </w:rPr>
            </w:pPr>
          </w:p>
        </w:tc>
        <w:tc>
          <w:tcPr>
            <w:tcW w:w="1478" w:type="dxa"/>
            <w:vAlign w:val="center"/>
          </w:tcPr>
          <w:p>
            <w:pPr>
              <w:widowControl/>
              <w:jc w:val="left"/>
              <w:rPr>
                <w:rFonts w:ascii="宋体" w:hAnsi="宋体" w:cs="宋体"/>
                <w:color w:val="auto"/>
                <w:kern w:val="0"/>
                <w:sz w:val="24"/>
                <w:szCs w:val="24"/>
                <w:highlight w:val="none"/>
              </w:rPr>
            </w:pPr>
          </w:p>
        </w:tc>
      </w:tr>
    </w:tbl>
    <w:p>
      <w:pPr>
        <w:ind w:firstLine="480" w:firstLineChars="200"/>
        <w:rPr>
          <w:rFonts w:ascii="宋体" w:hAnsi="宋体" w:cs="宋体"/>
          <w:color w:val="auto"/>
          <w:sz w:val="24"/>
          <w:highlight w:val="none"/>
        </w:rPr>
      </w:pPr>
    </w:p>
    <w:p>
      <w:pPr>
        <w:ind w:firstLine="480" w:firstLineChars="200"/>
        <w:rPr>
          <w:rFonts w:ascii="宋体" w:hAnsi="宋体"/>
          <w:b/>
          <w:color w:val="auto"/>
          <w:highlight w:val="none"/>
        </w:rPr>
      </w:pPr>
      <w:r>
        <w:rPr>
          <w:rFonts w:ascii="宋体" w:hAnsi="宋体" w:cs="宋体"/>
          <w:color w:val="auto"/>
          <w:sz w:val="24"/>
          <w:highlight w:val="none"/>
        </w:rPr>
        <w:br w:type="page"/>
      </w:r>
      <w:r>
        <w:rPr>
          <w:rFonts w:hint="eastAsia" w:ascii="宋体" w:hAnsi="宋体" w:cs="宋体"/>
          <w:b/>
          <w:color w:val="auto"/>
          <w:sz w:val="24"/>
          <w:highlight w:val="none"/>
        </w:rPr>
        <w:t>（五）</w:t>
      </w:r>
      <w:r>
        <w:rPr>
          <w:rFonts w:hint="eastAsia" w:ascii="宋体" w:hAnsi="宋体"/>
          <w:b/>
          <w:color w:val="auto"/>
          <w:highlight w:val="none"/>
        </w:rPr>
        <w:t>业主评价函（提供一项业主评价函原件）</w:t>
      </w:r>
    </w:p>
    <w:p>
      <w:pPr>
        <w:ind w:firstLine="140" w:firstLineChars="50"/>
        <w:jc w:val="left"/>
        <w:rPr>
          <w:rFonts w:ascii="宋体" w:hAnsi="宋体"/>
          <w:color w:val="auto"/>
          <w:sz w:val="28"/>
          <w:highlight w:val="none"/>
        </w:rPr>
      </w:pPr>
      <w:r>
        <w:rPr>
          <w:rFonts w:hint="eastAsia" w:ascii="宋体" w:hAnsi="宋体"/>
          <w:color w:val="auto"/>
          <w:sz w:val="28"/>
          <w:highlight w:val="none"/>
        </w:rPr>
        <w:t>附件：</w:t>
      </w:r>
    </w:p>
    <w:p>
      <w:pPr>
        <w:ind w:firstLine="110" w:firstLineChars="50"/>
        <w:jc w:val="center"/>
        <w:rPr>
          <w:rFonts w:ascii="宋体" w:hAnsi="宋体"/>
          <w:b/>
          <w:color w:val="auto"/>
          <w:sz w:val="22"/>
          <w:szCs w:val="28"/>
          <w:highlight w:val="none"/>
        </w:rPr>
      </w:pPr>
      <w:r>
        <w:rPr>
          <w:rFonts w:hint="eastAsia" w:ascii="宋体" w:hAnsi="宋体"/>
          <w:b/>
          <w:color w:val="auto"/>
          <w:sz w:val="22"/>
          <w:szCs w:val="28"/>
          <w:highlight w:val="none"/>
        </w:rPr>
        <w:t>关于对       有限公司的评价结论</w:t>
      </w:r>
    </w:p>
    <w:p>
      <w:pPr>
        <w:rPr>
          <w:rFonts w:ascii="宋体" w:hAnsi="宋体"/>
          <w:color w:val="auto"/>
          <w:sz w:val="24"/>
          <w:szCs w:val="32"/>
          <w:highlight w:val="none"/>
        </w:rPr>
      </w:pPr>
    </w:p>
    <w:p>
      <w:pPr>
        <w:rPr>
          <w:rFonts w:ascii="宋体" w:hAnsi="宋体"/>
          <w:color w:val="auto"/>
          <w:sz w:val="24"/>
          <w:szCs w:val="32"/>
          <w:highlight w:val="none"/>
        </w:rPr>
      </w:pPr>
      <w:r>
        <w:rPr>
          <w:rFonts w:hint="eastAsia" w:ascii="宋体" w:hAnsi="宋体"/>
          <w:color w:val="auto"/>
          <w:sz w:val="24"/>
          <w:szCs w:val="32"/>
          <w:highlight w:val="none"/>
          <w:lang w:eastAsia="zh-CN"/>
        </w:rPr>
        <w:t>赣州银行股份有限公司</w:t>
      </w:r>
      <w:r>
        <w:rPr>
          <w:rFonts w:hint="eastAsia" w:ascii="宋体" w:hAnsi="宋体"/>
          <w:color w:val="auto"/>
          <w:sz w:val="24"/>
          <w:szCs w:val="32"/>
          <w:highlight w:val="none"/>
        </w:rPr>
        <w:t>：</w:t>
      </w:r>
    </w:p>
    <w:p>
      <w:pPr>
        <w:ind w:firstLine="1200" w:firstLineChars="500"/>
        <w:jc w:val="left"/>
        <w:rPr>
          <w:rFonts w:ascii="宋体" w:hAnsi="宋体"/>
          <w:bCs/>
          <w:color w:val="auto"/>
          <w:sz w:val="24"/>
          <w:szCs w:val="32"/>
          <w:highlight w:val="none"/>
          <w:u w:val="single"/>
        </w:rPr>
      </w:pPr>
      <w:r>
        <w:rPr>
          <w:rFonts w:hint="eastAsia" w:ascii="宋体" w:hAnsi="宋体"/>
          <w:color w:val="auto"/>
          <w:sz w:val="24"/>
          <w:szCs w:val="32"/>
          <w:highlight w:val="none"/>
        </w:rPr>
        <w:t>有限公司在我单位承接了</w:t>
      </w:r>
      <w:r>
        <w:rPr>
          <w:rFonts w:hint="eastAsia" w:ascii="宋体" w:hAnsi="宋体"/>
          <w:bCs/>
          <w:color w:val="auto"/>
          <w:sz w:val="24"/>
          <w:szCs w:val="32"/>
          <w:highlight w:val="none"/>
          <w:u w:val="single"/>
        </w:rPr>
        <w:t xml:space="preserve">  项目名称：    </w:t>
      </w:r>
    </w:p>
    <w:p>
      <w:pPr>
        <w:jc w:val="left"/>
        <w:rPr>
          <w:rFonts w:ascii="宋体" w:hAnsi="宋体"/>
          <w:bCs/>
          <w:color w:val="auto"/>
          <w:sz w:val="24"/>
          <w:szCs w:val="32"/>
          <w:highlight w:val="none"/>
          <w:u w:val="single"/>
        </w:rPr>
      </w:pPr>
      <w:r>
        <w:rPr>
          <w:rFonts w:hint="eastAsia" w:ascii="宋体" w:hAnsi="宋体"/>
          <w:bCs/>
          <w:color w:val="auto"/>
          <w:sz w:val="24"/>
          <w:szCs w:val="32"/>
          <w:highlight w:val="none"/>
          <w:u w:val="single"/>
        </w:rPr>
        <w:t>（项目编号：      ）</w:t>
      </w:r>
      <w:r>
        <w:rPr>
          <w:rFonts w:hint="eastAsia" w:ascii="宋体" w:hAnsi="宋体"/>
          <w:color w:val="auto"/>
          <w:sz w:val="24"/>
          <w:szCs w:val="32"/>
          <w:highlight w:val="none"/>
        </w:rPr>
        <w:t>政府采购项目。该公司在履约期间，</w:t>
      </w:r>
      <w:r>
        <w:rPr>
          <w:rFonts w:hint="eastAsia" w:ascii="宋体" w:hAnsi="MS Mincho" w:cs="MS Mincho"/>
          <w:color w:val="auto"/>
          <w:sz w:val="24"/>
          <w:szCs w:val="32"/>
          <w:highlight w:val="none"/>
        </w:rPr>
        <w:t>□</w:t>
      </w:r>
      <w:r>
        <w:rPr>
          <w:rFonts w:hint="eastAsia" w:ascii="宋体" w:hAnsi="宋体"/>
          <w:color w:val="auto"/>
          <w:sz w:val="24"/>
          <w:szCs w:val="32"/>
          <w:highlight w:val="none"/>
        </w:rPr>
        <w:t>能 □不能认真履行合同，□存在</w:t>
      </w:r>
      <w:r>
        <w:rPr>
          <w:rFonts w:hint="eastAsia" w:ascii="宋体" w:hAnsi="MS Mincho" w:cs="MS Mincho"/>
          <w:color w:val="auto"/>
          <w:sz w:val="24"/>
          <w:szCs w:val="32"/>
          <w:highlight w:val="none"/>
        </w:rPr>
        <w:t>□</w:t>
      </w:r>
      <w:r>
        <w:rPr>
          <w:rFonts w:hint="eastAsia" w:ascii="宋体" w:hAnsi="宋体"/>
          <w:color w:val="auto"/>
          <w:sz w:val="24"/>
          <w:szCs w:val="32"/>
          <w:highlight w:val="none"/>
        </w:rPr>
        <w:t>不存在欺诈行为，</w:t>
      </w:r>
      <w:r>
        <w:rPr>
          <w:rFonts w:hint="eastAsia" w:ascii="宋体" w:hAnsi="MS Mincho" w:cs="MS Mincho"/>
          <w:color w:val="auto"/>
          <w:sz w:val="24"/>
          <w:szCs w:val="32"/>
          <w:highlight w:val="none"/>
        </w:rPr>
        <w:t>□</w:t>
      </w:r>
      <w:r>
        <w:rPr>
          <w:rFonts w:hint="eastAsia" w:ascii="宋体" w:hAnsi="宋体"/>
          <w:color w:val="auto"/>
          <w:sz w:val="24"/>
          <w:szCs w:val="32"/>
          <w:highlight w:val="none"/>
        </w:rPr>
        <w:t>能 □不能主动配合行政主管部门的投诉调解、处理工作。</w:t>
      </w:r>
    </w:p>
    <w:p>
      <w:pPr>
        <w:ind w:firstLine="645"/>
        <w:rPr>
          <w:rFonts w:ascii="宋体" w:hAnsi="宋体"/>
          <w:color w:val="auto"/>
          <w:sz w:val="24"/>
          <w:szCs w:val="32"/>
          <w:highlight w:val="none"/>
        </w:rPr>
      </w:pPr>
      <w:r>
        <w:rPr>
          <w:rFonts w:hint="eastAsia" w:ascii="宋体" w:hAnsi="宋体"/>
          <w:color w:val="auto"/>
          <w:sz w:val="24"/>
          <w:szCs w:val="32"/>
          <w:highlight w:val="none"/>
        </w:rPr>
        <w:t>联系电话：</w:t>
      </w:r>
    </w:p>
    <w:p>
      <w:pPr>
        <w:ind w:firstLine="645"/>
        <w:rPr>
          <w:rFonts w:ascii="宋体" w:hAnsi="宋体"/>
          <w:color w:val="auto"/>
          <w:sz w:val="24"/>
          <w:szCs w:val="32"/>
          <w:highlight w:val="none"/>
        </w:rPr>
      </w:pPr>
    </w:p>
    <w:p>
      <w:pPr>
        <w:wordWrap w:val="0"/>
        <w:jc w:val="right"/>
        <w:rPr>
          <w:rFonts w:ascii="宋体" w:hAnsi="宋体"/>
          <w:bCs/>
          <w:color w:val="auto"/>
          <w:sz w:val="32"/>
          <w:szCs w:val="32"/>
          <w:highlight w:val="none"/>
        </w:rPr>
      </w:pPr>
      <w:r>
        <w:rPr>
          <w:rFonts w:hint="eastAsia" w:ascii="宋体" w:hAnsi="宋体"/>
          <w:bCs/>
          <w:color w:val="auto"/>
          <w:sz w:val="24"/>
          <w:szCs w:val="32"/>
          <w:highlight w:val="none"/>
        </w:rPr>
        <w:t xml:space="preserve"> 采购人：       </w:t>
      </w:r>
      <w:r>
        <w:rPr>
          <w:rFonts w:hint="eastAsia" w:ascii="宋体" w:hAnsi="宋体"/>
          <w:bCs/>
          <w:color w:val="auto"/>
          <w:sz w:val="32"/>
          <w:szCs w:val="32"/>
          <w:highlight w:val="none"/>
        </w:rPr>
        <w:t xml:space="preserve">    </w:t>
      </w:r>
    </w:p>
    <w:p>
      <w:pPr>
        <w:wordWrap w:val="0"/>
        <w:jc w:val="right"/>
        <w:rPr>
          <w:rFonts w:ascii="宋体" w:hAnsi="宋体"/>
          <w:bCs/>
          <w:color w:val="auto"/>
          <w:sz w:val="24"/>
          <w:szCs w:val="32"/>
          <w:highlight w:val="none"/>
        </w:rPr>
      </w:pPr>
      <w:r>
        <w:rPr>
          <w:rFonts w:hint="eastAsia" w:ascii="宋体" w:hAnsi="宋体"/>
          <w:bCs/>
          <w:color w:val="auto"/>
          <w:sz w:val="24"/>
          <w:szCs w:val="32"/>
          <w:highlight w:val="none"/>
        </w:rPr>
        <w:t>年   月   日</w:t>
      </w:r>
    </w:p>
    <w:p>
      <w:pPr>
        <w:widowControl/>
        <w:rPr>
          <w:rFonts w:ascii="宋体" w:hAnsi="宋体"/>
          <w:color w:val="auto"/>
          <w:sz w:val="32"/>
          <w:szCs w:val="32"/>
          <w:highlight w:val="none"/>
        </w:rPr>
      </w:pPr>
    </w:p>
    <w:p>
      <w:pPr>
        <w:widowControl/>
        <w:rPr>
          <w:rFonts w:ascii="宋体" w:hAnsi="宋体"/>
          <w:color w:val="auto"/>
          <w:sz w:val="32"/>
          <w:szCs w:val="32"/>
          <w:highlight w:val="none"/>
        </w:rPr>
      </w:pPr>
    </w:p>
    <w:p>
      <w:pPr>
        <w:widowControl/>
        <w:rPr>
          <w:rFonts w:ascii="宋体" w:hAnsi="宋体"/>
          <w:color w:val="auto"/>
          <w:sz w:val="24"/>
          <w:szCs w:val="32"/>
          <w:highlight w:val="none"/>
        </w:rPr>
      </w:pPr>
      <w:r>
        <w:rPr>
          <w:rFonts w:hint="eastAsia" w:ascii="宋体" w:hAnsi="宋体"/>
          <w:color w:val="auto"/>
          <w:sz w:val="24"/>
          <w:szCs w:val="32"/>
          <w:highlight w:val="none"/>
        </w:rPr>
        <w:t>备注：请在相应“□”内画“√”。</w:t>
      </w:r>
    </w:p>
    <w:p>
      <w:pPr>
        <w:rPr>
          <w:rFonts w:ascii="宋体" w:hAnsi="宋体"/>
          <w:color w:val="auto"/>
          <w:highlight w:val="none"/>
        </w:rPr>
      </w:pPr>
    </w:p>
    <w:p>
      <w:pPr>
        <w:ind w:firstLine="480" w:firstLineChars="200"/>
        <w:rPr>
          <w:rFonts w:ascii="宋体" w:hAnsi="宋体" w:cs="宋体"/>
          <w:color w:val="auto"/>
          <w:sz w:val="24"/>
          <w:highlight w:val="none"/>
        </w:rPr>
      </w:pPr>
    </w:p>
    <w:p>
      <w:pPr>
        <w:ind w:firstLine="480" w:firstLineChars="200"/>
        <w:rPr>
          <w:rFonts w:ascii="宋体" w:hAnsi="宋体" w:cs="宋体"/>
          <w:color w:val="auto"/>
          <w:sz w:val="24"/>
          <w:highlight w:val="none"/>
        </w:rPr>
      </w:pPr>
      <w:r>
        <w:rPr>
          <w:rFonts w:hint="eastAsia" w:ascii="宋体" w:hAnsi="宋体" w:cs="宋体"/>
          <w:color w:val="auto"/>
          <w:sz w:val="24"/>
          <w:highlight w:val="none"/>
        </w:rPr>
        <w:t>（六）社会代理机构对营业场地条件的自述材料（根据评审要求自行撰写，提供公司自有房产证或购房合同或租用房产协议复印件加盖公章，材料中明确体现建筑面积，如为住宅用房，还需提供由其所在的社区居委会或物业公司提供的</w:t>
      </w:r>
      <w:r>
        <w:rPr>
          <w:rFonts w:hint="eastAsia" w:ascii="宋体" w:hAnsi="宋体" w:cs="宋体"/>
          <w:bCs/>
          <w:color w:val="auto"/>
          <w:sz w:val="24"/>
          <w:highlight w:val="none"/>
        </w:rPr>
        <w:t>同意将住宅改为经营性用房的证明</w:t>
      </w:r>
      <w:r>
        <w:rPr>
          <w:rFonts w:hint="eastAsia" w:ascii="宋体" w:hAnsi="宋体" w:cs="宋体"/>
          <w:color w:val="auto"/>
          <w:sz w:val="24"/>
          <w:highlight w:val="none"/>
        </w:rPr>
        <w:t>。）</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（七）拟承担</w:t>
      </w:r>
      <w:r>
        <w:rPr>
          <w:rFonts w:hint="eastAsia" w:ascii="宋体" w:hAnsi="宋体" w:cs="宋体"/>
          <w:color w:val="auto"/>
          <w:sz w:val="24"/>
          <w:highlight w:val="none"/>
          <w:lang w:eastAsia="zh-CN"/>
        </w:rPr>
        <w:t>赣州银行股份有限公司</w:t>
      </w:r>
      <w:r>
        <w:rPr>
          <w:rFonts w:hint="eastAsia" w:ascii="宋体" w:hAnsi="宋体" w:cs="宋体"/>
          <w:color w:val="auto"/>
          <w:sz w:val="24"/>
          <w:highlight w:val="none"/>
        </w:rPr>
        <w:t>采购及工程项目招标代理工作的负责人及其他人员简表（</w:t>
      </w:r>
      <w:r>
        <w:rPr>
          <w:rFonts w:hint="eastAsia" w:ascii="宋体" w:hAnsi="宋体" w:cs="宋体"/>
          <w:color w:val="auto"/>
          <w:kern w:val="0"/>
          <w:szCs w:val="21"/>
          <w:highlight w:val="none"/>
        </w:rPr>
        <w:t>从业人员培训合格证复印件附后）</w:t>
      </w:r>
    </w:p>
    <w:tbl>
      <w:tblPr>
        <w:tblStyle w:val="8"/>
        <w:tblW w:w="87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275"/>
        <w:gridCol w:w="709"/>
        <w:gridCol w:w="2693"/>
        <w:gridCol w:w="1843"/>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8" w:type="dxa"/>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序号</w:t>
            </w:r>
          </w:p>
        </w:tc>
        <w:tc>
          <w:tcPr>
            <w:tcW w:w="1275" w:type="dxa"/>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姓名</w:t>
            </w:r>
          </w:p>
        </w:tc>
        <w:tc>
          <w:tcPr>
            <w:tcW w:w="709" w:type="dxa"/>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性别</w:t>
            </w:r>
          </w:p>
        </w:tc>
        <w:tc>
          <w:tcPr>
            <w:tcW w:w="2693" w:type="dxa"/>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身份证号码</w:t>
            </w:r>
          </w:p>
        </w:tc>
        <w:tc>
          <w:tcPr>
            <w:tcW w:w="1843" w:type="dxa"/>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从业人员培训合格证编号</w:t>
            </w:r>
          </w:p>
        </w:tc>
        <w:tc>
          <w:tcPr>
            <w:tcW w:w="1602" w:type="dxa"/>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从事招标采购工作年限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8" w:type="dxa"/>
          </w:tcPr>
          <w:p>
            <w:pPr>
              <w:widowControl/>
              <w:jc w:val="left"/>
              <w:rPr>
                <w:rFonts w:ascii="宋体" w:hAnsi="宋体" w:cs="宋体"/>
                <w:color w:val="auto"/>
                <w:kern w:val="0"/>
                <w:sz w:val="24"/>
                <w:szCs w:val="24"/>
                <w:highlight w:val="none"/>
              </w:rPr>
            </w:pPr>
          </w:p>
        </w:tc>
        <w:tc>
          <w:tcPr>
            <w:tcW w:w="1275" w:type="dxa"/>
            <w:vAlign w:val="center"/>
          </w:tcPr>
          <w:p>
            <w:pPr>
              <w:widowControl/>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w:t>
            </w:r>
          </w:p>
        </w:tc>
        <w:tc>
          <w:tcPr>
            <w:tcW w:w="709" w:type="dxa"/>
            <w:vAlign w:val="center"/>
          </w:tcPr>
          <w:p>
            <w:pPr>
              <w:widowControl/>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w:t>
            </w:r>
          </w:p>
        </w:tc>
        <w:tc>
          <w:tcPr>
            <w:tcW w:w="2693" w:type="dxa"/>
          </w:tcPr>
          <w:p>
            <w:pPr>
              <w:widowControl/>
              <w:jc w:val="left"/>
              <w:rPr>
                <w:rFonts w:ascii="宋体" w:hAnsi="宋体" w:cs="宋体"/>
                <w:color w:val="auto"/>
                <w:kern w:val="0"/>
                <w:sz w:val="24"/>
                <w:szCs w:val="24"/>
                <w:highlight w:val="none"/>
              </w:rPr>
            </w:pPr>
          </w:p>
        </w:tc>
        <w:tc>
          <w:tcPr>
            <w:tcW w:w="1843" w:type="dxa"/>
          </w:tcPr>
          <w:p>
            <w:pPr>
              <w:widowControl/>
              <w:jc w:val="left"/>
              <w:rPr>
                <w:rFonts w:ascii="宋体" w:hAnsi="宋体" w:cs="宋体"/>
                <w:color w:val="auto"/>
                <w:kern w:val="0"/>
                <w:sz w:val="24"/>
                <w:szCs w:val="24"/>
                <w:highlight w:val="none"/>
              </w:rPr>
            </w:pPr>
          </w:p>
        </w:tc>
        <w:tc>
          <w:tcPr>
            <w:tcW w:w="1602" w:type="dxa"/>
            <w:vAlign w:val="center"/>
          </w:tcPr>
          <w:p>
            <w:pPr>
              <w:widowControl/>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8" w:type="dxa"/>
          </w:tcPr>
          <w:p>
            <w:pPr>
              <w:widowControl/>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w:t>
            </w:r>
          </w:p>
        </w:tc>
        <w:tc>
          <w:tcPr>
            <w:tcW w:w="1275" w:type="dxa"/>
            <w:vAlign w:val="center"/>
          </w:tcPr>
          <w:p>
            <w:pPr>
              <w:widowControl/>
              <w:jc w:val="left"/>
              <w:rPr>
                <w:rFonts w:ascii="宋体" w:hAnsi="宋体" w:cs="宋体"/>
                <w:color w:val="auto"/>
                <w:kern w:val="0"/>
                <w:sz w:val="24"/>
                <w:szCs w:val="24"/>
                <w:highlight w:val="none"/>
              </w:rPr>
            </w:pPr>
          </w:p>
        </w:tc>
        <w:tc>
          <w:tcPr>
            <w:tcW w:w="709" w:type="dxa"/>
            <w:vAlign w:val="center"/>
          </w:tcPr>
          <w:p>
            <w:pPr>
              <w:widowControl/>
              <w:jc w:val="left"/>
              <w:rPr>
                <w:rFonts w:ascii="宋体" w:hAnsi="宋体" w:cs="宋体"/>
                <w:color w:val="auto"/>
                <w:kern w:val="0"/>
                <w:sz w:val="24"/>
                <w:szCs w:val="24"/>
                <w:highlight w:val="none"/>
              </w:rPr>
            </w:pPr>
          </w:p>
        </w:tc>
        <w:tc>
          <w:tcPr>
            <w:tcW w:w="2693" w:type="dxa"/>
          </w:tcPr>
          <w:p>
            <w:pPr>
              <w:widowControl/>
              <w:jc w:val="left"/>
              <w:rPr>
                <w:rFonts w:ascii="宋体" w:hAnsi="宋体" w:cs="宋体"/>
                <w:color w:val="auto"/>
                <w:kern w:val="0"/>
                <w:sz w:val="24"/>
                <w:szCs w:val="24"/>
                <w:highlight w:val="none"/>
              </w:rPr>
            </w:pPr>
          </w:p>
        </w:tc>
        <w:tc>
          <w:tcPr>
            <w:tcW w:w="1843" w:type="dxa"/>
          </w:tcPr>
          <w:p>
            <w:pPr>
              <w:widowControl/>
              <w:jc w:val="left"/>
              <w:rPr>
                <w:rFonts w:ascii="宋体" w:hAnsi="宋体" w:cs="宋体"/>
                <w:color w:val="auto"/>
                <w:kern w:val="0"/>
                <w:sz w:val="24"/>
                <w:szCs w:val="24"/>
                <w:highlight w:val="none"/>
              </w:rPr>
            </w:pPr>
          </w:p>
        </w:tc>
        <w:tc>
          <w:tcPr>
            <w:tcW w:w="1602" w:type="dxa"/>
            <w:vAlign w:val="center"/>
          </w:tcPr>
          <w:p>
            <w:pPr>
              <w:widowControl/>
              <w:jc w:val="left"/>
              <w:rPr>
                <w:rFonts w:ascii="宋体" w:hAnsi="宋体" w:cs="宋体"/>
                <w:color w:val="auto"/>
                <w:kern w:val="0"/>
                <w:sz w:val="24"/>
                <w:szCs w:val="24"/>
                <w:highlight w:val="none"/>
              </w:rPr>
            </w:pPr>
          </w:p>
        </w:tc>
      </w:tr>
    </w:tbl>
    <w:p>
      <w:pPr>
        <w:ind w:firstLine="480" w:firstLineChars="200"/>
        <w:rPr>
          <w:rFonts w:ascii="宋体" w:hAnsi="宋体" w:cs="宋体"/>
          <w:color w:val="auto"/>
          <w:sz w:val="24"/>
          <w:highlight w:val="none"/>
        </w:rPr>
      </w:pPr>
      <w:r>
        <w:rPr>
          <w:rFonts w:hint="eastAsia" w:ascii="宋体" w:hAnsi="宋体" w:cs="宋体"/>
          <w:color w:val="auto"/>
          <w:sz w:val="24"/>
          <w:highlight w:val="none"/>
        </w:rPr>
        <w:t>（八）社会代理机构参照评分标准自行提供的证明其招标代理实力的其他材料。</w:t>
      </w:r>
    </w:p>
    <w:p>
      <w:pPr>
        <w:ind w:firstLine="480" w:firstLineChars="200"/>
        <w:rPr>
          <w:rFonts w:ascii="宋体" w:hAnsi="宋体" w:cs="宋体"/>
          <w:color w:val="auto"/>
          <w:sz w:val="24"/>
          <w:highlight w:val="none"/>
        </w:rPr>
      </w:pPr>
    </w:p>
    <w:p>
      <w:pPr>
        <w:rPr>
          <w:color w:val="auto"/>
          <w:highlight w:val="none"/>
        </w:rPr>
      </w:pPr>
    </w:p>
    <w:bookmarkEnd w:id="18"/>
    <w:sectPr>
      <w:footerReference r:id="rId3" w:type="default"/>
      <w:pgSz w:w="11906" w:h="16838"/>
      <w:pgMar w:top="1440" w:right="1134" w:bottom="1440" w:left="1134" w:header="737"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Century Gothic">
    <w:panose1 w:val="020B0502020202020204"/>
    <w:charset w:val="00"/>
    <w:family w:val="swiss"/>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全真中明體">
    <w:altName w:val="MingLiU-ExtB"/>
    <w:panose1 w:val="00000000000000000000"/>
    <w:charset w:val="88"/>
    <w:family w:val="modern"/>
    <w:pitch w:val="default"/>
    <w:sig w:usb0="00000000" w:usb1="00000000" w:usb2="00000010" w:usb3="00000000" w:csb0="00100000" w:csb1="00000000"/>
  </w:font>
  <w:font w:name="华文楷体">
    <w:panose1 w:val="02010600040101010101"/>
    <w:charset w:val="86"/>
    <w:family w:val="auto"/>
    <w:pitch w:val="default"/>
    <w:sig w:usb0="00000287" w:usb1="080F0000" w:usb2="00000000" w:usb3="00000000" w:csb0="0004009F" w:csb1="DFD70000"/>
  </w:font>
  <w:font w:name="Microsoft Sans Serif">
    <w:panose1 w:val="020B0604020202020204"/>
    <w:charset w:val="00"/>
    <w:family w:val="swiss"/>
    <w:pitch w:val="default"/>
    <w:sig w:usb0="E1002AFF" w:usb1="C0000002" w:usb2="00000008" w:usb3="00000000" w:csb0="200101FF" w:csb1="20280000"/>
  </w:font>
  <w:font w:name="Verdana">
    <w:panose1 w:val="020B0604030504040204"/>
    <w:charset w:val="00"/>
    <w:family w:val="swiss"/>
    <w:pitch w:val="default"/>
    <w:sig w:usb0="A10006FF" w:usb1="4000205B" w:usb2="00000010" w:usb3="00000000" w:csb0="2000019F" w:csb1="00000000"/>
  </w:font>
  <w:font w:name="长城仿宋">
    <w:altName w:val="黑体"/>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BatangChe">
    <w:panose1 w:val="02030609000101010101"/>
    <w:charset w:val="81"/>
    <w:family w:val="modern"/>
    <w:pitch w:val="default"/>
    <w:sig w:usb0="B00002AF" w:usb1="69D77CFB" w:usb2="00000030" w:usb3="00000000" w:csb0="4008009F" w:csb1="DFD70000"/>
  </w:font>
  <w:font w:name="Segoe Print">
    <w:panose1 w:val="02000600000000000000"/>
    <w:charset w:val="00"/>
    <w:family w:val="auto"/>
    <w:pitch w:val="default"/>
    <w:sig w:usb0="0000028F" w:usb1="00000000" w:usb2="00000000" w:usb3="00000000" w:csb0="2000009F" w:csb1="47010000"/>
  </w:font>
  <w:font w:name="MingLiU-ExtB">
    <w:panose1 w:val="02020500000000000000"/>
    <w:charset w:val="88"/>
    <w:family w:val="auto"/>
    <w:pitch w:val="default"/>
    <w:sig w:usb0="8000002F" w:usb1="02000008" w:usb2="00000000" w:usb3="00000000" w:csb0="00100001" w:csb1="00000000"/>
  </w:font>
  <w:font w:name="Century">
    <w:panose1 w:val="02040604050505020304"/>
    <w:charset w:val="00"/>
    <w:family w:val="auto"/>
    <w:pitch w:val="default"/>
    <w:sig w:usb0="00000287" w:usb1="00000000" w:usb2="00000000" w:usb3="00000000" w:csb0="2000009F" w:csb1="DFD70000"/>
  </w:font>
  <w:font w:name="MS PGothic">
    <w:panose1 w:val="020B0600070205080204"/>
    <w:charset w:val="80"/>
    <w:family w:val="auto"/>
    <w:pitch w:val="default"/>
    <w:sig w:usb0="E00002FF" w:usb1="6AC7FDFB" w:usb2="00000012" w:usb3="00000000" w:csb0="4002009F" w:csb1="DFD70000"/>
  </w:font>
  <w:font w:name="Nyala">
    <w:panose1 w:val="02000504070300020003"/>
    <w:charset w:val="00"/>
    <w:family w:val="auto"/>
    <w:pitch w:val="default"/>
    <w:sig w:usb0="A000006F" w:usb1="00000000" w:usb2="00000800" w:usb3="00000000" w:csb0="00000093" w:csb1="00000000"/>
  </w:font>
  <w:font w:name="隶书">
    <w:panose1 w:val="02010509060101010101"/>
    <w:charset w:val="86"/>
    <w:family w:val="modern"/>
    <w:pitch w:val="default"/>
    <w:sig w:usb0="00000001" w:usb1="080E0000" w:usb2="00000000" w:usb3="00000000" w:csb0="00040000" w:csb1="00000000"/>
  </w:font>
  <w:font w:name="monospace">
    <w:altName w:val="Courier New"/>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7</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E57C5"/>
    <w:multiLevelType w:val="singleLevel"/>
    <w:tmpl w:val="75FE57C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F70D22"/>
    <w:rsid w:val="00040F1A"/>
    <w:rsid w:val="008823A6"/>
    <w:rsid w:val="00C412EB"/>
    <w:rsid w:val="00D35129"/>
    <w:rsid w:val="00E55B68"/>
    <w:rsid w:val="03B740A6"/>
    <w:rsid w:val="04295031"/>
    <w:rsid w:val="048302F7"/>
    <w:rsid w:val="048C4F82"/>
    <w:rsid w:val="083C5BED"/>
    <w:rsid w:val="0A9F5103"/>
    <w:rsid w:val="0BF74834"/>
    <w:rsid w:val="0BFA65E7"/>
    <w:rsid w:val="0E5A73C7"/>
    <w:rsid w:val="0F10517C"/>
    <w:rsid w:val="1BAB7EF5"/>
    <w:rsid w:val="1D073C0C"/>
    <w:rsid w:val="1D2A5DE8"/>
    <w:rsid w:val="1EEB2F61"/>
    <w:rsid w:val="1F5832CF"/>
    <w:rsid w:val="220B191E"/>
    <w:rsid w:val="25914B06"/>
    <w:rsid w:val="284528D3"/>
    <w:rsid w:val="2A901CD6"/>
    <w:rsid w:val="2ADF05F6"/>
    <w:rsid w:val="2BE068C6"/>
    <w:rsid w:val="2D5B2CC9"/>
    <w:rsid w:val="2F12628E"/>
    <w:rsid w:val="2F437B62"/>
    <w:rsid w:val="2F9C66D1"/>
    <w:rsid w:val="2FE73C90"/>
    <w:rsid w:val="33851E17"/>
    <w:rsid w:val="38D9446C"/>
    <w:rsid w:val="3EF474E5"/>
    <w:rsid w:val="44135058"/>
    <w:rsid w:val="441B5FAE"/>
    <w:rsid w:val="449B29F7"/>
    <w:rsid w:val="44AE6B25"/>
    <w:rsid w:val="4B212446"/>
    <w:rsid w:val="4BBF6CF8"/>
    <w:rsid w:val="4C7A764E"/>
    <w:rsid w:val="4F8A0DFD"/>
    <w:rsid w:val="52C54639"/>
    <w:rsid w:val="553A4505"/>
    <w:rsid w:val="55D566EA"/>
    <w:rsid w:val="59FE7451"/>
    <w:rsid w:val="5A89044A"/>
    <w:rsid w:val="5B826544"/>
    <w:rsid w:val="5BC904B6"/>
    <w:rsid w:val="5F0D4A61"/>
    <w:rsid w:val="61CB5C1B"/>
    <w:rsid w:val="62BA31BD"/>
    <w:rsid w:val="63F70D22"/>
    <w:rsid w:val="6A4F47C2"/>
    <w:rsid w:val="6ABD7EF3"/>
    <w:rsid w:val="6C9134D8"/>
    <w:rsid w:val="6D490CCE"/>
    <w:rsid w:val="6DED453B"/>
    <w:rsid w:val="7166047F"/>
    <w:rsid w:val="72A47E39"/>
    <w:rsid w:val="736A0888"/>
    <w:rsid w:val="77E85022"/>
    <w:rsid w:val="79304F62"/>
    <w:rsid w:val="7B6D3D2A"/>
    <w:rsid w:val="7C2E3826"/>
    <w:rsid w:val="7E96258F"/>
    <w:rsid w:val="7F657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0"/>
    <w:pPr>
      <w:keepNext/>
      <w:keepLines/>
      <w:spacing w:before="260" w:after="260" w:line="413" w:lineRule="auto"/>
      <w:ind w:firstLine="628"/>
      <w:jc w:val="center"/>
      <w:outlineLvl w:val="1"/>
    </w:pPr>
    <w:rPr>
      <w:rFonts w:ascii="Arial" w:hAnsi="Arial" w:eastAsia="黑体"/>
      <w:b/>
      <w:bCs/>
      <w:sz w:val="32"/>
      <w:szCs w:val="32"/>
    </w:rPr>
  </w:style>
  <w:style w:type="paragraph" w:styleId="3">
    <w:name w:val="heading 4"/>
    <w:basedOn w:val="1"/>
    <w:next w:val="1"/>
    <w:unhideWhenUsed/>
    <w:qFormat/>
    <w:uiPriority w:val="0"/>
    <w:pPr>
      <w:keepNext/>
      <w:keepLines/>
      <w:spacing w:before="280" w:after="290" w:line="374" w:lineRule="auto"/>
      <w:outlineLvl w:val="3"/>
    </w:pPr>
    <w:rPr>
      <w:rFonts w:ascii="Arial" w:hAnsi="Arial" w:eastAsia="黑体"/>
      <w:b/>
      <w:bCs/>
      <w:sz w:val="28"/>
      <w:szCs w:val="28"/>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Plain Text"/>
    <w:basedOn w:val="1"/>
    <w:next w:val="3"/>
    <w:qFormat/>
    <w:uiPriority w:val="0"/>
    <w:rPr>
      <w:rFonts w:ascii="宋体" w:hAnsi="Courier New"/>
    </w:rPr>
  </w:style>
  <w:style w:type="paragraph" w:styleId="5">
    <w:name w:val="footer"/>
    <w:basedOn w:val="1"/>
    <w:qFormat/>
    <w:uiPriority w:val="99"/>
    <w:pPr>
      <w:tabs>
        <w:tab w:val="center" w:pos="4153"/>
        <w:tab w:val="right" w:pos="8306"/>
      </w:tabs>
      <w:snapToGrid w:val="0"/>
      <w:jc w:val="left"/>
    </w:pPr>
    <w:rPr>
      <w:sz w:val="18"/>
      <w:szCs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1225</Words>
  <Characters>6988</Characters>
  <Lines>58</Lines>
  <Paragraphs>16</Paragraphs>
  <ScaleCrop>false</ScaleCrop>
  <LinksUpToDate>false</LinksUpToDate>
  <CharactersWithSpaces>8197</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2020-05-06T08:20:00Z</dcterms:created>
  <dc:creator>亓</dc:creator>
  <cp:lastModifiedBy>李剑</cp:lastModifiedBy>
  <dcterms:modified xsi:type="dcterms:W3CDTF">2021-04-02T00:45:12Z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